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B6BFE28" wp14:paraId="473DF0B1" wp14:textId="738BD712">
      <w:pPr>
        <w:spacing w:before="160" w:beforeAutospacing="off" w:after="160" w:afterAutospacing="off" w:line="276" w:lineRule="auto"/>
        <w:rPr>
          <w:rFonts w:ascii="Calibri" w:hAnsi="Calibri" w:eastAsia="Calibri" w:cs="Calibri"/>
          <w:b w:val="1"/>
          <w:bCs w:val="1"/>
          <w:strike w:val="0"/>
          <w:dstrike w:val="0"/>
          <w:noProof w:val="0"/>
          <w:color w:val="auto"/>
          <w:sz w:val="24"/>
          <w:szCs w:val="24"/>
          <w:u w:val="single"/>
          <w:lang w:val="en-GB"/>
        </w:rPr>
      </w:pPr>
      <w:r w:rsidRPr="2B6BFE28" w:rsidR="1D6BDFC9">
        <w:rPr>
          <w:rFonts w:ascii="Calibri" w:hAnsi="Calibri" w:eastAsia="Calibri" w:cs="Calibri"/>
          <w:b w:val="1"/>
          <w:bCs w:val="1"/>
          <w:strike w:val="0"/>
          <w:dstrike w:val="0"/>
          <w:noProof w:val="0"/>
          <w:color w:val="auto"/>
          <w:sz w:val="24"/>
          <w:szCs w:val="24"/>
          <w:u w:val="single"/>
          <w:lang w:val="en-GB"/>
        </w:rPr>
        <w:t xml:space="preserve">Discuss how a ‘rights-based approach’ is embedded within education contexts in Wales through legislation and policy. </w:t>
      </w:r>
    </w:p>
    <w:p xmlns:wp14="http://schemas.microsoft.com/office/word/2010/wordml" w:rsidP="2B6BFE28" wp14:paraId="52F2682C" wp14:textId="7C7392F3">
      <w:pPr>
        <w:spacing w:before="160" w:beforeAutospacing="off" w:after="8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This essay will be a discussion of how a ‘rights-based approach’ is embedded within education contexts in Wales through legislation and policy. This essay will cover key aspects of this statement, including a variety of factors such as key theories and the importance of the United Nations Convention of Rights of the Child, also known as the UNCRC (1989). The UNCRC is an international framework that was a turning point to ensure rights for children and young people in Wales because Wales was the first UK nation to embed the UNCRC into the 2011 measure of domestic law. Within this framework, there is an emphasis on the 3 p’s, which are participation, protection, and provision. Under this umbrella, safeguarding falls. Case studies and articles will be reviewed to evaluate how effectively children's and young people's rights are acknowledged.</w:t>
      </w:r>
    </w:p>
    <w:p xmlns:wp14="http://schemas.microsoft.com/office/word/2010/wordml" w:rsidP="2B6BFE28" wp14:paraId="0065DD89" wp14:textId="25E6B364">
      <w:pPr>
        <w:spacing w:before="280" w:beforeAutospacing="off" w:after="160" w:afterAutospacing="off" w:line="276" w:lineRule="auto"/>
        <w:rPr>
          <w:rFonts w:ascii="Calibri" w:hAnsi="Calibri" w:eastAsia="Calibri" w:cs="Calibri"/>
          <w:noProof w:val="0"/>
          <w:color w:val="auto"/>
          <w:sz w:val="24"/>
          <w:szCs w:val="24"/>
          <w:lang w:val="en-GB"/>
        </w:rPr>
      </w:pPr>
      <w:r w:rsidRPr="2B6BFE28" w:rsidR="660FBBA2">
        <w:rPr>
          <w:rFonts w:ascii="Calibri" w:hAnsi="Calibri" w:eastAsia="Calibri" w:cs="Calibri"/>
          <w:noProof w:val="0"/>
          <w:color w:val="auto"/>
          <w:sz w:val="24"/>
          <w:szCs w:val="24"/>
          <w:lang w:val="en-GB"/>
        </w:rPr>
        <w:t>Additionally,</w:t>
      </w:r>
      <w:r w:rsidRPr="2B6BFE28" w:rsidR="1D6BDFC9">
        <w:rPr>
          <w:rFonts w:ascii="Calibri" w:hAnsi="Calibri" w:eastAsia="Calibri" w:cs="Calibri"/>
          <w:noProof w:val="0"/>
          <w:color w:val="auto"/>
          <w:sz w:val="24"/>
          <w:szCs w:val="24"/>
          <w:lang w:val="en-GB"/>
        </w:rPr>
        <w:t xml:space="preserve"> to this, the core 7 aims linked directly with the children's commissioner will be discussed, focusing on the second aim, which states ‘To </w:t>
      </w:r>
      <w:r w:rsidRPr="2B6BFE28" w:rsidR="1D6BDFC9">
        <w:rPr>
          <w:rFonts w:ascii="Calibri" w:hAnsi="Calibri" w:eastAsia="Calibri" w:cs="Calibri"/>
          <w:noProof w:val="0"/>
          <w:color w:val="auto"/>
          <w:sz w:val="24"/>
          <w:szCs w:val="24"/>
          <w:lang w:val="en-GB"/>
        </w:rPr>
        <w:t>provide</w:t>
      </w:r>
      <w:r w:rsidRPr="2B6BFE28" w:rsidR="1D6BDFC9">
        <w:rPr>
          <w:rFonts w:ascii="Calibri" w:hAnsi="Calibri" w:eastAsia="Calibri" w:cs="Calibri"/>
          <w:noProof w:val="0"/>
          <w:color w:val="auto"/>
          <w:sz w:val="24"/>
          <w:szCs w:val="24"/>
          <w:lang w:val="en-GB"/>
        </w:rPr>
        <w:t xml:space="preserve"> a comprehensive range of education and learning opportunities. This framework will be used to outline articles that are significant for children's rights within the education setting. For </w:t>
      </w:r>
      <w:r w:rsidRPr="2B6BFE28" w:rsidR="02F09E38">
        <w:rPr>
          <w:rFonts w:ascii="Calibri" w:hAnsi="Calibri" w:eastAsia="Calibri" w:cs="Calibri"/>
          <w:noProof w:val="0"/>
          <w:color w:val="auto"/>
          <w:sz w:val="24"/>
          <w:szCs w:val="24"/>
          <w:lang w:val="en-GB"/>
        </w:rPr>
        <w:t>example, article</w:t>
      </w:r>
      <w:r w:rsidRPr="2B6BFE28" w:rsidR="1D6BDFC9">
        <w:rPr>
          <w:rFonts w:ascii="Calibri" w:hAnsi="Calibri" w:eastAsia="Calibri" w:cs="Calibri"/>
          <w:noProof w:val="0"/>
          <w:color w:val="auto"/>
          <w:sz w:val="24"/>
          <w:szCs w:val="24"/>
          <w:lang w:val="en-GB"/>
        </w:rPr>
        <w:t xml:space="preserve"> 14 emphasises the importance of expressing ourselves, which links well with education, encouraging the pupils' rights to have a voice. Moreover, Article 28 highlights that, regardless of any factor, everyone has a right to an education.</w:t>
      </w:r>
    </w:p>
    <w:p xmlns:wp14="http://schemas.microsoft.com/office/word/2010/wordml" w:rsidP="2B6BFE28" wp14:paraId="1C176965" wp14:textId="6D46E37D">
      <w:pPr>
        <w:spacing w:before="28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It is </w:t>
      </w:r>
      <w:r w:rsidRPr="2B6BFE28" w:rsidR="1D6BDFC9">
        <w:rPr>
          <w:rFonts w:ascii="Calibri" w:hAnsi="Calibri" w:eastAsia="Calibri" w:cs="Calibri"/>
          <w:noProof w:val="0"/>
          <w:color w:val="auto"/>
          <w:sz w:val="24"/>
          <w:szCs w:val="24"/>
          <w:lang w:val="en-GB"/>
        </w:rPr>
        <w:t>evident</w:t>
      </w:r>
      <w:r w:rsidRPr="2B6BFE28" w:rsidR="1D6BDFC9">
        <w:rPr>
          <w:rFonts w:ascii="Calibri" w:hAnsi="Calibri" w:eastAsia="Calibri" w:cs="Calibri"/>
          <w:noProof w:val="0"/>
          <w:color w:val="auto"/>
          <w:sz w:val="24"/>
          <w:szCs w:val="24"/>
          <w:lang w:val="en-GB"/>
        </w:rPr>
        <w:t xml:space="preserve"> that along this process, some clear barriers and issues had an impact on implementing policies and frameworks. This essay will consider these barriers that are likely to arise during the process of implementing and planning.</w:t>
      </w:r>
    </w:p>
    <w:p xmlns:wp14="http://schemas.microsoft.com/office/word/2010/wordml" w:rsidP="2B6BFE28" wp14:paraId="5A1A3DCD" wp14:textId="5FFD4E0A">
      <w:pPr>
        <w:spacing w:before="28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This essay will evaluate effective strategies for promoting and safeguarding children’s and young people’s rights in educational settings, such as rights‑respecting school frameworks, participatory practices, and inclusive policy development. Drawing on case studies, policies, and theoretical perspectives, the essay will provide a critical evaluation of how successfully Wales embeds a rights‑based approach within its education system. In addition to considering the barriers, effective strategies will also be reviewed, such as safeguarding, staff training, rights-respecting school approaches, and more.</w:t>
      </w:r>
    </w:p>
    <w:p xmlns:wp14="http://schemas.microsoft.com/office/word/2010/wordml" w:rsidP="2B6BFE28" wp14:paraId="7862B884" wp14:textId="0048DDAF">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Through discussing the factors above, this will give a clear explanation of how a ‘rights-based approach’ is embedded within education contexts in Wales through legislation and policy. </w:t>
      </w:r>
    </w:p>
    <w:p xmlns:wp14="http://schemas.microsoft.com/office/word/2010/wordml" w:rsidP="2B6BFE28" wp14:paraId="357D491C" wp14:textId="19DE4B65">
      <w:pPr>
        <w:spacing w:before="28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For children's rights to be fulfilled, it is essential that there are </w:t>
      </w:r>
      <w:r w:rsidRPr="2B6BFE28" w:rsidR="4310116E">
        <w:rPr>
          <w:rFonts w:ascii="Calibri" w:hAnsi="Calibri" w:eastAsia="Calibri" w:cs="Calibri"/>
          <w:noProof w:val="0"/>
          <w:color w:val="auto"/>
          <w:sz w:val="24"/>
          <w:szCs w:val="24"/>
          <w:lang w:val="en-GB"/>
        </w:rPr>
        <w:t>several</w:t>
      </w:r>
      <w:r w:rsidRPr="2B6BFE28" w:rsidR="1D6BDFC9">
        <w:rPr>
          <w:rFonts w:ascii="Calibri" w:hAnsi="Calibri" w:eastAsia="Calibri" w:cs="Calibri"/>
          <w:noProof w:val="0"/>
          <w:color w:val="auto"/>
          <w:sz w:val="24"/>
          <w:szCs w:val="24"/>
          <w:lang w:val="en-GB"/>
        </w:rPr>
        <w:t xml:space="preserve"> legislations and policies passed to encourage the best for the individuals. Wales overtime has provided key legislation and policies to ensure pupils' voices are heard. For </w:t>
      </w:r>
      <w:r w:rsidRPr="2B6BFE28" w:rsidR="78264370">
        <w:rPr>
          <w:rFonts w:ascii="Calibri" w:hAnsi="Calibri" w:eastAsia="Calibri" w:cs="Calibri"/>
          <w:noProof w:val="0"/>
          <w:color w:val="auto"/>
          <w:sz w:val="24"/>
          <w:szCs w:val="24"/>
          <w:lang w:val="en-GB"/>
        </w:rPr>
        <w:t>example, UNICEF</w:t>
      </w:r>
      <w:r w:rsidRPr="2B6BFE28" w:rsidR="1D6BDFC9">
        <w:rPr>
          <w:rFonts w:ascii="Calibri" w:hAnsi="Calibri" w:eastAsia="Calibri" w:cs="Calibri"/>
          <w:noProof w:val="0"/>
          <w:color w:val="auto"/>
          <w:sz w:val="24"/>
          <w:szCs w:val="24"/>
          <w:lang w:val="en-GB"/>
        </w:rPr>
        <w:t xml:space="preserve"> (n.d.)  highlights the 42 rights that each child is entitled to. The UNCRC (1989) was adopted as the basis of all policy-making, and young people. Work from Tisdall, E.K.M. (2006) supports this through showing multiple factors of participation, further emphasising that the UNCRC is significant in shaping children's and young people's rights. </w:t>
      </w:r>
    </w:p>
    <w:p xmlns:wp14="http://schemas.microsoft.com/office/word/2010/wordml" w:rsidP="2B6BFE28" wp14:paraId="20AF00B1" wp14:textId="0CFF36E4">
      <w:pPr>
        <w:spacing w:before="28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Looking closer to the UNCRC articles, the main article to consider whilst reviewing children and young people's rights is Article 28, which </w:t>
      </w:r>
      <w:r w:rsidRPr="2B6BFE28" w:rsidR="1D6BDFC9">
        <w:rPr>
          <w:rFonts w:ascii="Calibri" w:hAnsi="Calibri" w:eastAsia="Calibri" w:cs="Calibri"/>
          <w:noProof w:val="0"/>
          <w:color w:val="auto"/>
          <w:sz w:val="24"/>
          <w:szCs w:val="24"/>
          <w:lang w:val="en-GB"/>
        </w:rPr>
        <w:t>states</w:t>
      </w:r>
      <w:r w:rsidRPr="2B6BFE28" w:rsidR="1D6BDFC9">
        <w:rPr>
          <w:rFonts w:ascii="Calibri" w:hAnsi="Calibri" w:eastAsia="Calibri" w:cs="Calibri"/>
          <w:noProof w:val="0"/>
          <w:color w:val="auto"/>
          <w:sz w:val="24"/>
          <w:szCs w:val="24"/>
          <w:lang w:val="en-GB"/>
        </w:rPr>
        <w:t xml:space="preserve"> that education is compulsory for all, ensuring that everyone has a right to a quality education. Grover, S. et al (2023) emphasise this in their work through stressing the importance of literacy for children. This links well because literacy is </w:t>
      </w:r>
      <w:r w:rsidRPr="2B6BFE28" w:rsidR="1D6BDFC9">
        <w:rPr>
          <w:rFonts w:ascii="Calibri" w:hAnsi="Calibri" w:eastAsia="Calibri" w:cs="Calibri"/>
          <w:noProof w:val="0"/>
          <w:color w:val="auto"/>
          <w:sz w:val="24"/>
          <w:szCs w:val="24"/>
          <w:lang w:val="en-GB"/>
        </w:rPr>
        <w:t>an important factor</w:t>
      </w:r>
      <w:r w:rsidRPr="2B6BFE28" w:rsidR="1D6BDFC9">
        <w:rPr>
          <w:rFonts w:ascii="Calibri" w:hAnsi="Calibri" w:eastAsia="Calibri" w:cs="Calibri"/>
          <w:noProof w:val="0"/>
          <w:color w:val="auto"/>
          <w:sz w:val="24"/>
          <w:szCs w:val="24"/>
          <w:lang w:val="en-GB"/>
        </w:rPr>
        <w:t xml:space="preserve"> to consider in a child's right to education. Article 28 may be seen as a success because it ensures education for all and creates an expectation and standard for all children to have a right to an education. Despite this, some could argue that the UNCRC does not guarantee this will be implemented across all countries due to the lack of funding and standards to provide for all.</w:t>
      </w:r>
    </w:p>
    <w:p xmlns:wp14="http://schemas.microsoft.com/office/word/2010/wordml" w:rsidP="2B6BFE28" wp14:paraId="32373E25" wp14:textId="3B4ED9E1">
      <w:pPr>
        <w:spacing w:before="28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In addition to the UNCRC, the Rights of Children and Young Persons (Wales) Measure 2011 was viewed as a turning point for children because this policy shaped the implementation of children's rights in the Welsh Government. This policy forced Welsh Ministers to ‘give due regard’ to the UNCRC, meaning children's rights must</w:t>
      </w:r>
      <w:r w:rsidRPr="2B6BFE28" w:rsidR="38153052">
        <w:rPr>
          <w:rFonts w:ascii="Calibri" w:hAnsi="Calibri" w:eastAsia="Calibri" w:cs="Calibri"/>
          <w:noProof w:val="0"/>
          <w:color w:val="auto"/>
          <w:sz w:val="24"/>
          <w:szCs w:val="24"/>
          <w:lang w:val="en-GB"/>
        </w:rPr>
        <w:t xml:space="preserve"> always be considered</w:t>
      </w:r>
      <w:r w:rsidRPr="2B6BFE28" w:rsidR="1D6BDFC9">
        <w:rPr>
          <w:rFonts w:ascii="Calibri" w:hAnsi="Calibri" w:eastAsia="Calibri" w:cs="Calibri"/>
          <w:noProof w:val="0"/>
          <w:color w:val="auto"/>
          <w:sz w:val="24"/>
          <w:szCs w:val="24"/>
          <w:lang w:val="en-GB"/>
        </w:rPr>
        <w:t xml:space="preserve"> when considering new legislation and policies. Although this is seen as highly impactful, we could argue that there are limitations due to only ministers having the privilege to do this, not local authorities, to further encourage and support schools on a deeper level. Williams (2012) discusses how the process of implementing the UNCRC through Welsh Ministers limits the effectiveness of ensuring rights for children and young people within local authorities.</w:t>
      </w:r>
    </w:p>
    <w:p xmlns:wp14="http://schemas.microsoft.com/office/word/2010/wordml" w:rsidP="2B6BFE28" wp14:paraId="09D534C4" wp14:textId="16A2A1E5">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Furthermore, Evans (2023) covers how Curriculum for Wales (2022) links well with children’s rights through exploring the early implementation of the new curriculum, discussing whether the Welsh Government will stick to what they think is best for children in education, or if it's a front to gain supporters only. The Curriculum for Wales (2022) places a strong emphasis on wanting the pupils' voices to be heard and to ensure that their well-being is considered throughout education. Through this, they set 6 areas of learning (Welsh Government, 2022) to ensure that there is a tailored learning subject that suits all, </w:t>
      </w:r>
      <w:r w:rsidRPr="2B6BFE28" w:rsidR="32892AC4">
        <w:rPr>
          <w:rFonts w:ascii="Calibri" w:hAnsi="Calibri" w:eastAsia="Calibri" w:cs="Calibri"/>
          <w:noProof w:val="0"/>
          <w:color w:val="auto"/>
          <w:sz w:val="24"/>
          <w:szCs w:val="24"/>
          <w:lang w:val="en-GB"/>
        </w:rPr>
        <w:t>and</w:t>
      </w:r>
      <w:r w:rsidRPr="2B6BFE28" w:rsidR="1D6BDFC9">
        <w:rPr>
          <w:rFonts w:ascii="Calibri" w:hAnsi="Calibri" w:eastAsia="Calibri" w:cs="Calibri"/>
          <w:noProof w:val="0"/>
          <w:color w:val="auto"/>
          <w:sz w:val="24"/>
          <w:szCs w:val="24"/>
          <w:lang w:val="en-GB"/>
        </w:rPr>
        <w:t xml:space="preserve"> that children’s rights are embedded throughout their learning journey, giving children a balance of learning, experience, and skills. The Curriculum for Wales (2022) ensured that pupils have a voice in what they </w:t>
      </w:r>
      <w:r w:rsidRPr="2B6BFE28" w:rsidR="1D6BDFC9">
        <w:rPr>
          <w:rFonts w:ascii="Calibri" w:hAnsi="Calibri" w:eastAsia="Calibri" w:cs="Calibri"/>
          <w:noProof w:val="0"/>
          <w:color w:val="auto"/>
          <w:sz w:val="24"/>
          <w:szCs w:val="24"/>
          <w:lang w:val="en-GB"/>
        </w:rPr>
        <w:t>desire</w:t>
      </w:r>
      <w:r w:rsidRPr="2B6BFE28" w:rsidR="1D6BDFC9">
        <w:rPr>
          <w:rFonts w:ascii="Calibri" w:hAnsi="Calibri" w:eastAsia="Calibri" w:cs="Calibri"/>
          <w:noProof w:val="0"/>
          <w:color w:val="auto"/>
          <w:sz w:val="24"/>
          <w:szCs w:val="24"/>
          <w:lang w:val="en-GB"/>
        </w:rPr>
        <w:t xml:space="preserve"> to study, regardless of everything planned. However, despite these intentions, the new curriculum still shows room for progress to be made with the core areas </w:t>
      </w:r>
      <w:r w:rsidRPr="2B6BFE28" w:rsidR="4A55D2F2">
        <w:rPr>
          <w:rFonts w:ascii="Calibri" w:hAnsi="Calibri" w:eastAsia="Calibri" w:cs="Calibri"/>
          <w:noProof w:val="0"/>
          <w:color w:val="auto"/>
          <w:sz w:val="24"/>
          <w:szCs w:val="24"/>
          <w:lang w:val="en-GB"/>
        </w:rPr>
        <w:t>for</w:t>
      </w:r>
      <w:r w:rsidRPr="2B6BFE28" w:rsidR="1D6BDFC9">
        <w:rPr>
          <w:rFonts w:ascii="Calibri" w:hAnsi="Calibri" w:eastAsia="Calibri" w:cs="Calibri"/>
          <w:noProof w:val="0"/>
          <w:color w:val="auto"/>
          <w:sz w:val="24"/>
          <w:szCs w:val="24"/>
          <w:lang w:val="en-GB"/>
        </w:rPr>
        <w:t xml:space="preserve"> pupils to have </w:t>
      </w:r>
      <w:r w:rsidRPr="2B6BFE28" w:rsidR="1D6BDFC9">
        <w:rPr>
          <w:rFonts w:ascii="Calibri" w:hAnsi="Calibri" w:eastAsia="Calibri" w:cs="Calibri"/>
          <w:noProof w:val="0"/>
          <w:color w:val="auto"/>
          <w:sz w:val="24"/>
          <w:szCs w:val="24"/>
          <w:lang w:val="en-GB"/>
        </w:rPr>
        <w:t>an option</w:t>
      </w:r>
      <w:r w:rsidRPr="2B6BFE28" w:rsidR="1D6BDFC9">
        <w:rPr>
          <w:rFonts w:ascii="Calibri" w:hAnsi="Calibri" w:eastAsia="Calibri" w:cs="Calibri"/>
          <w:noProof w:val="0"/>
          <w:color w:val="auto"/>
          <w:sz w:val="24"/>
          <w:szCs w:val="24"/>
          <w:lang w:val="en-GB"/>
        </w:rPr>
        <w:t>, but also some non-negotiables. Yet again, the new curriculum ensures that all areas of learning are covered for each stage for the child to develop through their primary and secondary education.</w:t>
      </w:r>
    </w:p>
    <w:p xmlns:wp14="http://schemas.microsoft.com/office/word/2010/wordml" w:rsidP="2B6BFE28" wp14:paraId="66685ED1" wp14:textId="7C192F14">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The ALN and Education Tribunal (Wales) Act 2018 also plays a significant role</w:t>
      </w:r>
      <w:r w:rsidRPr="2B6BFE28" w:rsidR="1D6BDFC9">
        <w:rPr>
          <w:rFonts w:ascii="Calibri" w:hAnsi="Calibri" w:eastAsia="Calibri" w:cs="Calibri"/>
          <w:noProof w:val="0"/>
          <w:color w:val="auto"/>
          <w:sz w:val="24"/>
          <w:szCs w:val="24"/>
          <w:lang w:val="en-GB"/>
        </w:rPr>
        <w:t xml:space="preserve">.  </w:t>
      </w:r>
      <w:r w:rsidRPr="2B6BFE28" w:rsidR="1D6BDFC9">
        <w:rPr>
          <w:rFonts w:ascii="Calibri" w:hAnsi="Calibri" w:eastAsia="Calibri" w:cs="Calibri"/>
          <w:noProof w:val="0"/>
          <w:color w:val="auto"/>
          <w:sz w:val="24"/>
          <w:szCs w:val="24"/>
          <w:lang w:val="en-GB"/>
        </w:rPr>
        <w:t xml:space="preserve">Moving away from degrading terminology to more inclusive terms. For example, ALN instead of SEN, Marsh (2024) highlights this in his article discussing terminology </w:t>
      </w:r>
      <w:r w:rsidRPr="2B6BFE28" w:rsidR="5DDC710D">
        <w:rPr>
          <w:rFonts w:ascii="Calibri" w:hAnsi="Calibri" w:eastAsia="Calibri" w:cs="Calibri"/>
          <w:noProof w:val="0"/>
          <w:color w:val="auto"/>
          <w:sz w:val="24"/>
          <w:szCs w:val="24"/>
          <w:lang w:val="en-GB"/>
        </w:rPr>
        <w:t>and</w:t>
      </w:r>
      <w:r w:rsidRPr="2B6BFE28" w:rsidR="1D6BDFC9">
        <w:rPr>
          <w:rFonts w:ascii="Calibri" w:hAnsi="Calibri" w:eastAsia="Calibri" w:cs="Calibri"/>
          <w:noProof w:val="0"/>
          <w:color w:val="auto"/>
          <w:sz w:val="24"/>
          <w:szCs w:val="24"/>
          <w:lang w:val="en-GB"/>
        </w:rPr>
        <w:t xml:space="preserve"> the importance of children having their own say in education. Children’s rights are considered throughout the implementation of this act, as the main aim was to ensure equal rights for children and young people across Wales, for all to experience fairness and inclusivity throughout their education. This also supports Article 12 of the UNCRC, where pupils are allowed to have their views and opinions heard and taken seriously, also linking with the participation element of the 3 p’s because the ALN Act (2018) states that children and carers are allowed to raise concerns and challenge the school's decisions if they wish to.</w:t>
      </w:r>
    </w:p>
    <w:p xmlns:wp14="http://schemas.microsoft.com/office/word/2010/wordml" w:rsidP="2B6BFE28" wp14:paraId="47051431" wp14:textId="229ED82A">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Whilst discussing legal policies and frameworks, we must consider educational contexts and how they implement these policies across education in Wales. Education for children begins in primary schools, this is where children experience their educational rights for the first time. For example, it is notable in Article 28 that the focus is on developing literacy skills and wellbeing of the child. Although there is no noticeable difference in their </w:t>
      </w:r>
      <w:r w:rsidRPr="2B6BFE28" w:rsidR="200CFC25">
        <w:rPr>
          <w:rFonts w:ascii="Calibri" w:hAnsi="Calibri" w:eastAsia="Calibri" w:cs="Calibri"/>
          <w:noProof w:val="0"/>
          <w:color w:val="auto"/>
          <w:sz w:val="24"/>
          <w:szCs w:val="24"/>
          <w:lang w:val="en-GB"/>
        </w:rPr>
        <w:t>rights, children</w:t>
      </w:r>
      <w:r w:rsidRPr="2B6BFE28" w:rsidR="1D6BDFC9">
        <w:rPr>
          <w:rFonts w:ascii="Calibri" w:hAnsi="Calibri" w:eastAsia="Calibri" w:cs="Calibri"/>
          <w:noProof w:val="0"/>
          <w:color w:val="auto"/>
          <w:sz w:val="24"/>
          <w:szCs w:val="24"/>
          <w:lang w:val="en-GB"/>
        </w:rPr>
        <w:t xml:space="preserve"> become more aware of their rights as they develop into secondary school, being able to understand at a deeper level. The curriculum becomes broader due to more pupils having to be considered. This is seen as a disadvantage because some would argue that not all pupils are seen for their voices to be heard, whilst balancing this alongside the pressure of their workload compared to the primary school standard. This further emphasises that children's rights can be viewed differently in different educational contexts, although their rights are legally identical</w:t>
      </w:r>
      <w:r w:rsidRPr="2B6BFE28" w:rsidR="1D6BDFC9">
        <w:rPr>
          <w:rFonts w:ascii="Calibri" w:hAnsi="Calibri" w:eastAsia="Calibri" w:cs="Calibri"/>
          <w:noProof w:val="0"/>
          <w:color w:val="auto"/>
          <w:sz w:val="24"/>
          <w:szCs w:val="24"/>
          <w:lang w:val="en-GB"/>
        </w:rPr>
        <w:t xml:space="preserve">.  </w:t>
      </w:r>
    </w:p>
    <w:p xmlns:wp14="http://schemas.microsoft.com/office/word/2010/wordml" w:rsidP="2B6BFE28" wp14:paraId="7F3C3418" wp14:textId="28AEF451">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Child development theorists also help us have a deeper understanding of embedding children's rights in education because, to this day, we use the ideology from many theorists, for example, Vygotsky, Piaget, Maslow, and more</w:t>
      </w:r>
      <w:r w:rsidRPr="2B6BFE28" w:rsidR="1D6BDFC9">
        <w:rPr>
          <w:rFonts w:ascii="Calibri" w:hAnsi="Calibri" w:eastAsia="Calibri" w:cs="Calibri"/>
          <w:noProof w:val="0"/>
          <w:color w:val="auto"/>
          <w:sz w:val="24"/>
          <w:szCs w:val="24"/>
          <w:lang w:val="en-GB"/>
        </w:rPr>
        <w:t xml:space="preserve">.  </w:t>
      </w:r>
      <w:r w:rsidRPr="2B6BFE28" w:rsidR="1D6BDFC9">
        <w:rPr>
          <w:rFonts w:ascii="Calibri" w:hAnsi="Calibri" w:eastAsia="Calibri" w:cs="Calibri"/>
          <w:noProof w:val="0"/>
          <w:color w:val="auto"/>
          <w:sz w:val="24"/>
          <w:szCs w:val="24"/>
          <w:lang w:val="en-GB"/>
        </w:rPr>
        <w:t xml:space="preserve">Vygotsky’s concept of social constructivism emphasises the right of voice, encouraging social interactions with the more knowledgeable others throughout his theory, which is reflected in Wu et al. (2025) work. The foundations of Vygotsky’s theory, for example, collaborative learning further support Article 12 because the Curriculum for Wales altered their ideas </w:t>
      </w:r>
      <w:r w:rsidRPr="2B6BFE28" w:rsidR="1D6BDFC9">
        <w:rPr>
          <w:rFonts w:ascii="Calibri" w:hAnsi="Calibri" w:eastAsia="Calibri" w:cs="Calibri"/>
          <w:noProof w:val="0"/>
          <w:color w:val="auto"/>
          <w:sz w:val="24"/>
          <w:szCs w:val="24"/>
          <w:lang w:val="en-GB"/>
        </w:rPr>
        <w:t>in order to</w:t>
      </w:r>
      <w:r w:rsidRPr="2B6BFE28" w:rsidR="1D6BDFC9">
        <w:rPr>
          <w:rFonts w:ascii="Calibri" w:hAnsi="Calibri" w:eastAsia="Calibri" w:cs="Calibri"/>
          <w:noProof w:val="0"/>
          <w:color w:val="auto"/>
          <w:sz w:val="24"/>
          <w:szCs w:val="24"/>
          <w:lang w:val="en-GB"/>
        </w:rPr>
        <w:t xml:space="preserve"> allow children to express themselves, which encourages the children to engage with their learning process and become active contributors during their lessons.</w:t>
      </w:r>
    </w:p>
    <w:p xmlns:wp14="http://schemas.microsoft.com/office/word/2010/wordml" w:rsidP="2B6BFE28" wp14:paraId="4009F2B8" wp14:textId="6B55A7BF">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Moving on, Piaget’s four stages of cognitive development emphasise how development progresses through stages from the sensorimotor to the formal operational stage McLeod, (2025). This reinforces the right of children to have a quality education. The purpose of the four stages is to align with the children's age and to track the children’s progress in meeting their milestones. From an ALN perspective, Piaget’s theory links well with the ALNET Act 2018 in Wales, a rights-based document supporting pupils, ensuring their rights are heard and that their teaching standards are meeting their developmental stage. </w:t>
      </w:r>
      <w:r w:rsidRPr="2B6BFE28" w:rsidR="1D6BDFC9">
        <w:rPr>
          <w:rFonts w:ascii="Calibri" w:hAnsi="Calibri" w:eastAsia="Calibri" w:cs="Calibri"/>
          <w:noProof w:val="0"/>
          <w:color w:val="auto"/>
          <w:sz w:val="24"/>
          <w:szCs w:val="24"/>
          <w:lang w:val="en-GB"/>
        </w:rPr>
        <w:t>Similar to</w:t>
      </w:r>
      <w:r w:rsidRPr="2B6BFE28" w:rsidR="1D6BDFC9">
        <w:rPr>
          <w:rFonts w:ascii="Calibri" w:hAnsi="Calibri" w:eastAsia="Calibri" w:cs="Calibri"/>
          <w:noProof w:val="0"/>
          <w:color w:val="auto"/>
          <w:sz w:val="24"/>
          <w:szCs w:val="24"/>
          <w:lang w:val="en-GB"/>
        </w:rPr>
        <w:t xml:space="preserve"> Vygotsky, Piaget also stresses the importance of interaction within the classroom, supporting the right to share one's views. Zhan et al. (2022) highlight the importance of this in their article, </w:t>
      </w:r>
      <w:r w:rsidRPr="2B6BFE28" w:rsidR="1D6BDFC9">
        <w:rPr>
          <w:rFonts w:ascii="Calibri" w:hAnsi="Calibri" w:eastAsia="Calibri" w:cs="Calibri"/>
          <w:noProof w:val="0"/>
          <w:color w:val="auto"/>
          <w:sz w:val="24"/>
          <w:szCs w:val="24"/>
          <w:lang w:val="en-GB"/>
        </w:rPr>
        <w:t>stating</w:t>
      </w:r>
      <w:r w:rsidRPr="2B6BFE28" w:rsidR="1D6BDFC9">
        <w:rPr>
          <w:rFonts w:ascii="Calibri" w:hAnsi="Calibri" w:eastAsia="Calibri" w:cs="Calibri"/>
          <w:noProof w:val="0"/>
          <w:color w:val="auto"/>
          <w:sz w:val="24"/>
          <w:szCs w:val="24"/>
          <w:lang w:val="en-GB"/>
        </w:rPr>
        <w:t xml:space="preserve"> that development varies based on the child's developmental stage, linking with </w:t>
      </w:r>
      <w:r w:rsidRPr="2B6BFE28" w:rsidR="1D6BDFC9">
        <w:rPr>
          <w:rFonts w:ascii="Calibri" w:hAnsi="Calibri" w:eastAsia="Calibri" w:cs="Calibri"/>
          <w:noProof w:val="0"/>
          <w:color w:val="auto"/>
          <w:sz w:val="24"/>
          <w:szCs w:val="24"/>
          <w:lang w:val="en-GB"/>
        </w:rPr>
        <w:t>piaget</w:t>
      </w:r>
      <w:r w:rsidRPr="2B6BFE28" w:rsidR="1D6BDFC9">
        <w:rPr>
          <w:rFonts w:ascii="Calibri" w:hAnsi="Calibri" w:eastAsia="Calibri" w:cs="Calibri"/>
          <w:noProof w:val="0"/>
          <w:color w:val="auto"/>
          <w:sz w:val="24"/>
          <w:szCs w:val="24"/>
          <w:lang w:val="en-GB"/>
        </w:rPr>
        <w:t xml:space="preserve"> cognitive development theory. Piaget’s theory also supports the participation element of the Tripartite Classification of the UNCRC, whilst understanding that the stages of cognitive development encourage the expression of opinions and the ability to reason.</w:t>
      </w:r>
    </w:p>
    <w:p xmlns:wp14="http://schemas.microsoft.com/office/word/2010/wordml" w:rsidP="2B6BFE28" wp14:paraId="7DB79696" wp14:textId="7A7F17C8">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Another theorist to consider is Maslow with the hierarchy of needs theory, which simply explains that for a child to develop and progress within education, the child's fundamental needs </w:t>
      </w:r>
      <w:r w:rsidRPr="2B6BFE28" w:rsidR="1D6BDFC9">
        <w:rPr>
          <w:rFonts w:ascii="Calibri" w:hAnsi="Calibri" w:eastAsia="Calibri" w:cs="Calibri"/>
          <w:noProof w:val="0"/>
          <w:color w:val="auto"/>
          <w:sz w:val="24"/>
          <w:szCs w:val="24"/>
          <w:lang w:val="en-GB"/>
        </w:rPr>
        <w:t>are required to</w:t>
      </w:r>
      <w:r w:rsidRPr="2B6BFE28" w:rsidR="1D6BDFC9">
        <w:rPr>
          <w:rFonts w:ascii="Calibri" w:hAnsi="Calibri" w:eastAsia="Calibri" w:cs="Calibri"/>
          <w:noProof w:val="0"/>
          <w:color w:val="auto"/>
          <w:sz w:val="24"/>
          <w:szCs w:val="24"/>
          <w:lang w:val="en-GB"/>
        </w:rPr>
        <w:t xml:space="preserve"> be met before further progressing into curriculum-based education (</w:t>
      </w:r>
      <w:r w:rsidRPr="2B6BFE28" w:rsidR="1D6BDFC9">
        <w:rPr>
          <w:rFonts w:ascii="Calibri" w:hAnsi="Calibri" w:eastAsia="Calibri" w:cs="Calibri"/>
          <w:noProof w:val="0"/>
          <w:color w:val="auto"/>
          <w:sz w:val="24"/>
          <w:szCs w:val="24"/>
          <w:lang w:val="en-GB"/>
        </w:rPr>
        <w:t>Pichère</w:t>
      </w:r>
      <w:r w:rsidRPr="2B6BFE28" w:rsidR="1D6BDFC9">
        <w:rPr>
          <w:rFonts w:ascii="Calibri" w:hAnsi="Calibri" w:eastAsia="Calibri" w:cs="Calibri"/>
          <w:noProof w:val="0"/>
          <w:color w:val="auto"/>
          <w:sz w:val="24"/>
          <w:szCs w:val="24"/>
          <w:lang w:val="en-GB"/>
        </w:rPr>
        <w:t xml:space="preserve">, P. and </w:t>
      </w:r>
      <w:r w:rsidRPr="2B6BFE28" w:rsidR="1D6BDFC9">
        <w:rPr>
          <w:rFonts w:ascii="Calibri" w:hAnsi="Calibri" w:eastAsia="Calibri" w:cs="Calibri"/>
          <w:noProof w:val="0"/>
          <w:color w:val="auto"/>
          <w:sz w:val="24"/>
          <w:szCs w:val="24"/>
          <w:lang w:val="en-GB"/>
        </w:rPr>
        <w:t>Cadiat</w:t>
      </w:r>
      <w:r w:rsidRPr="2B6BFE28" w:rsidR="1D6BDFC9">
        <w:rPr>
          <w:rFonts w:ascii="Calibri" w:hAnsi="Calibri" w:eastAsia="Calibri" w:cs="Calibri"/>
          <w:noProof w:val="0"/>
          <w:color w:val="auto"/>
          <w:sz w:val="24"/>
          <w:szCs w:val="24"/>
          <w:lang w:val="en-GB"/>
        </w:rPr>
        <w:t>, 2016). This link with a rights-based approach emphasizes the importance of a child's safety before moving forward in education.</w:t>
      </w:r>
    </w:p>
    <w:p xmlns:wp14="http://schemas.microsoft.com/office/word/2010/wordml" w:rsidP="2B6BFE28" wp14:paraId="3AEEED04" wp14:textId="7C7CAD05">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Bronfenbrenner’s ecological systems theory widens the outlook on education while considering the rights of a child, because his theory </w:t>
      </w:r>
      <w:r w:rsidRPr="2B6BFE28" w:rsidR="1D6BDFC9">
        <w:rPr>
          <w:rFonts w:ascii="Calibri" w:hAnsi="Calibri" w:eastAsia="Calibri" w:cs="Calibri"/>
          <w:noProof w:val="0"/>
          <w:color w:val="auto"/>
          <w:sz w:val="24"/>
          <w:szCs w:val="24"/>
          <w:lang w:val="en-GB"/>
        </w:rPr>
        <w:t>indicates</w:t>
      </w:r>
      <w:r w:rsidRPr="2B6BFE28" w:rsidR="1D6BDFC9">
        <w:rPr>
          <w:rFonts w:ascii="Calibri" w:hAnsi="Calibri" w:eastAsia="Calibri" w:cs="Calibri"/>
          <w:noProof w:val="0"/>
          <w:color w:val="auto"/>
          <w:sz w:val="24"/>
          <w:szCs w:val="24"/>
          <w:lang w:val="en-GB"/>
        </w:rPr>
        <w:t xml:space="preserve"> that children’s experiences are formed based on interconnected systems. He </w:t>
      </w:r>
      <w:r w:rsidRPr="2B6BFE28" w:rsidR="1D6BDFC9">
        <w:rPr>
          <w:rFonts w:ascii="Calibri" w:hAnsi="Calibri" w:eastAsia="Calibri" w:cs="Calibri"/>
          <w:noProof w:val="0"/>
          <w:color w:val="auto"/>
          <w:sz w:val="24"/>
          <w:szCs w:val="24"/>
          <w:lang w:val="en-GB"/>
        </w:rPr>
        <w:t>demonstrates</w:t>
      </w:r>
      <w:r w:rsidRPr="2B6BFE28" w:rsidR="1D6BDFC9">
        <w:rPr>
          <w:rFonts w:ascii="Calibri" w:hAnsi="Calibri" w:eastAsia="Calibri" w:cs="Calibri"/>
          <w:noProof w:val="0"/>
          <w:color w:val="auto"/>
          <w:sz w:val="24"/>
          <w:szCs w:val="24"/>
          <w:lang w:val="en-GB"/>
        </w:rPr>
        <w:t xml:space="preserve"> this through a circular diagram. (Guy-Evans, 2025) shows that Bronfenbrenner </w:t>
      </w:r>
      <w:r w:rsidRPr="2B6BFE28" w:rsidR="1D6BDFC9">
        <w:rPr>
          <w:rFonts w:ascii="Calibri" w:hAnsi="Calibri" w:eastAsia="Calibri" w:cs="Calibri"/>
          <w:noProof w:val="0"/>
          <w:color w:val="auto"/>
          <w:sz w:val="24"/>
          <w:szCs w:val="24"/>
          <w:lang w:val="en-GB"/>
        </w:rPr>
        <w:t>demonstrates</w:t>
      </w:r>
      <w:r w:rsidRPr="2B6BFE28" w:rsidR="1D6BDFC9">
        <w:rPr>
          <w:rFonts w:ascii="Calibri" w:hAnsi="Calibri" w:eastAsia="Calibri" w:cs="Calibri"/>
          <w:noProof w:val="0"/>
          <w:color w:val="auto"/>
          <w:sz w:val="24"/>
          <w:szCs w:val="24"/>
          <w:lang w:val="en-GB"/>
        </w:rPr>
        <w:t xml:space="preserve"> this through a circular diagram moving from intermediate to more vague connections. This system is used to support children’s rights throughout each section to ensure their rights are prioritised within education. Alongside this, Ben‐Arieh and Attar-Schwartz (2013) discuss the ecological approach to children's rights and stress how this system plays a key role in ensuring children's rights and is useful to use as a starting point.</w:t>
      </w:r>
    </w:p>
    <w:p xmlns:wp14="http://schemas.microsoft.com/office/word/2010/wordml" w:rsidP="2B6BFE28" wp14:paraId="76CA073F" wp14:textId="600CAA8A">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Overall, the theoretical perspective discussed above emphasises the importance of children's rights and development and the significance of ensuring </w:t>
      </w:r>
      <w:r w:rsidRPr="2B6BFE28" w:rsidR="1D6BDFC9">
        <w:rPr>
          <w:rFonts w:ascii="Calibri" w:hAnsi="Calibri" w:eastAsia="Calibri" w:cs="Calibri"/>
          <w:noProof w:val="0"/>
          <w:color w:val="auto"/>
          <w:sz w:val="24"/>
          <w:szCs w:val="24"/>
          <w:lang w:val="en-GB"/>
        </w:rPr>
        <w:t>they're</w:t>
      </w:r>
      <w:r w:rsidRPr="2B6BFE28" w:rsidR="1D6BDFC9">
        <w:rPr>
          <w:rFonts w:ascii="Calibri" w:hAnsi="Calibri" w:eastAsia="Calibri" w:cs="Calibri"/>
          <w:noProof w:val="0"/>
          <w:color w:val="auto"/>
          <w:sz w:val="24"/>
          <w:szCs w:val="24"/>
          <w:lang w:val="en-GB"/>
        </w:rPr>
        <w:t xml:space="preserve"> heard and taken seriously, as </w:t>
      </w:r>
      <w:r w:rsidRPr="2B6BFE28" w:rsidR="1D6BDFC9">
        <w:rPr>
          <w:rFonts w:ascii="Calibri" w:hAnsi="Calibri" w:eastAsia="Calibri" w:cs="Calibri"/>
          <w:noProof w:val="0"/>
          <w:color w:val="auto"/>
          <w:sz w:val="24"/>
          <w:szCs w:val="24"/>
          <w:lang w:val="en-GB"/>
        </w:rPr>
        <w:t>stated</w:t>
      </w:r>
      <w:r w:rsidRPr="2B6BFE28" w:rsidR="1D6BDFC9">
        <w:rPr>
          <w:rFonts w:ascii="Calibri" w:hAnsi="Calibri" w:eastAsia="Calibri" w:cs="Calibri"/>
          <w:noProof w:val="0"/>
          <w:color w:val="auto"/>
          <w:sz w:val="24"/>
          <w:szCs w:val="24"/>
          <w:lang w:val="en-GB"/>
        </w:rPr>
        <w:t xml:space="preserve"> in Article 12 of the UNCRC. The theories are useful for being able to apply to a classroom setting rather than reviewing policies only.</w:t>
      </w:r>
    </w:p>
    <w:p xmlns:wp14="http://schemas.microsoft.com/office/word/2010/wordml" w:rsidP="2B6BFE28" wp14:paraId="59C75326" wp14:textId="7C54ED5D">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Next, case studies will be analysed to grasp examples of how a rights-based approach is considered in the real world. Case studies offer a more realistic view of embedding children's rights across education in Wales. Research from ECPRP (2022) shows the importance of the factor participation whilst considering the rights-based approach. </w:t>
      </w:r>
      <w:r w:rsidRPr="2B6BFE28" w:rsidR="28F6D122">
        <w:rPr>
          <w:rFonts w:ascii="Calibri" w:hAnsi="Calibri" w:eastAsia="Calibri" w:cs="Calibri"/>
          <w:noProof w:val="0"/>
          <w:color w:val="auto"/>
          <w:sz w:val="24"/>
          <w:szCs w:val="24"/>
          <w:lang w:val="en-GB"/>
        </w:rPr>
        <w:t>Additionally,</w:t>
      </w:r>
      <w:r w:rsidRPr="2B6BFE28" w:rsidR="1D6BDFC9">
        <w:rPr>
          <w:rFonts w:ascii="Calibri" w:hAnsi="Calibri" w:eastAsia="Calibri" w:cs="Calibri"/>
          <w:noProof w:val="0"/>
          <w:color w:val="auto"/>
          <w:sz w:val="24"/>
          <w:szCs w:val="24"/>
          <w:lang w:val="en-GB"/>
        </w:rPr>
        <w:t xml:space="preserve"> </w:t>
      </w:r>
      <w:r w:rsidRPr="2B6BFE28" w:rsidR="61DD5DE2">
        <w:rPr>
          <w:rFonts w:ascii="Calibri" w:hAnsi="Calibri" w:eastAsia="Calibri" w:cs="Calibri"/>
          <w:noProof w:val="0"/>
          <w:color w:val="auto"/>
          <w:sz w:val="24"/>
          <w:szCs w:val="24"/>
          <w:lang w:val="en-GB"/>
        </w:rPr>
        <w:t>Shaik, (</w:t>
      </w:r>
      <w:r w:rsidRPr="2B6BFE28" w:rsidR="1D6BDFC9">
        <w:rPr>
          <w:rFonts w:ascii="Calibri" w:hAnsi="Calibri" w:eastAsia="Calibri" w:cs="Calibri"/>
          <w:noProof w:val="0"/>
          <w:color w:val="auto"/>
          <w:sz w:val="24"/>
          <w:szCs w:val="24"/>
          <w:lang w:val="en-GB"/>
        </w:rPr>
        <w:t xml:space="preserve">2023) followed up research </w:t>
      </w:r>
      <w:r w:rsidRPr="2B6BFE28" w:rsidR="1D6BDFC9">
        <w:rPr>
          <w:rFonts w:ascii="Calibri" w:hAnsi="Calibri" w:eastAsia="Calibri" w:cs="Calibri"/>
          <w:noProof w:val="0"/>
          <w:color w:val="auto"/>
          <w:sz w:val="24"/>
          <w:szCs w:val="24"/>
          <w:lang w:val="en-GB"/>
        </w:rPr>
        <w:t>stating</w:t>
      </w:r>
      <w:r w:rsidRPr="2B6BFE28" w:rsidR="1D6BDFC9">
        <w:rPr>
          <w:rFonts w:ascii="Calibri" w:hAnsi="Calibri" w:eastAsia="Calibri" w:cs="Calibri"/>
          <w:noProof w:val="0"/>
          <w:color w:val="auto"/>
          <w:sz w:val="24"/>
          <w:szCs w:val="24"/>
          <w:lang w:val="en-GB"/>
        </w:rPr>
        <w:t xml:space="preserve"> that “The United Nations Convention on the Rights of the Child was the most important catalyst for the actualisation of children’s rights.” This highlights how participation plays a key role in the progression of young people's rights and ensures they will always be considered within an educational setting.</w:t>
      </w:r>
    </w:p>
    <w:p xmlns:wp14="http://schemas.microsoft.com/office/word/2010/wordml" w:rsidP="2B6BFE28" wp14:paraId="75D0D0EE" wp14:textId="6EEDBC10">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The child commissioner for Wales released a document titled “The Right Way.” </w:t>
      </w:r>
      <w:r w:rsidRPr="2B6BFE28" w:rsidR="1D6BDFC9">
        <w:rPr>
          <w:rFonts w:ascii="Calibri" w:hAnsi="Calibri" w:eastAsia="Calibri" w:cs="Calibri"/>
          <w:noProof w:val="0"/>
          <w:color w:val="auto"/>
          <w:sz w:val="24"/>
          <w:szCs w:val="24"/>
          <w:lang w:val="en-GB"/>
        </w:rPr>
        <w:t xml:space="preserve">After </w:t>
      </w:r>
      <w:r w:rsidRPr="2B6BFE28" w:rsidR="0597E8B5">
        <w:rPr>
          <w:rFonts w:ascii="Calibri" w:hAnsi="Calibri" w:eastAsia="Calibri" w:cs="Calibri"/>
          <w:noProof w:val="0"/>
          <w:color w:val="auto"/>
          <w:sz w:val="24"/>
          <w:szCs w:val="24"/>
          <w:lang w:val="en-GB"/>
        </w:rPr>
        <w:t>reading this, there</w:t>
      </w:r>
      <w:r w:rsidRPr="2B6BFE28" w:rsidR="1D6BDFC9">
        <w:rPr>
          <w:rFonts w:ascii="Calibri" w:hAnsi="Calibri" w:eastAsia="Calibri" w:cs="Calibri"/>
          <w:noProof w:val="0"/>
          <w:color w:val="auto"/>
          <w:sz w:val="24"/>
          <w:szCs w:val="24"/>
          <w:lang w:val="en-GB"/>
        </w:rPr>
        <w:t xml:space="preserve"> are a variety of case studies to consider. For example, the Participation case study released by BAYouth gives us an overview of the first youth advisory panel for young individuals. As </w:t>
      </w:r>
      <w:r w:rsidRPr="2B6BFE28" w:rsidR="1D6BDFC9">
        <w:rPr>
          <w:rFonts w:ascii="Calibri" w:hAnsi="Calibri" w:eastAsia="Calibri" w:cs="Calibri"/>
          <w:noProof w:val="0"/>
          <w:color w:val="auto"/>
          <w:sz w:val="24"/>
          <w:szCs w:val="24"/>
          <w:lang w:val="en-GB"/>
        </w:rPr>
        <w:t>it's</w:t>
      </w:r>
      <w:r w:rsidRPr="2B6BFE28" w:rsidR="1D6BDFC9">
        <w:rPr>
          <w:rFonts w:ascii="Calibri" w:hAnsi="Calibri" w:eastAsia="Calibri" w:cs="Calibri"/>
          <w:noProof w:val="0"/>
          <w:color w:val="auto"/>
          <w:sz w:val="24"/>
          <w:szCs w:val="24"/>
          <w:lang w:val="en-GB"/>
        </w:rPr>
        <w:t xml:space="preserve"> created by a health board, this falls under the public services perspective of embedding a children's rights-based approach. Through this, some could argue that this further gives children an influence to ensure their rights are taken seriously and not for granted within education, but also external to education as well. As seen above, we </w:t>
      </w:r>
      <w:r w:rsidRPr="2B6BFE28" w:rsidR="72B61165">
        <w:rPr>
          <w:rFonts w:ascii="Calibri" w:hAnsi="Calibri" w:eastAsia="Calibri" w:cs="Calibri"/>
          <w:noProof w:val="0"/>
          <w:color w:val="auto"/>
          <w:sz w:val="24"/>
          <w:szCs w:val="24"/>
          <w:lang w:val="en-GB"/>
        </w:rPr>
        <w:t>can</w:t>
      </w:r>
      <w:r w:rsidRPr="2B6BFE28" w:rsidR="1D6BDFC9">
        <w:rPr>
          <w:rFonts w:ascii="Calibri" w:hAnsi="Calibri" w:eastAsia="Calibri" w:cs="Calibri"/>
          <w:noProof w:val="0"/>
          <w:color w:val="auto"/>
          <w:sz w:val="24"/>
          <w:szCs w:val="24"/>
          <w:lang w:val="en-GB"/>
        </w:rPr>
        <w:t xml:space="preserve"> link research from Shaik (2023) with the BAYouth because they both show the importance of the participation element of the child’s rights and how they must be considered regardless of the circumstance.</w:t>
      </w:r>
    </w:p>
    <w:p xmlns:wp14="http://schemas.microsoft.com/office/word/2010/wordml" w:rsidP="2B6BFE28" wp14:paraId="5C04D22E" wp14:textId="46297113">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Considering education settings, this would be suited for comprehensive and further education students, as the document states, aged 14-24. Some could argue that this is </w:t>
      </w:r>
      <w:r w:rsidRPr="2B6BFE28" w:rsidR="1D6BDFC9">
        <w:rPr>
          <w:rFonts w:ascii="Calibri" w:hAnsi="Calibri" w:eastAsia="Calibri" w:cs="Calibri"/>
          <w:noProof w:val="0"/>
          <w:color w:val="auto"/>
          <w:sz w:val="24"/>
          <w:szCs w:val="24"/>
          <w:lang w:val="en-GB"/>
        </w:rPr>
        <w:t>fairly limited</w:t>
      </w:r>
      <w:r w:rsidRPr="2B6BFE28" w:rsidR="1D6BDFC9">
        <w:rPr>
          <w:rFonts w:ascii="Calibri" w:hAnsi="Calibri" w:eastAsia="Calibri" w:cs="Calibri"/>
          <w:noProof w:val="0"/>
          <w:color w:val="auto"/>
          <w:sz w:val="24"/>
          <w:szCs w:val="24"/>
          <w:lang w:val="en-GB"/>
        </w:rPr>
        <w:t>, as the support is only available to a certain age group.</w:t>
      </w:r>
    </w:p>
    <w:p xmlns:wp14="http://schemas.microsoft.com/office/word/2010/wordml" w:rsidP="2B6BFE28" wp14:paraId="62395F42" wp14:textId="6668AD95">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This case study links well with this essay because it shares a section dedicated to the UNCRC rights, including Article 28, the right to an education, considering all </w:t>
      </w:r>
      <w:r w:rsidRPr="2B6BFE28" w:rsidR="1D6BDFC9">
        <w:rPr>
          <w:rFonts w:ascii="Calibri" w:hAnsi="Calibri" w:eastAsia="Calibri" w:cs="Calibri"/>
          <w:noProof w:val="0"/>
          <w:color w:val="auto"/>
          <w:sz w:val="24"/>
          <w:szCs w:val="24"/>
          <w:lang w:val="en-GB"/>
        </w:rPr>
        <w:t>stages,s</w:t>
      </w:r>
      <w:r w:rsidRPr="2B6BFE28" w:rsidR="1D6BDFC9">
        <w:rPr>
          <w:rFonts w:ascii="Calibri" w:hAnsi="Calibri" w:eastAsia="Calibri" w:cs="Calibri"/>
          <w:noProof w:val="0"/>
          <w:color w:val="auto"/>
          <w:sz w:val="24"/>
          <w:szCs w:val="24"/>
          <w:lang w:val="en-GB"/>
        </w:rPr>
        <w:t xml:space="preserve"> including ALN settings. This direct link to an education setting shows us that ‘The Right Way’ is inclusive to all settings, although it is seen as a public service outside the education sector, Children's Commissioner for Wales and BAYouth (</w:t>
      </w:r>
      <w:r w:rsidRPr="2B6BFE28" w:rsidR="1D6BDFC9">
        <w:rPr>
          <w:rFonts w:ascii="Calibri" w:hAnsi="Calibri" w:eastAsia="Calibri" w:cs="Calibri"/>
          <w:noProof w:val="0"/>
          <w:color w:val="auto"/>
          <w:sz w:val="24"/>
          <w:szCs w:val="24"/>
          <w:lang w:val="en-GB"/>
        </w:rPr>
        <w:t>n.d</w:t>
      </w:r>
      <w:r w:rsidRPr="2B6BFE28" w:rsidR="1D6BDFC9">
        <w:rPr>
          <w:rFonts w:ascii="Calibri" w:hAnsi="Calibri" w:eastAsia="Calibri" w:cs="Calibri"/>
          <w:noProof w:val="0"/>
          <w:color w:val="auto"/>
          <w:sz w:val="24"/>
          <w:szCs w:val="24"/>
          <w:lang w:val="en-GB"/>
        </w:rPr>
        <w:t>)</w:t>
      </w:r>
    </w:p>
    <w:p xmlns:wp14="http://schemas.microsoft.com/office/word/2010/wordml" w:rsidP="2B6BFE28" wp14:paraId="5233FF5F" wp14:textId="266AABCF">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 The case-study also provides information on how young people can voice their views. For example, the </w:t>
      </w:r>
      <w:r w:rsidRPr="2B6BFE28" w:rsidR="1D6BDFC9">
        <w:rPr>
          <w:rFonts w:ascii="Calibri" w:hAnsi="Calibri" w:eastAsia="Calibri" w:cs="Calibri"/>
          <w:noProof w:val="0"/>
          <w:color w:val="auto"/>
          <w:sz w:val="24"/>
          <w:szCs w:val="24"/>
          <w:lang w:val="en-GB"/>
        </w:rPr>
        <w:t>Careersville</w:t>
      </w:r>
      <w:r w:rsidRPr="2B6BFE28" w:rsidR="1D6BDFC9">
        <w:rPr>
          <w:rFonts w:ascii="Calibri" w:hAnsi="Calibri" w:eastAsia="Calibri" w:cs="Calibri"/>
          <w:noProof w:val="0"/>
          <w:color w:val="auto"/>
          <w:sz w:val="24"/>
          <w:szCs w:val="24"/>
          <w:lang w:val="en-GB"/>
        </w:rPr>
        <w:t xml:space="preserve"> online portal offers support, which is seen as a positive, as it is anonymous for those around who may feel uncomfortable sharing in person. </w:t>
      </w:r>
    </w:p>
    <w:p xmlns:wp14="http://schemas.microsoft.com/office/word/2010/wordml" w:rsidP="2B6BFE28" wp14:paraId="6209CFDF" wp14:textId="7FF393B3">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Additionally, Professor Steve Smith, ( 2019) released ‘The Childhood Landscape in Wales’, a case study that discuss that Wales has progressed a childhood policy landscaped since devolution based on the UNCRC children's rights, highlighting key milestones for children's rights for example the UNCRC and the Children's Commissioner, all sharing information with the intentions for the best interest of the child.</w:t>
      </w:r>
    </w:p>
    <w:p xmlns:wp14="http://schemas.microsoft.com/office/word/2010/wordml" w:rsidP="2B6BFE28" wp14:paraId="54CFE5CD" wp14:textId="6CB7DA72">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Differently to BAYouth case-</w:t>
      </w:r>
      <w:r w:rsidRPr="2B6BFE28" w:rsidR="19D2DD59">
        <w:rPr>
          <w:rFonts w:ascii="Calibri" w:hAnsi="Calibri" w:eastAsia="Calibri" w:cs="Calibri"/>
          <w:noProof w:val="0"/>
          <w:color w:val="auto"/>
          <w:sz w:val="24"/>
          <w:szCs w:val="24"/>
          <w:lang w:val="en-GB"/>
        </w:rPr>
        <w:t>study, this</w:t>
      </w:r>
      <w:r w:rsidRPr="2B6BFE28" w:rsidR="1D6BDFC9">
        <w:rPr>
          <w:rFonts w:ascii="Calibri" w:hAnsi="Calibri" w:eastAsia="Calibri" w:cs="Calibri"/>
          <w:noProof w:val="0"/>
          <w:color w:val="auto"/>
          <w:sz w:val="24"/>
          <w:szCs w:val="24"/>
          <w:lang w:val="en-GB"/>
        </w:rPr>
        <w:t xml:space="preserve"> case study shares a focus on all educational settings, from early years up to secondary and even youth services. Despite this, after analysing, it is likely to best fit primary and secondary ages because the policies involved fit directly to these ages. For </w:t>
      </w:r>
      <w:r w:rsidRPr="2B6BFE28" w:rsidR="174A712E">
        <w:rPr>
          <w:rFonts w:ascii="Calibri" w:hAnsi="Calibri" w:eastAsia="Calibri" w:cs="Calibri"/>
          <w:noProof w:val="0"/>
          <w:color w:val="auto"/>
          <w:sz w:val="24"/>
          <w:szCs w:val="24"/>
          <w:lang w:val="en-GB"/>
        </w:rPr>
        <w:t>instance,</w:t>
      </w:r>
      <w:r w:rsidRPr="2B6BFE28" w:rsidR="1D6BDFC9">
        <w:rPr>
          <w:rFonts w:ascii="Calibri" w:hAnsi="Calibri" w:eastAsia="Calibri" w:cs="Calibri"/>
          <w:noProof w:val="0"/>
          <w:color w:val="auto"/>
          <w:sz w:val="24"/>
          <w:szCs w:val="24"/>
          <w:lang w:val="en-GB"/>
        </w:rPr>
        <w:t xml:space="preserve"> The Curriculum for Wales and the Rights Measure 2011.</w:t>
      </w:r>
    </w:p>
    <w:p xmlns:wp14="http://schemas.microsoft.com/office/word/2010/wordml" w:rsidP="2B6BFE28" wp14:paraId="3D708CAB" wp14:textId="75E693BD">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For the final case study, I will be analysing the </w:t>
      </w:r>
      <w:r w:rsidRPr="2B6BFE28" w:rsidR="1D6BDFC9">
        <w:rPr>
          <w:rFonts w:ascii="Calibri" w:hAnsi="Calibri" w:eastAsia="Calibri" w:cs="Calibri"/>
          <w:noProof w:val="0"/>
          <w:color w:val="auto"/>
          <w:sz w:val="24"/>
          <w:szCs w:val="24"/>
          <w:lang w:val="en-GB"/>
        </w:rPr>
        <w:t>Cefn</w:t>
      </w:r>
      <w:r w:rsidRPr="2B6BFE28" w:rsidR="1D6BDFC9">
        <w:rPr>
          <w:rFonts w:ascii="Calibri" w:hAnsi="Calibri" w:eastAsia="Calibri" w:cs="Calibri"/>
          <w:noProof w:val="0"/>
          <w:color w:val="auto"/>
          <w:sz w:val="24"/>
          <w:szCs w:val="24"/>
          <w:lang w:val="en-GB"/>
        </w:rPr>
        <w:t xml:space="preserve"> </w:t>
      </w:r>
      <w:r w:rsidRPr="2B6BFE28" w:rsidR="1D6BDFC9">
        <w:rPr>
          <w:rFonts w:ascii="Calibri" w:hAnsi="Calibri" w:eastAsia="Calibri" w:cs="Calibri"/>
          <w:noProof w:val="0"/>
          <w:color w:val="auto"/>
          <w:sz w:val="24"/>
          <w:szCs w:val="24"/>
          <w:lang w:val="en-GB"/>
        </w:rPr>
        <w:t>Hengoed</w:t>
      </w:r>
      <w:r w:rsidRPr="2B6BFE28" w:rsidR="1D6BDFC9">
        <w:rPr>
          <w:rFonts w:ascii="Calibri" w:hAnsi="Calibri" w:eastAsia="Calibri" w:cs="Calibri"/>
          <w:noProof w:val="0"/>
          <w:color w:val="auto"/>
          <w:sz w:val="24"/>
          <w:szCs w:val="24"/>
          <w:lang w:val="en-GB"/>
        </w:rPr>
        <w:t xml:space="preserve"> Community School, Swansea, Estyn inspection report. Estyn (2020) highlights the strong connection with the school council, ensuring children's rights are heard when it comes to education. The report shows that the school prioritises pupils voice especially with the council enforcing local policies and community activities. We can link this report nicely with the UNCRC, especially with Article 12, ensuring pupils have the freedom to express themselves. The community school also offers programs involving anti-bullying and spreading a positive atmosphere around the school. The participation from the council </w:t>
      </w:r>
      <w:r w:rsidRPr="2B6BFE28" w:rsidR="372714DB">
        <w:rPr>
          <w:rFonts w:ascii="Calibri" w:hAnsi="Calibri" w:eastAsia="Calibri" w:cs="Calibri"/>
          <w:noProof w:val="0"/>
          <w:color w:val="auto"/>
          <w:sz w:val="24"/>
          <w:szCs w:val="24"/>
          <w:lang w:val="en-GB"/>
        </w:rPr>
        <w:t>and</w:t>
      </w:r>
      <w:r w:rsidRPr="2B6BFE28" w:rsidR="1D6BDFC9">
        <w:rPr>
          <w:rFonts w:ascii="Calibri" w:hAnsi="Calibri" w:eastAsia="Calibri" w:cs="Calibri"/>
          <w:noProof w:val="0"/>
          <w:color w:val="auto"/>
          <w:sz w:val="24"/>
          <w:szCs w:val="24"/>
          <w:lang w:val="en-GB"/>
        </w:rPr>
        <w:t xml:space="preserve"> pupils </w:t>
      </w:r>
      <w:r w:rsidRPr="2B6BFE28" w:rsidR="34C22BC5">
        <w:rPr>
          <w:rFonts w:ascii="Calibri" w:hAnsi="Calibri" w:eastAsia="Calibri" w:cs="Calibri"/>
          <w:noProof w:val="0"/>
          <w:color w:val="auto"/>
          <w:sz w:val="24"/>
          <w:szCs w:val="24"/>
          <w:lang w:val="en-GB"/>
        </w:rPr>
        <w:t>play</w:t>
      </w:r>
      <w:r w:rsidRPr="2B6BFE28" w:rsidR="1D6BDFC9">
        <w:rPr>
          <w:rFonts w:ascii="Calibri" w:hAnsi="Calibri" w:eastAsia="Calibri" w:cs="Calibri"/>
          <w:noProof w:val="0"/>
          <w:color w:val="auto"/>
          <w:sz w:val="24"/>
          <w:szCs w:val="24"/>
          <w:lang w:val="en-GB"/>
        </w:rPr>
        <w:t xml:space="preserve"> </w:t>
      </w:r>
      <w:r w:rsidRPr="2B6BFE28" w:rsidR="1D6BDFC9">
        <w:rPr>
          <w:rFonts w:ascii="Calibri" w:hAnsi="Calibri" w:eastAsia="Calibri" w:cs="Calibri"/>
          <w:noProof w:val="0"/>
          <w:color w:val="auto"/>
          <w:sz w:val="24"/>
          <w:szCs w:val="24"/>
          <w:lang w:val="en-GB"/>
        </w:rPr>
        <w:t>an important role</w:t>
      </w:r>
      <w:r w:rsidRPr="2B6BFE28" w:rsidR="1D6BDFC9">
        <w:rPr>
          <w:rFonts w:ascii="Calibri" w:hAnsi="Calibri" w:eastAsia="Calibri" w:cs="Calibri"/>
          <w:noProof w:val="0"/>
          <w:color w:val="auto"/>
          <w:sz w:val="24"/>
          <w:szCs w:val="24"/>
          <w:lang w:val="en-GB"/>
        </w:rPr>
        <w:t xml:space="preserve"> whilst ensuring children's rights </w:t>
      </w:r>
      <w:r w:rsidRPr="2B6BFE28" w:rsidR="132485D5">
        <w:rPr>
          <w:rFonts w:ascii="Calibri" w:hAnsi="Calibri" w:eastAsia="Calibri" w:cs="Calibri"/>
          <w:noProof w:val="0"/>
          <w:color w:val="auto"/>
          <w:sz w:val="24"/>
          <w:szCs w:val="24"/>
          <w:lang w:val="en-GB"/>
        </w:rPr>
        <w:t>to</w:t>
      </w:r>
      <w:r w:rsidRPr="2B6BFE28" w:rsidR="1D6BDFC9">
        <w:rPr>
          <w:rFonts w:ascii="Calibri" w:hAnsi="Calibri" w:eastAsia="Calibri" w:cs="Calibri"/>
          <w:noProof w:val="0"/>
          <w:color w:val="auto"/>
          <w:sz w:val="24"/>
          <w:szCs w:val="24"/>
          <w:lang w:val="en-GB"/>
        </w:rPr>
        <w:t xml:space="preserve"> work together to strengthen pupils' right to have their own voice.</w:t>
      </w:r>
    </w:p>
    <w:p xmlns:wp14="http://schemas.microsoft.com/office/word/2010/wordml" w:rsidP="2B6BFE28" wp14:paraId="3816F857" wp14:textId="662801C1">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Within this Estyn report, there are multiple case studies included. The case study that </w:t>
      </w:r>
      <w:r w:rsidRPr="2B6BFE28" w:rsidR="1D6BDFC9">
        <w:rPr>
          <w:rFonts w:ascii="Calibri" w:hAnsi="Calibri" w:eastAsia="Calibri" w:cs="Calibri"/>
          <w:noProof w:val="0"/>
          <w:color w:val="auto"/>
          <w:sz w:val="24"/>
          <w:szCs w:val="24"/>
          <w:lang w:val="en-GB"/>
        </w:rPr>
        <w:t>appears to link</w:t>
      </w:r>
      <w:r w:rsidRPr="2B6BFE28" w:rsidR="1D6BDFC9">
        <w:rPr>
          <w:rFonts w:ascii="Calibri" w:hAnsi="Calibri" w:eastAsia="Calibri" w:cs="Calibri"/>
          <w:noProof w:val="0"/>
          <w:color w:val="auto"/>
          <w:sz w:val="24"/>
          <w:szCs w:val="24"/>
          <w:lang w:val="en-GB"/>
        </w:rPr>
        <w:t xml:space="preserve"> the best is the ‘Ferndale Community School: working in partnership to develop a community hub with co-located services’ case study. The case study </w:t>
      </w:r>
      <w:r w:rsidRPr="2B6BFE28" w:rsidR="1D6BDFC9">
        <w:rPr>
          <w:rFonts w:ascii="Calibri" w:hAnsi="Calibri" w:eastAsia="Calibri" w:cs="Calibri"/>
          <w:noProof w:val="0"/>
          <w:color w:val="auto"/>
          <w:sz w:val="24"/>
          <w:szCs w:val="24"/>
          <w:lang w:val="en-GB"/>
        </w:rPr>
        <w:t>states</w:t>
      </w:r>
      <w:r w:rsidRPr="2B6BFE28" w:rsidR="1D6BDFC9">
        <w:rPr>
          <w:rFonts w:ascii="Calibri" w:hAnsi="Calibri" w:eastAsia="Calibri" w:cs="Calibri"/>
          <w:noProof w:val="0"/>
          <w:color w:val="auto"/>
          <w:sz w:val="24"/>
          <w:szCs w:val="24"/>
          <w:lang w:val="en-GB"/>
        </w:rPr>
        <w:t xml:space="preserve">, </w:t>
      </w:r>
      <w:r w:rsidRPr="2B6BFE28" w:rsidR="78E6F2DD">
        <w:rPr>
          <w:rFonts w:ascii="Calibri" w:hAnsi="Calibri" w:eastAsia="Calibri" w:cs="Calibri"/>
          <w:noProof w:val="0"/>
          <w:color w:val="auto"/>
          <w:sz w:val="24"/>
          <w:szCs w:val="24"/>
          <w:lang w:val="en-GB"/>
        </w:rPr>
        <w:t>“The</w:t>
      </w:r>
      <w:r w:rsidRPr="2B6BFE28" w:rsidR="1D6BDFC9">
        <w:rPr>
          <w:rFonts w:ascii="Calibri" w:hAnsi="Calibri" w:eastAsia="Calibri" w:cs="Calibri"/>
          <w:noProof w:val="0"/>
          <w:color w:val="auto"/>
          <w:sz w:val="24"/>
          <w:szCs w:val="24"/>
          <w:lang w:val="en-GB"/>
        </w:rPr>
        <w:t xml:space="preserve"> strategic role of the local authority was crucial in developing the hub. For example, the authority supported the partnership in accessing funding and completing grant applications.” </w:t>
      </w:r>
    </w:p>
    <w:p xmlns:wp14="http://schemas.microsoft.com/office/word/2010/wordml" w:rsidP="2B6BFE28" wp14:paraId="435CBA84" wp14:textId="09886CAE">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This </w:t>
      </w:r>
      <w:r w:rsidRPr="2B6BFE28" w:rsidR="1D6BDFC9">
        <w:rPr>
          <w:rFonts w:ascii="Calibri" w:hAnsi="Calibri" w:eastAsia="Calibri" w:cs="Calibri"/>
          <w:noProof w:val="0"/>
          <w:color w:val="auto"/>
          <w:sz w:val="24"/>
          <w:szCs w:val="24"/>
          <w:lang w:val="en-GB"/>
        </w:rPr>
        <w:t>immediately</w:t>
      </w:r>
      <w:r w:rsidRPr="2B6BFE28" w:rsidR="1D6BDFC9">
        <w:rPr>
          <w:rFonts w:ascii="Calibri" w:hAnsi="Calibri" w:eastAsia="Calibri" w:cs="Calibri"/>
          <w:noProof w:val="0"/>
          <w:color w:val="auto"/>
          <w:sz w:val="24"/>
          <w:szCs w:val="24"/>
          <w:lang w:val="en-GB"/>
        </w:rPr>
        <w:t xml:space="preserve"> supports children’s rights within education, showing the role of the council playing part of the duty-</w:t>
      </w:r>
      <w:r w:rsidRPr="2B6BFE28" w:rsidR="1D6BDFC9">
        <w:rPr>
          <w:rFonts w:ascii="Calibri" w:hAnsi="Calibri" w:eastAsia="Calibri" w:cs="Calibri"/>
          <w:noProof w:val="0"/>
          <w:color w:val="auto"/>
          <w:sz w:val="24"/>
          <w:szCs w:val="24"/>
          <w:lang w:val="en-GB"/>
        </w:rPr>
        <w:t>baearer</w:t>
      </w:r>
      <w:r w:rsidRPr="2B6BFE28" w:rsidR="1D6BDFC9">
        <w:rPr>
          <w:rFonts w:ascii="Calibri" w:hAnsi="Calibri" w:eastAsia="Calibri" w:cs="Calibri"/>
          <w:noProof w:val="0"/>
          <w:color w:val="auto"/>
          <w:sz w:val="24"/>
          <w:szCs w:val="24"/>
          <w:lang w:val="en-GB"/>
        </w:rPr>
        <w:t xml:space="preserve"> to protect and remove any issues in educational settings. This also plays a key role in a rights-based approach by ensuring all pupils have access to the support they require. This further supports multiple articles under the UNCRC, for instance, Article 12, linking with participation. Article 24, The importance and right to health and well-being of children and young people. And Article 28, a right to education and more, </w:t>
      </w:r>
      <w:r w:rsidRPr="2B6BFE28" w:rsidR="1D6BDFC9">
        <w:rPr>
          <w:rFonts w:ascii="Calibri" w:hAnsi="Calibri" w:eastAsia="Calibri" w:cs="Calibri"/>
          <w:noProof w:val="0"/>
          <w:color w:val="auto"/>
          <w:sz w:val="24"/>
          <w:szCs w:val="24"/>
          <w:lang w:val="en-GB"/>
        </w:rPr>
        <w:t>provides</w:t>
      </w:r>
      <w:r w:rsidRPr="2B6BFE28" w:rsidR="1D6BDFC9">
        <w:rPr>
          <w:rFonts w:ascii="Calibri" w:hAnsi="Calibri" w:eastAsia="Calibri" w:cs="Calibri"/>
          <w:noProof w:val="0"/>
          <w:color w:val="auto"/>
          <w:sz w:val="24"/>
          <w:szCs w:val="24"/>
          <w:lang w:val="en-GB"/>
        </w:rPr>
        <w:t xml:space="preserve"> a range of events within the </w:t>
      </w:r>
      <w:r w:rsidRPr="2B6BFE28" w:rsidR="1D6BDFC9">
        <w:rPr>
          <w:rFonts w:ascii="Calibri" w:hAnsi="Calibri" w:eastAsia="Calibri" w:cs="Calibri"/>
          <w:noProof w:val="0"/>
          <w:color w:val="auto"/>
          <w:sz w:val="24"/>
          <w:szCs w:val="24"/>
          <w:lang w:val="en-GB"/>
        </w:rPr>
        <w:t>hwb</w:t>
      </w:r>
      <w:r w:rsidRPr="2B6BFE28" w:rsidR="1D6BDFC9">
        <w:rPr>
          <w:rFonts w:ascii="Calibri" w:hAnsi="Calibri" w:eastAsia="Calibri" w:cs="Calibri"/>
          <w:noProof w:val="0"/>
          <w:color w:val="auto"/>
          <w:sz w:val="24"/>
          <w:szCs w:val="24"/>
          <w:lang w:val="en-GB"/>
        </w:rPr>
        <w:t xml:space="preserve"> for all ages. This case study covers early ages up until adulthood, being inclusive to all within educational settings </w:t>
      </w:r>
      <w:r w:rsidRPr="2B6BFE28" w:rsidR="1D6BDFC9">
        <w:rPr>
          <w:rFonts w:ascii="Calibri" w:hAnsi="Calibri" w:eastAsia="Calibri" w:cs="Calibri"/>
          <w:noProof w:val="0"/>
          <w:color w:val="auto"/>
          <w:sz w:val="24"/>
          <w:szCs w:val="24"/>
          <w:lang w:val="en-GB"/>
        </w:rPr>
        <w:t>and also</w:t>
      </w:r>
      <w:r w:rsidRPr="2B6BFE28" w:rsidR="1D6BDFC9">
        <w:rPr>
          <w:rFonts w:ascii="Calibri" w:hAnsi="Calibri" w:eastAsia="Calibri" w:cs="Calibri"/>
          <w:noProof w:val="0"/>
          <w:color w:val="auto"/>
          <w:sz w:val="24"/>
          <w:szCs w:val="24"/>
          <w:lang w:val="en-GB"/>
        </w:rPr>
        <w:t xml:space="preserve"> outside educational settings.</w:t>
      </w:r>
    </w:p>
    <w:p xmlns:wp14="http://schemas.microsoft.com/office/word/2010/wordml" w:rsidP="2B6BFE28" wp14:paraId="7E86B436" wp14:textId="12AA07EF">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To conclude the evaluation of the ESTYN report, it is </w:t>
      </w:r>
      <w:r w:rsidRPr="2B6BFE28" w:rsidR="1D6BDFC9">
        <w:rPr>
          <w:rFonts w:ascii="Calibri" w:hAnsi="Calibri" w:eastAsia="Calibri" w:cs="Calibri"/>
          <w:noProof w:val="0"/>
          <w:color w:val="auto"/>
          <w:sz w:val="24"/>
          <w:szCs w:val="24"/>
          <w:lang w:val="en-GB"/>
        </w:rPr>
        <w:t>evident</w:t>
      </w:r>
      <w:r w:rsidRPr="2B6BFE28" w:rsidR="1D6BDFC9">
        <w:rPr>
          <w:rFonts w:ascii="Calibri" w:hAnsi="Calibri" w:eastAsia="Calibri" w:cs="Calibri"/>
          <w:noProof w:val="0"/>
          <w:color w:val="auto"/>
          <w:sz w:val="24"/>
          <w:szCs w:val="24"/>
          <w:lang w:val="en-GB"/>
        </w:rPr>
        <w:t xml:space="preserve"> that the community schools want the best outcomes for </w:t>
      </w:r>
      <w:r w:rsidRPr="2B6BFE28" w:rsidR="1D6BDFC9">
        <w:rPr>
          <w:rFonts w:ascii="Calibri" w:hAnsi="Calibri" w:eastAsia="Calibri" w:cs="Calibri"/>
          <w:noProof w:val="0"/>
          <w:color w:val="auto"/>
          <w:sz w:val="24"/>
          <w:szCs w:val="24"/>
          <w:lang w:val="en-GB"/>
        </w:rPr>
        <w:t>all of</w:t>
      </w:r>
      <w:r w:rsidRPr="2B6BFE28" w:rsidR="1D6BDFC9">
        <w:rPr>
          <w:rFonts w:ascii="Calibri" w:hAnsi="Calibri" w:eastAsia="Calibri" w:cs="Calibri"/>
          <w:noProof w:val="0"/>
          <w:color w:val="auto"/>
          <w:sz w:val="24"/>
          <w:szCs w:val="24"/>
          <w:lang w:val="en-GB"/>
        </w:rPr>
        <w:t xml:space="preserve"> their pupils by sharing their aim of securing a safe and uplifting environment for the pupils to have the best outcomes for all students. </w:t>
      </w:r>
    </w:p>
    <w:p xmlns:wp14="http://schemas.microsoft.com/office/word/2010/wordml" w:rsidP="2B6BFE28" wp14:paraId="2007A293" wp14:textId="37894265">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Moving on from case studies, within an educational setting, there are many barriers and issues to be considered under the topic of rights within education. Despite the successful policies as discussed above, the process of embedding the rights creates a barrier to implementing further.</w:t>
      </w:r>
    </w:p>
    <w:p xmlns:wp14="http://schemas.microsoft.com/office/word/2010/wordml" w:rsidP="2B6BFE28" wp14:paraId="03615D2D" wp14:textId="0C0D114D">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A significant barrier is the funding cuts within local authorities, without funding </w:t>
      </w:r>
      <w:r w:rsidRPr="2B6BFE28" w:rsidR="1D6BDFC9">
        <w:rPr>
          <w:rFonts w:ascii="Calibri" w:hAnsi="Calibri" w:eastAsia="Calibri" w:cs="Calibri"/>
          <w:noProof w:val="0"/>
          <w:color w:val="auto"/>
          <w:sz w:val="24"/>
          <w:szCs w:val="24"/>
          <w:lang w:val="en-GB"/>
        </w:rPr>
        <w:t>its</w:t>
      </w:r>
      <w:r w:rsidRPr="2B6BFE28" w:rsidR="1D6BDFC9">
        <w:rPr>
          <w:rFonts w:ascii="Calibri" w:hAnsi="Calibri" w:eastAsia="Calibri" w:cs="Calibri"/>
          <w:noProof w:val="0"/>
          <w:color w:val="auto"/>
          <w:sz w:val="24"/>
          <w:szCs w:val="24"/>
          <w:lang w:val="en-GB"/>
        </w:rPr>
        <w:t xml:space="preserve"> difficult to embed a rights-based approach successfully. Research from Lewis (2024) highlights in the BBC article that </w:t>
      </w:r>
      <w:r w:rsidRPr="2B6BFE28" w:rsidR="1D6BDFC9">
        <w:rPr>
          <w:rFonts w:ascii="Calibri" w:hAnsi="Calibri" w:eastAsia="Calibri" w:cs="Calibri"/>
          <w:noProof w:val="0"/>
          <w:color w:val="auto"/>
          <w:sz w:val="24"/>
          <w:szCs w:val="24"/>
          <w:lang w:val="en-GB"/>
        </w:rPr>
        <w:t>numerous</w:t>
      </w:r>
      <w:r w:rsidRPr="2B6BFE28" w:rsidR="1D6BDFC9">
        <w:rPr>
          <w:rFonts w:ascii="Calibri" w:hAnsi="Calibri" w:eastAsia="Calibri" w:cs="Calibri"/>
          <w:noProof w:val="0"/>
          <w:color w:val="auto"/>
          <w:sz w:val="24"/>
          <w:szCs w:val="24"/>
          <w:lang w:val="en-GB"/>
        </w:rPr>
        <w:t xml:space="preserve"> councils in Wales are struggling due to a lack of funding, facing worries for schools to ensure children's rights are being upheld in the classroom and in an education setting. Additionally, this article </w:t>
      </w:r>
      <w:r w:rsidRPr="2B6BFE28" w:rsidR="1D6BDFC9">
        <w:rPr>
          <w:rFonts w:ascii="Calibri" w:hAnsi="Calibri" w:eastAsia="Calibri" w:cs="Calibri"/>
          <w:noProof w:val="0"/>
          <w:color w:val="auto"/>
          <w:sz w:val="24"/>
          <w:szCs w:val="24"/>
          <w:lang w:val="en-GB"/>
        </w:rPr>
        <w:t>states</w:t>
      </w:r>
      <w:r w:rsidRPr="2B6BFE28" w:rsidR="1D6BDFC9">
        <w:rPr>
          <w:rFonts w:ascii="Calibri" w:hAnsi="Calibri" w:eastAsia="Calibri" w:cs="Calibri"/>
          <w:noProof w:val="0"/>
          <w:color w:val="auto"/>
          <w:sz w:val="24"/>
          <w:szCs w:val="24"/>
          <w:lang w:val="en-GB"/>
        </w:rPr>
        <w:t xml:space="preserve"> the financial risk to well-being officers and ALN support staff. This raises concerns whilst discussing embedding children’s rights because we rely on these members of staff in education to ensure the child's needs are being met efficiently. As a result of the lack of funding, it is arguable that this disrupts Article 12 of a child having the right to express their views and opinions. However, this is impossible with the lack of funding </w:t>
      </w:r>
      <w:r w:rsidRPr="2B6BFE28" w:rsidR="1D6BDFC9">
        <w:rPr>
          <w:rFonts w:ascii="Calibri" w:hAnsi="Calibri" w:eastAsia="Calibri" w:cs="Calibri"/>
          <w:noProof w:val="0"/>
          <w:color w:val="auto"/>
          <w:sz w:val="24"/>
          <w:szCs w:val="24"/>
          <w:lang w:val="en-GB"/>
        </w:rPr>
        <w:t>that's</w:t>
      </w:r>
      <w:r w:rsidRPr="2B6BFE28" w:rsidR="1D6BDFC9">
        <w:rPr>
          <w:rFonts w:ascii="Calibri" w:hAnsi="Calibri" w:eastAsia="Calibri" w:cs="Calibri"/>
          <w:noProof w:val="0"/>
          <w:color w:val="auto"/>
          <w:sz w:val="24"/>
          <w:szCs w:val="24"/>
          <w:lang w:val="en-GB"/>
        </w:rPr>
        <w:t xml:space="preserve"> in place.</w:t>
      </w:r>
    </w:p>
    <w:p xmlns:wp14="http://schemas.microsoft.com/office/word/2010/wordml" w:rsidP="2B6BFE28" wp14:paraId="75B45C94" wp14:textId="6A9AB9C1">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Welsh Government (2026) highlights the issues of embedding children's rights </w:t>
      </w:r>
      <w:r w:rsidRPr="2B6BFE28" w:rsidR="1D6BDFC9">
        <w:rPr>
          <w:rFonts w:ascii="Calibri" w:hAnsi="Calibri" w:eastAsia="Calibri" w:cs="Calibri"/>
          <w:noProof w:val="0"/>
          <w:color w:val="auto"/>
          <w:sz w:val="24"/>
          <w:szCs w:val="24"/>
          <w:lang w:val="en-GB"/>
        </w:rPr>
        <w:t>regarding</w:t>
      </w:r>
      <w:r w:rsidRPr="2B6BFE28" w:rsidR="1D6BDFC9">
        <w:rPr>
          <w:rFonts w:ascii="Calibri" w:hAnsi="Calibri" w:eastAsia="Calibri" w:cs="Calibri"/>
          <w:noProof w:val="0"/>
          <w:color w:val="auto"/>
          <w:sz w:val="24"/>
          <w:szCs w:val="24"/>
          <w:lang w:val="en-GB"/>
        </w:rPr>
        <w:t xml:space="preserve"> social care funding. The document shows that the CRIA’s emphasise the worries of the sustainability of youth services linking with an education setting this limits the process of embedding children’s rights. </w:t>
      </w:r>
      <w:r w:rsidRPr="2B6BFE28" w:rsidR="1D6BDFC9">
        <w:rPr>
          <w:rFonts w:ascii="Calibri" w:hAnsi="Calibri" w:eastAsia="Calibri" w:cs="Calibri"/>
          <w:noProof w:val="0"/>
          <w:color w:val="auto"/>
          <w:sz w:val="24"/>
          <w:szCs w:val="24"/>
          <w:lang w:val="en-GB"/>
        </w:rPr>
        <w:t>Similar to</w:t>
      </w:r>
      <w:r w:rsidRPr="2B6BFE28" w:rsidR="1D6BDFC9">
        <w:rPr>
          <w:rFonts w:ascii="Calibri" w:hAnsi="Calibri" w:eastAsia="Calibri" w:cs="Calibri"/>
          <w:noProof w:val="0"/>
          <w:color w:val="auto"/>
          <w:sz w:val="24"/>
          <w:szCs w:val="24"/>
          <w:lang w:val="en-GB"/>
        </w:rPr>
        <w:t xml:space="preserve"> the funding cuts barrier, this also limits the right to Article 12 of a child's voice being heard, by reducing the number of opportunities given to children in education.</w:t>
      </w:r>
    </w:p>
    <w:p xmlns:wp14="http://schemas.microsoft.com/office/word/2010/wordml" w:rsidP="2B6BFE28" wp14:paraId="194558CA" wp14:textId="467F67C7">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An </w:t>
      </w:r>
      <w:r w:rsidRPr="2B6BFE28" w:rsidR="1D6BDFC9">
        <w:rPr>
          <w:rFonts w:ascii="Calibri" w:hAnsi="Calibri" w:eastAsia="Calibri" w:cs="Calibri"/>
          <w:noProof w:val="0"/>
          <w:color w:val="auto"/>
          <w:sz w:val="24"/>
          <w:szCs w:val="24"/>
          <w:lang w:val="en-GB"/>
        </w:rPr>
        <w:t>additional</w:t>
      </w:r>
      <w:r w:rsidRPr="2B6BFE28" w:rsidR="1D6BDFC9">
        <w:rPr>
          <w:rFonts w:ascii="Calibri" w:hAnsi="Calibri" w:eastAsia="Calibri" w:cs="Calibri"/>
          <w:noProof w:val="0"/>
          <w:color w:val="auto"/>
          <w:sz w:val="24"/>
          <w:szCs w:val="24"/>
          <w:lang w:val="en-GB"/>
        </w:rPr>
        <w:t xml:space="preserve"> barrier to embedding children's rights would be the lack of multi-agency working to support pupils in need, pupils whose rights are not met</w:t>
      </w:r>
      <w:r w:rsidRPr="2B6BFE28" w:rsidR="1D6BDFC9">
        <w:rPr>
          <w:rFonts w:ascii="Calibri" w:hAnsi="Calibri" w:eastAsia="Calibri" w:cs="Calibri"/>
          <w:noProof w:val="0"/>
          <w:color w:val="auto"/>
          <w:sz w:val="24"/>
          <w:szCs w:val="24"/>
          <w:lang w:val="en-GB"/>
        </w:rPr>
        <w:t xml:space="preserve">.  </w:t>
      </w:r>
      <w:r w:rsidRPr="2B6BFE28" w:rsidR="1D6BDFC9">
        <w:rPr>
          <w:rFonts w:ascii="Calibri" w:hAnsi="Calibri" w:eastAsia="Calibri" w:cs="Calibri"/>
          <w:noProof w:val="0"/>
          <w:color w:val="auto"/>
          <w:sz w:val="24"/>
          <w:szCs w:val="24"/>
          <w:lang w:val="en-GB"/>
        </w:rPr>
        <w:t xml:space="preserve">For example, the inquiries from the Senedd CYPE Committee share an emphasis on the struggles children face in Wales </w:t>
      </w:r>
      <w:r w:rsidRPr="2B6BFE28" w:rsidR="1D6BDFC9">
        <w:rPr>
          <w:rFonts w:ascii="Calibri" w:hAnsi="Calibri" w:eastAsia="Calibri" w:cs="Calibri"/>
          <w:noProof w:val="0"/>
          <w:color w:val="auto"/>
          <w:sz w:val="24"/>
          <w:szCs w:val="24"/>
          <w:lang w:val="en-GB"/>
        </w:rPr>
        <w:t>regarding</w:t>
      </w:r>
      <w:r w:rsidRPr="2B6BFE28" w:rsidR="1D6BDFC9">
        <w:rPr>
          <w:rFonts w:ascii="Calibri" w:hAnsi="Calibri" w:eastAsia="Calibri" w:cs="Calibri"/>
          <w:noProof w:val="0"/>
          <w:color w:val="auto"/>
          <w:sz w:val="24"/>
          <w:szCs w:val="24"/>
          <w:lang w:val="en-GB"/>
        </w:rPr>
        <w:t xml:space="preserve"> delays in gaining access to the specialist support they have a right to receive. Watkins (2023) supports this in their article, highlighting the lack of urgency from CAMHS, showing inconsistency in support for all in need.</w:t>
      </w:r>
    </w:p>
    <w:p xmlns:wp14="http://schemas.microsoft.com/office/word/2010/wordml" w:rsidP="2B6BFE28" wp14:paraId="5FAC2F43" wp14:textId="537BEB21">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Moving on, there</w:t>
      </w:r>
      <w:r w:rsidRPr="2B6BFE28" w:rsidR="1D6BDFC9">
        <w:rPr>
          <w:rFonts w:ascii="Calibri" w:hAnsi="Calibri" w:eastAsia="Calibri" w:cs="Calibri"/>
          <w:noProof w:val="0"/>
          <w:color w:val="auto"/>
          <w:sz w:val="24"/>
          <w:szCs w:val="24"/>
          <w:lang w:val="en-GB"/>
        </w:rPr>
        <w:t xml:space="preserve"> are effective strategies to further ensure children’s rights are considered in educational settings. The Welsh Government and local authorities use the Curriculum for Wales to embed these rights across education through the UNCRC, ensuring all children have </w:t>
      </w:r>
      <w:r w:rsidRPr="2B6BFE28" w:rsidR="15806816">
        <w:rPr>
          <w:rFonts w:ascii="Calibri" w:hAnsi="Calibri" w:eastAsia="Calibri" w:cs="Calibri"/>
          <w:noProof w:val="0"/>
          <w:color w:val="auto"/>
          <w:sz w:val="24"/>
          <w:szCs w:val="24"/>
          <w:lang w:val="en-GB"/>
        </w:rPr>
        <w:t>a focus</w:t>
      </w:r>
      <w:r w:rsidRPr="2B6BFE28" w:rsidR="1D6BDFC9">
        <w:rPr>
          <w:rFonts w:ascii="Calibri" w:hAnsi="Calibri" w:eastAsia="Calibri" w:cs="Calibri"/>
          <w:noProof w:val="0"/>
          <w:color w:val="auto"/>
          <w:sz w:val="24"/>
          <w:szCs w:val="24"/>
          <w:lang w:val="en-GB"/>
        </w:rPr>
        <w:t xml:space="preserve"> within education, </w:t>
      </w:r>
      <w:r w:rsidRPr="2B6BFE28" w:rsidR="1D6BDFC9">
        <w:rPr>
          <w:rFonts w:ascii="Calibri" w:hAnsi="Calibri" w:eastAsia="Calibri" w:cs="Calibri"/>
          <w:noProof w:val="0"/>
          <w:color w:val="auto"/>
          <w:sz w:val="24"/>
          <w:szCs w:val="24"/>
          <w:lang w:val="en-GB"/>
        </w:rPr>
        <w:t>opening up</w:t>
      </w:r>
      <w:r w:rsidRPr="2B6BFE28" w:rsidR="1D6BDFC9">
        <w:rPr>
          <w:rFonts w:ascii="Calibri" w:hAnsi="Calibri" w:eastAsia="Calibri" w:cs="Calibri"/>
          <w:noProof w:val="0"/>
          <w:color w:val="auto"/>
          <w:sz w:val="24"/>
          <w:szCs w:val="24"/>
          <w:lang w:val="en-GB"/>
        </w:rPr>
        <w:t xml:space="preserve"> a range of opportunities. Within this strategy, pupils' voices are ensured to be heard and </w:t>
      </w:r>
      <w:r w:rsidRPr="2B6BFE28" w:rsidR="5190145F">
        <w:rPr>
          <w:rFonts w:ascii="Calibri" w:hAnsi="Calibri" w:eastAsia="Calibri" w:cs="Calibri"/>
          <w:noProof w:val="0"/>
          <w:color w:val="auto"/>
          <w:sz w:val="24"/>
          <w:szCs w:val="24"/>
          <w:lang w:val="en-GB"/>
        </w:rPr>
        <w:t>considered</w:t>
      </w:r>
      <w:r w:rsidRPr="2B6BFE28" w:rsidR="1D6BDFC9">
        <w:rPr>
          <w:rFonts w:ascii="Calibri" w:hAnsi="Calibri" w:eastAsia="Calibri" w:cs="Calibri"/>
          <w:noProof w:val="0"/>
          <w:color w:val="auto"/>
          <w:sz w:val="24"/>
          <w:szCs w:val="24"/>
          <w:lang w:val="en-GB"/>
        </w:rPr>
        <w:t xml:space="preserve">. Without the UNCRC </w:t>
      </w:r>
      <w:r w:rsidRPr="2B6BFE28" w:rsidR="2CD1329C">
        <w:rPr>
          <w:rFonts w:ascii="Calibri" w:hAnsi="Calibri" w:eastAsia="Calibri" w:cs="Calibri"/>
          <w:noProof w:val="0"/>
          <w:color w:val="auto"/>
          <w:sz w:val="24"/>
          <w:szCs w:val="24"/>
          <w:lang w:val="en-GB"/>
        </w:rPr>
        <w:t>children's</w:t>
      </w:r>
      <w:r w:rsidRPr="2B6BFE28" w:rsidR="1D6BDFC9">
        <w:rPr>
          <w:rFonts w:ascii="Calibri" w:hAnsi="Calibri" w:eastAsia="Calibri" w:cs="Calibri"/>
          <w:noProof w:val="0"/>
          <w:color w:val="auto"/>
          <w:sz w:val="24"/>
          <w:szCs w:val="24"/>
          <w:lang w:val="en-GB"/>
        </w:rPr>
        <w:t xml:space="preserve"> rights would not have been considered.</w:t>
      </w:r>
    </w:p>
    <w:p xmlns:wp14="http://schemas.microsoft.com/office/word/2010/wordml" w:rsidP="2B6BFE28" wp14:paraId="6100447D" wp14:textId="6CD40C82">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Matthews, Whitehead-Lewis, and Scelsi (2024) list in their article the variety of effective strategies to enable pupil and learner voice, supporting Article 12 of the UNCRC. </w:t>
      </w:r>
      <w:r w:rsidRPr="2B6BFE28" w:rsidR="1D6BDFC9">
        <w:rPr>
          <w:rFonts w:ascii="Calibri" w:hAnsi="Calibri" w:eastAsia="Calibri" w:cs="Calibri"/>
          <w:noProof w:val="0"/>
          <w:color w:val="auto"/>
          <w:sz w:val="24"/>
          <w:szCs w:val="24"/>
          <w:lang w:val="en-GB"/>
        </w:rPr>
        <w:t>Catchgate</w:t>
      </w:r>
      <w:r w:rsidRPr="2B6BFE28" w:rsidR="1D6BDFC9">
        <w:rPr>
          <w:rFonts w:ascii="Calibri" w:hAnsi="Calibri" w:eastAsia="Calibri" w:cs="Calibri"/>
          <w:noProof w:val="0"/>
          <w:color w:val="auto"/>
          <w:sz w:val="24"/>
          <w:szCs w:val="24"/>
          <w:lang w:val="en-GB"/>
        </w:rPr>
        <w:t xml:space="preserve"> Primary School in Durham dedicated sessions to mental health and well-being, shaping pupils' views towards this, through worry boxes, “you said we did” assemblies, circle time, and more.</w:t>
      </w:r>
    </w:p>
    <w:p xmlns:wp14="http://schemas.microsoft.com/office/word/2010/wordml" w:rsidP="2B6BFE28" wp14:paraId="07A9BA63" wp14:textId="2183D778">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Additionally, the safeguarding and well-being of the children is a significant factor to consider. Schools often use strategies like </w:t>
      </w:r>
      <w:r w:rsidRPr="2B6BFE28" w:rsidR="1D6BDFC9">
        <w:rPr>
          <w:rFonts w:ascii="Calibri" w:hAnsi="Calibri" w:eastAsia="Calibri" w:cs="Calibri"/>
          <w:noProof w:val="0"/>
          <w:color w:val="auto"/>
          <w:sz w:val="24"/>
          <w:szCs w:val="24"/>
          <w:lang w:val="en-GB"/>
        </w:rPr>
        <w:t>My Concern</w:t>
      </w:r>
      <w:r w:rsidRPr="2B6BFE28" w:rsidR="1D6BDFC9">
        <w:rPr>
          <w:rFonts w:ascii="Calibri" w:hAnsi="Calibri" w:eastAsia="Calibri" w:cs="Calibri"/>
          <w:noProof w:val="0"/>
          <w:color w:val="auto"/>
          <w:sz w:val="24"/>
          <w:szCs w:val="24"/>
          <w:lang w:val="en-GB"/>
        </w:rPr>
        <w:t xml:space="preserve"> to document any worries </w:t>
      </w:r>
      <w:r w:rsidRPr="2B6BFE28" w:rsidR="1D6BDFC9">
        <w:rPr>
          <w:rFonts w:ascii="Calibri" w:hAnsi="Calibri" w:eastAsia="Calibri" w:cs="Calibri"/>
          <w:noProof w:val="0"/>
          <w:color w:val="auto"/>
          <w:sz w:val="24"/>
          <w:szCs w:val="24"/>
          <w:lang w:val="en-GB"/>
        </w:rPr>
        <w:t>regarding</w:t>
      </w:r>
      <w:r w:rsidRPr="2B6BFE28" w:rsidR="1D6BDFC9">
        <w:rPr>
          <w:rFonts w:ascii="Calibri" w:hAnsi="Calibri" w:eastAsia="Calibri" w:cs="Calibri"/>
          <w:noProof w:val="0"/>
          <w:color w:val="auto"/>
          <w:sz w:val="24"/>
          <w:szCs w:val="24"/>
          <w:lang w:val="en-GB"/>
        </w:rPr>
        <w:t xml:space="preserve"> the pupils' well-being, prioritising the pupils' right to safety.</w:t>
      </w:r>
    </w:p>
    <w:p xmlns:wp14="http://schemas.microsoft.com/office/word/2010/wordml" w:rsidP="2B6BFE28" wp14:paraId="4CC73D8A" wp14:textId="160C2CD5">
      <w:pPr>
        <w:spacing w:before="160" w:beforeAutospacing="off" w:after="160" w:afterAutospacing="off" w:line="276"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To conclude, </w:t>
      </w:r>
      <w:r w:rsidRPr="2B6BFE28" w:rsidR="1D6BDFC9">
        <w:rPr>
          <w:rFonts w:ascii="Calibri" w:hAnsi="Calibri" w:eastAsia="Calibri" w:cs="Calibri"/>
          <w:noProof w:val="0"/>
          <w:color w:val="auto"/>
          <w:sz w:val="24"/>
          <w:szCs w:val="24"/>
          <w:lang w:val="en-GB"/>
        </w:rPr>
        <w:t>it is clear that education</w:t>
      </w:r>
      <w:r w:rsidRPr="2B6BFE28" w:rsidR="1D6BDFC9">
        <w:rPr>
          <w:rFonts w:ascii="Calibri" w:hAnsi="Calibri" w:eastAsia="Calibri" w:cs="Calibri"/>
          <w:noProof w:val="0"/>
          <w:color w:val="auto"/>
          <w:sz w:val="24"/>
          <w:szCs w:val="24"/>
          <w:lang w:val="en-GB"/>
        </w:rPr>
        <w:t xml:space="preserve"> in Wales has prioritised many policies and frameworks to successfully embed children's rights throughout education. </w:t>
      </w:r>
      <w:r w:rsidRPr="2B6BFE28" w:rsidR="1D6BDFC9">
        <w:rPr>
          <w:rFonts w:ascii="Calibri" w:hAnsi="Calibri" w:eastAsia="Calibri" w:cs="Calibri"/>
          <w:noProof w:val="0"/>
          <w:color w:val="auto"/>
          <w:sz w:val="24"/>
          <w:szCs w:val="24"/>
          <w:lang w:val="en-GB"/>
        </w:rPr>
        <w:t>Mainly through</w:t>
      </w:r>
      <w:r w:rsidRPr="2B6BFE28" w:rsidR="1D6BDFC9">
        <w:rPr>
          <w:rFonts w:ascii="Calibri" w:hAnsi="Calibri" w:eastAsia="Calibri" w:cs="Calibri"/>
          <w:noProof w:val="0"/>
          <w:color w:val="auto"/>
          <w:sz w:val="24"/>
          <w:szCs w:val="24"/>
          <w:lang w:val="en-GB"/>
        </w:rPr>
        <w:t xml:space="preserve"> the work of the children's commissioner under the UNCRC, but also the support in upholding the UNCRC’s work in the Rights of Children and Young Persons Wales Measure 2011. Both led to children having more rights within education. For example, the introduction to the Curriculum for Wales 2022 and the ALN Act 2018, ensuring all rights are inclusive and equal within an education setting from primary to further education. Although there were barriers to be seen whilst evaluating, mostly </w:t>
      </w:r>
      <w:r w:rsidRPr="2B6BFE28" w:rsidR="1D6BDFC9">
        <w:rPr>
          <w:rFonts w:ascii="Calibri" w:hAnsi="Calibri" w:eastAsia="Calibri" w:cs="Calibri"/>
          <w:noProof w:val="0"/>
          <w:color w:val="auto"/>
          <w:sz w:val="24"/>
          <w:szCs w:val="24"/>
          <w:lang w:val="en-GB"/>
        </w:rPr>
        <w:t>regarding</w:t>
      </w:r>
      <w:r w:rsidRPr="2B6BFE28" w:rsidR="1D6BDFC9">
        <w:rPr>
          <w:rFonts w:ascii="Calibri" w:hAnsi="Calibri" w:eastAsia="Calibri" w:cs="Calibri"/>
          <w:noProof w:val="0"/>
          <w:color w:val="auto"/>
          <w:sz w:val="24"/>
          <w:szCs w:val="24"/>
          <w:lang w:val="en-GB"/>
        </w:rPr>
        <w:t xml:space="preserve"> financial issues. Without the </w:t>
      </w:r>
      <w:r w:rsidRPr="2B6BFE28" w:rsidR="1D6BDFC9">
        <w:rPr>
          <w:rFonts w:ascii="Calibri" w:hAnsi="Calibri" w:eastAsia="Calibri" w:cs="Calibri"/>
          <w:noProof w:val="0"/>
          <w:color w:val="auto"/>
          <w:sz w:val="24"/>
          <w:szCs w:val="24"/>
          <w:lang w:val="en-GB"/>
        </w:rPr>
        <w:t>appropriate funding</w:t>
      </w:r>
      <w:r w:rsidRPr="2B6BFE28" w:rsidR="1D6BDFC9">
        <w:rPr>
          <w:rFonts w:ascii="Calibri" w:hAnsi="Calibri" w:eastAsia="Calibri" w:cs="Calibri"/>
          <w:noProof w:val="0"/>
          <w:color w:val="auto"/>
          <w:sz w:val="24"/>
          <w:szCs w:val="24"/>
          <w:lang w:val="en-GB"/>
        </w:rPr>
        <w:t xml:space="preserve">, it has proven to be difficult to progress the process of embedding a rights-based approach effectively within education in Wales. Regardless of this, schools have shown many effective strategies to uphold children's rights, ensuring their voices are constantly being heard through strategies like school councils, assemblies, and even digital support that has been put in place, like </w:t>
      </w:r>
      <w:r w:rsidRPr="2B6BFE28" w:rsidR="1D6BDFC9">
        <w:rPr>
          <w:rFonts w:ascii="Calibri" w:hAnsi="Calibri" w:eastAsia="Calibri" w:cs="Calibri"/>
          <w:noProof w:val="0"/>
          <w:color w:val="auto"/>
          <w:sz w:val="24"/>
          <w:szCs w:val="24"/>
          <w:lang w:val="en-GB"/>
        </w:rPr>
        <w:t>My Concern</w:t>
      </w:r>
      <w:r w:rsidRPr="2B6BFE28" w:rsidR="1D6BDFC9">
        <w:rPr>
          <w:rFonts w:ascii="Calibri" w:hAnsi="Calibri" w:eastAsia="Calibri" w:cs="Calibri"/>
          <w:noProof w:val="0"/>
          <w:color w:val="auto"/>
          <w:sz w:val="24"/>
          <w:szCs w:val="24"/>
          <w:lang w:val="en-GB"/>
        </w:rPr>
        <w:t>. Summarising this, research supports that Wales has shown a clear effort to encourage a rights-based approach in a range of education settings, encouraging through legislation and policies.</w:t>
      </w:r>
    </w:p>
    <w:p xmlns:wp14="http://schemas.microsoft.com/office/word/2010/wordml" w:rsidP="2B6BFE28" wp14:paraId="018A9B5B" wp14:textId="506A2EA6">
      <w:pPr>
        <w:spacing w:before="160" w:beforeAutospacing="off" w:after="16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  </w:t>
      </w:r>
    </w:p>
    <w:p xmlns:wp14="http://schemas.microsoft.com/office/word/2010/wordml" w:rsidP="2B6BFE28" wp14:paraId="31274AEF" wp14:textId="5C52F62D">
      <w:pPr>
        <w:spacing w:before="160" w:beforeAutospacing="off" w:after="160" w:afterAutospacing="off" w:line="360" w:lineRule="auto"/>
        <w:rPr>
          <w:rFonts w:ascii="Calibri" w:hAnsi="Calibri" w:eastAsia="Calibri" w:cs="Calibri"/>
          <w:b w:val="1"/>
          <w:bCs w:val="1"/>
          <w:strike w:val="0"/>
          <w:dstrike w:val="0"/>
          <w:noProof w:val="0"/>
          <w:color w:val="auto"/>
          <w:sz w:val="24"/>
          <w:szCs w:val="24"/>
          <w:u w:val="single"/>
          <w:lang w:val="en-GB"/>
        </w:rPr>
      </w:pPr>
      <w:r w:rsidRPr="2B6BFE28" w:rsidR="1D6BDFC9">
        <w:rPr>
          <w:rFonts w:ascii="Calibri" w:hAnsi="Calibri" w:eastAsia="Calibri" w:cs="Calibri"/>
          <w:b w:val="1"/>
          <w:bCs w:val="1"/>
          <w:strike w:val="0"/>
          <w:dstrike w:val="0"/>
          <w:noProof w:val="0"/>
          <w:color w:val="auto"/>
          <w:sz w:val="24"/>
          <w:szCs w:val="24"/>
          <w:u w:val="single"/>
          <w:lang w:val="en-GB"/>
        </w:rPr>
        <w:t>Reference list:</w:t>
      </w:r>
    </w:p>
    <w:p xmlns:wp14="http://schemas.microsoft.com/office/word/2010/wordml" w:rsidP="2B6BFE28" wp14:paraId="0DEC04F9" wp14:textId="79BBE1E0">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Ben‐Arieh, A. and Attar-Schwartz, S. (2013). An ecological approach to children’s rights and participation: Interrelationships and correlates of rights in different ecological systems. </w:t>
      </w:r>
      <w:r w:rsidRPr="2B6BFE28" w:rsidR="1D6BDFC9">
        <w:rPr>
          <w:rFonts w:ascii="Calibri" w:hAnsi="Calibri" w:eastAsia="Calibri" w:cs="Calibri"/>
          <w:i w:val="1"/>
          <w:iCs w:val="1"/>
          <w:noProof w:val="0"/>
          <w:color w:val="auto"/>
          <w:sz w:val="24"/>
          <w:szCs w:val="24"/>
          <w:lang w:val="en-GB"/>
        </w:rPr>
        <w:t>American Journal of Orthopsychiatry</w:t>
      </w:r>
      <w:r w:rsidRPr="2B6BFE28" w:rsidR="1D6BDFC9">
        <w:rPr>
          <w:rFonts w:ascii="Calibri" w:hAnsi="Calibri" w:eastAsia="Calibri" w:cs="Calibri"/>
          <w:noProof w:val="0"/>
          <w:color w:val="auto"/>
          <w:sz w:val="24"/>
          <w:szCs w:val="24"/>
          <w:lang w:val="en-GB"/>
        </w:rPr>
        <w:t xml:space="preserve">, 83(1), pp.94–106. </w:t>
      </w:r>
      <w:r w:rsidRPr="2B6BFE28" w:rsidR="1D6BDFC9">
        <w:rPr>
          <w:rFonts w:ascii="Calibri" w:hAnsi="Calibri" w:eastAsia="Calibri" w:cs="Calibri"/>
          <w:noProof w:val="0"/>
          <w:color w:val="auto"/>
          <w:sz w:val="24"/>
          <w:szCs w:val="24"/>
          <w:lang w:val="en-GB"/>
        </w:rPr>
        <w:t>doi:https</w:t>
      </w:r>
      <w:r w:rsidRPr="2B6BFE28" w:rsidR="1D6BDFC9">
        <w:rPr>
          <w:rFonts w:ascii="Calibri" w:hAnsi="Calibri" w:eastAsia="Calibri" w:cs="Calibri"/>
          <w:noProof w:val="0"/>
          <w:color w:val="auto"/>
          <w:sz w:val="24"/>
          <w:szCs w:val="24"/>
          <w:lang w:val="en-GB"/>
        </w:rPr>
        <w:t>://doi.org/10.1111/ajop.12003.</w:t>
      </w:r>
    </w:p>
    <w:p xmlns:wp14="http://schemas.microsoft.com/office/word/2010/wordml" w:rsidP="2B6BFE28" wp14:paraId="56B21319" wp14:textId="4B5665C3">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Child Commissioner Wales (n.d.). </w:t>
      </w:r>
      <w:r w:rsidRPr="2B6BFE28" w:rsidR="1D6BDFC9">
        <w:rPr>
          <w:rFonts w:ascii="Calibri" w:hAnsi="Calibri" w:eastAsia="Calibri" w:cs="Calibri"/>
          <w:i w:val="1"/>
          <w:iCs w:val="1"/>
          <w:noProof w:val="0"/>
          <w:color w:val="auto"/>
          <w:sz w:val="24"/>
          <w:szCs w:val="24"/>
          <w:lang w:val="en-GB"/>
        </w:rPr>
        <w:t>Monmouthshire Children’s Services Participation Strategy for Children and Young People</w:t>
      </w:r>
      <w:r w:rsidRPr="2B6BFE28" w:rsidR="1D6BDFC9">
        <w:rPr>
          <w:rFonts w:ascii="Calibri" w:hAnsi="Calibri" w:eastAsia="Calibri" w:cs="Calibri"/>
          <w:noProof w:val="0"/>
          <w:color w:val="auto"/>
          <w:sz w:val="24"/>
          <w:szCs w:val="24"/>
          <w:lang w:val="en-GB"/>
        </w:rPr>
        <w:t xml:space="preserve">. [online] Available at: </w:t>
      </w:r>
      <w:hyperlink r:id="R630e288603944b5f">
        <w:r w:rsidRPr="2B6BFE28" w:rsidR="1D6BDFC9">
          <w:rPr>
            <w:rStyle w:val="Hyperlink"/>
            <w:rFonts w:ascii="Calibri" w:hAnsi="Calibri" w:eastAsia="Calibri" w:cs="Calibri"/>
            <w:noProof w:val="0"/>
            <w:color w:val="auto"/>
            <w:sz w:val="24"/>
            <w:szCs w:val="24"/>
            <w:lang w:val="en-GB"/>
          </w:rPr>
          <w:t>https://www.childcomwales.org.uk/wp-content/uploads/2022/01/Participation-Strategy-v5-003.pdf</w:t>
        </w:r>
      </w:hyperlink>
      <w:r w:rsidRPr="2B6BFE28" w:rsidR="1D6BDFC9">
        <w:rPr>
          <w:rFonts w:ascii="Calibri" w:hAnsi="Calibri" w:eastAsia="Calibri" w:cs="Calibri"/>
          <w:noProof w:val="0"/>
          <w:color w:val="auto"/>
          <w:sz w:val="24"/>
          <w:szCs w:val="24"/>
          <w:lang w:val="en-GB"/>
        </w:rPr>
        <w:t xml:space="preserve"> [Accessed 18 Mar. 2026].</w:t>
      </w:r>
    </w:p>
    <w:p xmlns:wp14="http://schemas.microsoft.com/office/word/2010/wordml" w:rsidP="2B6BFE28" wp14:paraId="550552F2" wp14:textId="1B321062">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Children's commissioner for Wales and BAYouth (n.d.). </w:t>
      </w:r>
      <w:r w:rsidRPr="2B6BFE28" w:rsidR="1D6BDFC9">
        <w:rPr>
          <w:rFonts w:ascii="Calibri" w:hAnsi="Calibri" w:eastAsia="Calibri" w:cs="Calibri"/>
          <w:i w:val="1"/>
          <w:iCs w:val="1"/>
          <w:noProof w:val="0"/>
          <w:color w:val="auto"/>
          <w:sz w:val="24"/>
          <w:szCs w:val="24"/>
          <w:lang w:val="en-GB"/>
        </w:rPr>
        <w:t>The Right Way in Health Participation Case Study -BAYouth</w:t>
      </w:r>
      <w:r w:rsidRPr="2B6BFE28" w:rsidR="1D6BDFC9">
        <w:rPr>
          <w:rFonts w:ascii="Calibri" w:hAnsi="Calibri" w:eastAsia="Calibri" w:cs="Calibri"/>
          <w:noProof w:val="0"/>
          <w:color w:val="auto"/>
          <w:sz w:val="24"/>
          <w:szCs w:val="24"/>
          <w:lang w:val="en-GB"/>
        </w:rPr>
        <w:t xml:space="preserve">. [online] Available at: </w:t>
      </w:r>
      <w:hyperlink r:id="R63f29787e89d41b8">
        <w:r w:rsidRPr="2B6BFE28" w:rsidR="1D6BDFC9">
          <w:rPr>
            <w:rStyle w:val="Hyperlink"/>
            <w:rFonts w:ascii="Calibri" w:hAnsi="Calibri" w:eastAsia="Calibri" w:cs="Calibri"/>
            <w:noProof w:val="0"/>
            <w:color w:val="auto"/>
            <w:sz w:val="24"/>
            <w:szCs w:val="24"/>
            <w:lang w:val="en-GB"/>
          </w:rPr>
          <w:t>https://www.childcomwales.org.uk/wp-content/uploads/2024/01/BAYouth-Case-Study-TRW.pdf</w:t>
        </w:r>
      </w:hyperlink>
      <w:r w:rsidRPr="2B6BFE28" w:rsidR="1D6BDFC9">
        <w:rPr>
          <w:rFonts w:ascii="Calibri" w:hAnsi="Calibri" w:eastAsia="Calibri" w:cs="Calibri"/>
          <w:noProof w:val="0"/>
          <w:color w:val="auto"/>
          <w:sz w:val="24"/>
          <w:szCs w:val="24"/>
          <w:lang w:val="en-GB"/>
        </w:rPr>
        <w:t xml:space="preserve"> [Accessed 25 Mar. 2026].</w:t>
      </w:r>
    </w:p>
    <w:p xmlns:wp14="http://schemas.microsoft.com/office/word/2010/wordml" w:rsidP="2B6BFE28" wp14:paraId="1BFC3D76" wp14:textId="0840971A">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ECPRP (2022). </w:t>
      </w:r>
      <w:r w:rsidRPr="2B6BFE28" w:rsidR="1D6BDFC9">
        <w:rPr>
          <w:rFonts w:ascii="Calibri" w:hAnsi="Calibri" w:eastAsia="Calibri" w:cs="Calibri"/>
          <w:i w:val="1"/>
          <w:iCs w:val="1"/>
          <w:noProof w:val="0"/>
          <w:color w:val="auto"/>
          <w:sz w:val="24"/>
          <w:szCs w:val="24"/>
          <w:lang w:val="en-GB"/>
        </w:rPr>
        <w:t>Research Articles</w:t>
      </w:r>
      <w:r w:rsidRPr="2B6BFE28" w:rsidR="1D6BDFC9">
        <w:rPr>
          <w:rFonts w:ascii="Calibri" w:hAnsi="Calibri" w:eastAsia="Calibri" w:cs="Calibri"/>
          <w:noProof w:val="0"/>
          <w:color w:val="auto"/>
          <w:sz w:val="24"/>
          <w:szCs w:val="24"/>
          <w:lang w:val="en-GB"/>
        </w:rPr>
        <w:t xml:space="preserve">. [online] Children’s Participation in Schools. Available at: </w:t>
      </w:r>
      <w:hyperlink r:id="R377c8e644f1745b9">
        <w:r w:rsidRPr="2B6BFE28" w:rsidR="1D6BDFC9">
          <w:rPr>
            <w:rStyle w:val="Hyperlink"/>
            <w:rFonts w:ascii="Calibri" w:hAnsi="Calibri" w:eastAsia="Calibri" w:cs="Calibri"/>
            <w:noProof w:val="0"/>
            <w:color w:val="auto"/>
            <w:sz w:val="24"/>
            <w:szCs w:val="24"/>
            <w:lang w:val="en-GB"/>
          </w:rPr>
          <w:t>https://childrens-participation.org/en/resource-hub/research</w:t>
        </w:r>
      </w:hyperlink>
      <w:r w:rsidRPr="2B6BFE28" w:rsidR="1D6BDFC9">
        <w:rPr>
          <w:rFonts w:ascii="Calibri" w:hAnsi="Calibri" w:eastAsia="Calibri" w:cs="Calibri"/>
          <w:noProof w:val="0"/>
          <w:color w:val="auto"/>
          <w:sz w:val="24"/>
          <w:szCs w:val="24"/>
          <w:lang w:val="en-GB"/>
        </w:rPr>
        <w:t xml:space="preserve"> [Accessed 18 Mar. 2026].</w:t>
      </w:r>
    </w:p>
    <w:p xmlns:wp14="http://schemas.microsoft.com/office/word/2010/wordml" w:rsidP="2B6BFE28" wp14:paraId="65693504" wp14:textId="6E7D6FD0">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Estyn (2020). </w:t>
      </w:r>
      <w:r w:rsidRPr="2B6BFE28" w:rsidR="1D6BDFC9">
        <w:rPr>
          <w:rFonts w:ascii="Calibri" w:hAnsi="Calibri" w:eastAsia="Calibri" w:cs="Calibri"/>
          <w:i w:val="1"/>
          <w:iCs w:val="1"/>
          <w:noProof w:val="0"/>
          <w:color w:val="auto"/>
          <w:sz w:val="24"/>
          <w:szCs w:val="24"/>
          <w:lang w:val="en-GB"/>
        </w:rPr>
        <w:t>Community schools: families and communities at the heart of school life</w:t>
      </w:r>
      <w:r w:rsidRPr="2B6BFE28" w:rsidR="1D6BDFC9">
        <w:rPr>
          <w:rFonts w:ascii="Calibri" w:hAnsi="Calibri" w:eastAsia="Calibri" w:cs="Calibri"/>
          <w:noProof w:val="0"/>
          <w:color w:val="auto"/>
          <w:sz w:val="24"/>
          <w:szCs w:val="24"/>
          <w:lang w:val="en-GB"/>
        </w:rPr>
        <w:t xml:space="preserve">. [online] Available at: </w:t>
      </w:r>
      <w:hyperlink r:id="R7ef457efb79a4110">
        <w:r w:rsidRPr="2B6BFE28" w:rsidR="1D6BDFC9">
          <w:rPr>
            <w:rStyle w:val="Hyperlink"/>
            <w:rFonts w:ascii="Calibri" w:hAnsi="Calibri" w:eastAsia="Calibri" w:cs="Calibri"/>
            <w:noProof w:val="0"/>
            <w:color w:val="auto"/>
            <w:sz w:val="24"/>
            <w:szCs w:val="24"/>
            <w:lang w:val="en-GB"/>
          </w:rPr>
          <w:t>https://www.estyn.gov.wales/system/files/2020-07/Community%2520Schools%2520en.pdf</w:t>
        </w:r>
      </w:hyperlink>
      <w:r w:rsidRPr="2B6BFE28" w:rsidR="1D6BDFC9">
        <w:rPr>
          <w:rFonts w:ascii="Calibri" w:hAnsi="Calibri" w:eastAsia="Calibri" w:cs="Calibri"/>
          <w:noProof w:val="0"/>
          <w:color w:val="auto"/>
          <w:sz w:val="24"/>
          <w:szCs w:val="24"/>
          <w:lang w:val="en-GB"/>
        </w:rPr>
        <w:t xml:space="preserve"> [Accessed 19 Mar. 2026].</w:t>
      </w:r>
    </w:p>
    <w:p xmlns:wp14="http://schemas.microsoft.com/office/word/2010/wordml" w:rsidP="2B6BFE28" wp14:paraId="538FC550" wp14:textId="37756880">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Evans, G. (2023). A new dawn or false hope? Exploring the early implementation of the curriculum for Wales. </w:t>
      </w:r>
      <w:r w:rsidRPr="2B6BFE28" w:rsidR="1D6BDFC9">
        <w:rPr>
          <w:rFonts w:ascii="Calibri" w:hAnsi="Calibri" w:eastAsia="Calibri" w:cs="Calibri"/>
          <w:i w:val="1"/>
          <w:iCs w:val="1"/>
          <w:noProof w:val="0"/>
          <w:color w:val="auto"/>
          <w:sz w:val="24"/>
          <w:szCs w:val="24"/>
          <w:lang w:val="en-GB"/>
        </w:rPr>
        <w:t>Education Inquiry</w:t>
      </w:r>
      <w:r w:rsidRPr="2B6BFE28" w:rsidR="1D6BDFC9">
        <w:rPr>
          <w:rFonts w:ascii="Calibri" w:hAnsi="Calibri" w:eastAsia="Calibri" w:cs="Calibri"/>
          <w:noProof w:val="0"/>
          <w:color w:val="auto"/>
          <w:sz w:val="24"/>
          <w:szCs w:val="24"/>
          <w:lang w:val="en-GB"/>
        </w:rPr>
        <w:t xml:space="preserve">, pp.1–15. </w:t>
      </w:r>
      <w:r w:rsidRPr="2B6BFE28" w:rsidR="1D6BDFC9">
        <w:rPr>
          <w:rFonts w:ascii="Calibri" w:hAnsi="Calibri" w:eastAsia="Calibri" w:cs="Calibri"/>
          <w:noProof w:val="0"/>
          <w:color w:val="auto"/>
          <w:sz w:val="24"/>
          <w:szCs w:val="24"/>
          <w:lang w:val="en-GB"/>
        </w:rPr>
        <w:t>doi:https</w:t>
      </w:r>
      <w:r w:rsidRPr="2B6BFE28" w:rsidR="1D6BDFC9">
        <w:rPr>
          <w:rFonts w:ascii="Calibri" w:hAnsi="Calibri" w:eastAsia="Calibri" w:cs="Calibri"/>
          <w:noProof w:val="0"/>
          <w:color w:val="auto"/>
          <w:sz w:val="24"/>
          <w:szCs w:val="24"/>
          <w:lang w:val="en-GB"/>
        </w:rPr>
        <w:t>://doi.org/10.1080/20004508.2023.2297506.</w:t>
      </w:r>
    </w:p>
    <w:p xmlns:wp14="http://schemas.microsoft.com/office/word/2010/wordml" w:rsidP="2B6BFE28" wp14:paraId="4EEEF6A6" wp14:textId="2298CB92">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Grover, S. et al. (2023). 30 Promoting Child and Youth Rights Literacy and the United Nations’ Convention on the Rights of the Child (UNCRC) for Equity-deserving Populations: A Multi-Partner, Mixed Methods Pilot Study. </w:t>
      </w:r>
      <w:r w:rsidRPr="2B6BFE28" w:rsidR="2C3AB04F">
        <w:rPr>
          <w:rFonts w:ascii="Calibri" w:hAnsi="Calibri" w:eastAsia="Calibri" w:cs="Calibri"/>
          <w:noProof w:val="0"/>
          <w:color w:val="auto"/>
          <w:sz w:val="24"/>
          <w:szCs w:val="24"/>
          <w:lang w:val="en-GB"/>
        </w:rPr>
        <w:t>pp.</w:t>
      </w:r>
      <w:r w:rsidRPr="2B6BFE28" w:rsidR="1D6BDFC9">
        <w:rPr>
          <w:rFonts w:ascii="Calibri" w:hAnsi="Calibri" w:eastAsia="Calibri" w:cs="Calibri"/>
          <w:noProof w:val="0"/>
          <w:color w:val="auto"/>
          <w:sz w:val="24"/>
          <w:szCs w:val="24"/>
          <w:lang w:val="en-GB"/>
        </w:rPr>
        <w:t>.</w:t>
      </w:r>
      <w:r w:rsidRPr="2B6BFE28" w:rsidR="1D6BDFC9">
        <w:rPr>
          <w:rFonts w:ascii="Calibri" w:hAnsi="Calibri" w:eastAsia="Calibri" w:cs="Calibri"/>
          <w:noProof w:val="0"/>
          <w:color w:val="auto"/>
          <w:sz w:val="24"/>
          <w:szCs w:val="24"/>
          <w:lang w:val="en-GB"/>
        </w:rPr>
        <w:t xml:space="preserve"> e13–e14. </w:t>
      </w:r>
      <w:r w:rsidRPr="2B6BFE28" w:rsidR="1D6BDFC9">
        <w:rPr>
          <w:rFonts w:ascii="Calibri" w:hAnsi="Calibri" w:eastAsia="Calibri" w:cs="Calibri"/>
          <w:noProof w:val="0"/>
          <w:color w:val="auto"/>
          <w:sz w:val="24"/>
          <w:szCs w:val="24"/>
          <w:lang w:val="en-GB"/>
        </w:rPr>
        <w:t>doi:https</w:t>
      </w:r>
      <w:r w:rsidRPr="2B6BFE28" w:rsidR="1D6BDFC9">
        <w:rPr>
          <w:rFonts w:ascii="Calibri" w:hAnsi="Calibri" w:eastAsia="Calibri" w:cs="Calibri"/>
          <w:noProof w:val="0"/>
          <w:color w:val="auto"/>
          <w:sz w:val="24"/>
          <w:szCs w:val="24"/>
          <w:lang w:val="en-GB"/>
        </w:rPr>
        <w:t>://doi.org/10.1093/</w:t>
      </w:r>
      <w:r w:rsidRPr="2B6BFE28" w:rsidR="1D6BDFC9">
        <w:rPr>
          <w:rFonts w:ascii="Calibri" w:hAnsi="Calibri" w:eastAsia="Calibri" w:cs="Calibri"/>
          <w:noProof w:val="0"/>
          <w:color w:val="auto"/>
          <w:sz w:val="24"/>
          <w:szCs w:val="24"/>
          <w:lang w:val="en-GB"/>
        </w:rPr>
        <w:t>pch</w:t>
      </w:r>
      <w:r w:rsidRPr="2B6BFE28" w:rsidR="1D6BDFC9">
        <w:rPr>
          <w:rFonts w:ascii="Calibri" w:hAnsi="Calibri" w:eastAsia="Calibri" w:cs="Calibri"/>
          <w:noProof w:val="0"/>
          <w:color w:val="auto"/>
          <w:sz w:val="24"/>
          <w:szCs w:val="24"/>
          <w:lang w:val="en-GB"/>
        </w:rPr>
        <w:t>/pxad055.030. Paediatrics &amp; child health, 28(Supplement_1</w:t>
      </w:r>
      <w:r w:rsidRPr="2B6BFE28" w:rsidR="49D450AD">
        <w:rPr>
          <w:rFonts w:ascii="Calibri" w:hAnsi="Calibri" w:eastAsia="Calibri" w:cs="Calibri"/>
          <w:noProof w:val="0"/>
          <w:color w:val="auto"/>
          <w:sz w:val="24"/>
          <w:szCs w:val="24"/>
          <w:lang w:val="en-GB"/>
        </w:rPr>
        <w:t>).</w:t>
      </w:r>
    </w:p>
    <w:p xmlns:wp14="http://schemas.microsoft.com/office/word/2010/wordml" w:rsidP="2B6BFE28" wp14:paraId="7495B742" wp14:textId="42346422">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Guy-Evans, O. (2025). </w:t>
      </w:r>
      <w:r w:rsidRPr="2B6BFE28" w:rsidR="1D6BDFC9">
        <w:rPr>
          <w:rFonts w:ascii="Calibri" w:hAnsi="Calibri" w:eastAsia="Calibri" w:cs="Calibri"/>
          <w:i w:val="1"/>
          <w:iCs w:val="1"/>
          <w:noProof w:val="0"/>
          <w:color w:val="auto"/>
          <w:sz w:val="24"/>
          <w:szCs w:val="24"/>
          <w:lang w:val="en-GB"/>
        </w:rPr>
        <w:t>Bronfenbrenner’s Ecological Systems Theory</w:t>
      </w:r>
      <w:r w:rsidRPr="2B6BFE28" w:rsidR="1D6BDFC9">
        <w:rPr>
          <w:rFonts w:ascii="Calibri" w:hAnsi="Calibri" w:eastAsia="Calibri" w:cs="Calibri"/>
          <w:noProof w:val="0"/>
          <w:color w:val="auto"/>
          <w:sz w:val="24"/>
          <w:szCs w:val="24"/>
          <w:lang w:val="en-GB"/>
        </w:rPr>
        <w:t xml:space="preserve">. [online] Simply Psychology. Available at: </w:t>
      </w:r>
      <w:hyperlink r:id="R29bdf51fa9454fd9">
        <w:r w:rsidRPr="2B6BFE28" w:rsidR="1D6BDFC9">
          <w:rPr>
            <w:rStyle w:val="Hyperlink"/>
            <w:rFonts w:ascii="Calibri" w:hAnsi="Calibri" w:eastAsia="Calibri" w:cs="Calibri"/>
            <w:noProof w:val="0"/>
            <w:color w:val="auto"/>
            <w:sz w:val="24"/>
            <w:szCs w:val="24"/>
            <w:lang w:val="en-GB"/>
          </w:rPr>
          <w:t>https://www.simplypsychology.org/Bronfenbrenner.html</w:t>
        </w:r>
      </w:hyperlink>
      <w:r w:rsidRPr="2B6BFE28" w:rsidR="1D6BDFC9">
        <w:rPr>
          <w:rFonts w:ascii="Calibri" w:hAnsi="Calibri" w:eastAsia="Calibri" w:cs="Calibri"/>
          <w:noProof w:val="0"/>
          <w:color w:val="auto"/>
          <w:sz w:val="24"/>
          <w:szCs w:val="24"/>
          <w:lang w:val="en-GB"/>
        </w:rPr>
        <w:t xml:space="preserve"> [Accessed 17 Mar. 2026].</w:t>
      </w:r>
    </w:p>
    <w:p xmlns:wp14="http://schemas.microsoft.com/office/word/2010/wordml" w:rsidP="2B6BFE28" wp14:paraId="6AD4F8B2" wp14:textId="4A18DAEB">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Lewis, B. (2024). Wales school cuts: Head teachers face budget deficits warning. </w:t>
      </w:r>
      <w:r w:rsidRPr="2B6BFE28" w:rsidR="1D6BDFC9">
        <w:rPr>
          <w:rFonts w:ascii="Calibri" w:hAnsi="Calibri" w:eastAsia="Calibri" w:cs="Calibri"/>
          <w:i w:val="1"/>
          <w:iCs w:val="1"/>
          <w:noProof w:val="0"/>
          <w:color w:val="auto"/>
          <w:sz w:val="24"/>
          <w:szCs w:val="24"/>
          <w:lang w:val="en-GB"/>
        </w:rPr>
        <w:t>BBC News</w:t>
      </w:r>
      <w:r w:rsidRPr="2B6BFE28" w:rsidR="1D6BDFC9">
        <w:rPr>
          <w:rFonts w:ascii="Calibri" w:hAnsi="Calibri" w:eastAsia="Calibri" w:cs="Calibri"/>
          <w:noProof w:val="0"/>
          <w:color w:val="auto"/>
          <w:sz w:val="24"/>
          <w:szCs w:val="24"/>
          <w:lang w:val="en-GB"/>
        </w:rPr>
        <w:t xml:space="preserve">. [online] 20 Sep. Available at: </w:t>
      </w:r>
      <w:hyperlink r:id="R3d6bc37b28f14d8e">
        <w:r w:rsidRPr="2B6BFE28" w:rsidR="1D6BDFC9">
          <w:rPr>
            <w:rStyle w:val="Hyperlink"/>
            <w:rFonts w:ascii="Calibri" w:hAnsi="Calibri" w:eastAsia="Calibri" w:cs="Calibri"/>
            <w:noProof w:val="0"/>
            <w:color w:val="auto"/>
            <w:sz w:val="24"/>
            <w:szCs w:val="24"/>
            <w:lang w:val="en-GB"/>
          </w:rPr>
          <w:t>https://www.bbc.co.uk/news/articles/cr546v39qldo</w:t>
        </w:r>
      </w:hyperlink>
      <w:r w:rsidRPr="2B6BFE28" w:rsidR="1D6BDFC9">
        <w:rPr>
          <w:rFonts w:ascii="Calibri" w:hAnsi="Calibri" w:eastAsia="Calibri" w:cs="Calibri"/>
          <w:noProof w:val="0"/>
          <w:color w:val="auto"/>
          <w:sz w:val="24"/>
          <w:szCs w:val="24"/>
          <w:lang w:val="en-GB"/>
        </w:rPr>
        <w:t xml:space="preserve"> [Accessed 19 Mar. 2026].</w:t>
      </w:r>
    </w:p>
    <w:p xmlns:wp14="http://schemas.microsoft.com/office/word/2010/wordml" w:rsidP="2B6BFE28" wp14:paraId="1316D0AB" wp14:textId="66CD64CB">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Marsh, A. (2024). A Review of Welsh Government Statistics for Benchmarking the Additional Learning Needs and Education Tribunal Act 2018. </w:t>
      </w:r>
      <w:r w:rsidRPr="2B6BFE28" w:rsidR="1D6BDFC9">
        <w:rPr>
          <w:rFonts w:ascii="Calibri" w:hAnsi="Calibri" w:eastAsia="Calibri" w:cs="Calibri"/>
          <w:i w:val="1"/>
          <w:iCs w:val="1"/>
          <w:noProof w:val="0"/>
          <w:color w:val="auto"/>
          <w:sz w:val="24"/>
          <w:szCs w:val="24"/>
          <w:lang w:val="en-GB"/>
        </w:rPr>
        <w:t>Wales Journal of Education</w:t>
      </w:r>
      <w:r w:rsidRPr="2B6BFE28" w:rsidR="1D6BDFC9">
        <w:rPr>
          <w:rFonts w:ascii="Calibri" w:hAnsi="Calibri" w:eastAsia="Calibri" w:cs="Calibri"/>
          <w:noProof w:val="0"/>
          <w:color w:val="auto"/>
          <w:sz w:val="24"/>
          <w:szCs w:val="24"/>
          <w:lang w:val="en-GB"/>
        </w:rPr>
        <w:t xml:space="preserve">, [online] 26(1). </w:t>
      </w:r>
      <w:r w:rsidRPr="2B6BFE28" w:rsidR="1D6BDFC9">
        <w:rPr>
          <w:rFonts w:ascii="Calibri" w:hAnsi="Calibri" w:eastAsia="Calibri" w:cs="Calibri"/>
          <w:noProof w:val="0"/>
          <w:color w:val="auto"/>
          <w:sz w:val="24"/>
          <w:szCs w:val="24"/>
          <w:lang w:val="en-GB"/>
        </w:rPr>
        <w:t>doi:https</w:t>
      </w:r>
      <w:r w:rsidRPr="2B6BFE28" w:rsidR="1D6BDFC9">
        <w:rPr>
          <w:rFonts w:ascii="Calibri" w:hAnsi="Calibri" w:eastAsia="Calibri" w:cs="Calibri"/>
          <w:noProof w:val="0"/>
          <w:color w:val="auto"/>
          <w:sz w:val="24"/>
          <w:szCs w:val="24"/>
          <w:lang w:val="en-GB"/>
        </w:rPr>
        <w:t>://doi.org/10.16922/wje.26.1.4.</w:t>
      </w:r>
    </w:p>
    <w:p xmlns:wp14="http://schemas.microsoft.com/office/word/2010/wordml" w:rsidP="2B6BFE28" wp14:paraId="25D7F09E" wp14:textId="208BE184">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Matthews, S. Whitehead-Lewis, </w:t>
      </w:r>
      <w:r w:rsidRPr="2B6BFE28" w:rsidR="1D6BDFC9">
        <w:rPr>
          <w:rFonts w:ascii="Calibri" w:hAnsi="Calibri" w:eastAsia="Calibri" w:cs="Calibri"/>
          <w:noProof w:val="0"/>
          <w:color w:val="auto"/>
          <w:sz w:val="24"/>
          <w:szCs w:val="24"/>
          <w:lang w:val="en-GB"/>
        </w:rPr>
        <w:t>L. an</w:t>
      </w:r>
      <w:r w:rsidRPr="2B6BFE28" w:rsidR="1D6BDFC9">
        <w:rPr>
          <w:rFonts w:ascii="Calibri" w:hAnsi="Calibri" w:eastAsia="Calibri" w:cs="Calibri"/>
          <w:noProof w:val="0"/>
          <w:color w:val="auto"/>
          <w:sz w:val="24"/>
          <w:szCs w:val="24"/>
          <w:lang w:val="en-GB"/>
        </w:rPr>
        <w:t xml:space="preserve">d Scelsi, E. (2024). </w:t>
      </w:r>
      <w:r w:rsidRPr="2B6BFE28" w:rsidR="1D6BDFC9">
        <w:rPr>
          <w:rFonts w:ascii="Calibri" w:hAnsi="Calibri" w:eastAsia="Calibri" w:cs="Calibri"/>
          <w:i w:val="1"/>
          <w:iCs w:val="1"/>
          <w:noProof w:val="0"/>
          <w:color w:val="auto"/>
          <w:sz w:val="24"/>
          <w:szCs w:val="24"/>
          <w:lang w:val="en-GB"/>
        </w:rPr>
        <w:t>Inspiring and enabling pupil and learner voice - Teaching</w:t>
      </w:r>
      <w:r w:rsidRPr="2B6BFE28" w:rsidR="1D6BDFC9">
        <w:rPr>
          <w:rFonts w:ascii="Calibri" w:hAnsi="Calibri" w:eastAsia="Calibri" w:cs="Calibri"/>
          <w:noProof w:val="0"/>
          <w:color w:val="auto"/>
          <w:sz w:val="24"/>
          <w:szCs w:val="24"/>
          <w:lang w:val="en-GB"/>
        </w:rPr>
        <w:t xml:space="preserve">. [online] teaching.blog.gov.uk. Available at: </w:t>
      </w:r>
      <w:hyperlink r:id="R162b33739efb4e46">
        <w:r w:rsidRPr="2B6BFE28" w:rsidR="1D6BDFC9">
          <w:rPr>
            <w:rStyle w:val="Hyperlink"/>
            <w:rFonts w:ascii="Calibri" w:hAnsi="Calibri" w:eastAsia="Calibri" w:cs="Calibri"/>
            <w:noProof w:val="0"/>
            <w:color w:val="auto"/>
            <w:sz w:val="24"/>
            <w:szCs w:val="24"/>
            <w:lang w:val="en-GB"/>
          </w:rPr>
          <w:t>https://teaching.blog.gov.uk/2024/02/05/inspiring-and-enabling-pupil-and-learner-voice/</w:t>
        </w:r>
      </w:hyperlink>
      <w:r w:rsidRPr="2B6BFE28" w:rsidR="1D6BDFC9">
        <w:rPr>
          <w:rFonts w:ascii="Calibri" w:hAnsi="Calibri" w:eastAsia="Calibri" w:cs="Calibri"/>
          <w:noProof w:val="0"/>
          <w:color w:val="auto"/>
          <w:sz w:val="24"/>
          <w:szCs w:val="24"/>
          <w:lang w:val="en-GB"/>
        </w:rPr>
        <w:t xml:space="preserve"> [Accessed 19 Mar. 2026].</w:t>
      </w:r>
    </w:p>
    <w:p xmlns:wp14="http://schemas.microsoft.com/office/word/2010/wordml" w:rsidP="2B6BFE28" wp14:paraId="0E31DBDA" wp14:textId="153EF80D">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McLeod, S. (2025). </w:t>
      </w:r>
      <w:r w:rsidRPr="2B6BFE28" w:rsidR="1D6BDFC9">
        <w:rPr>
          <w:rFonts w:ascii="Calibri" w:hAnsi="Calibri" w:eastAsia="Calibri" w:cs="Calibri"/>
          <w:i w:val="1"/>
          <w:iCs w:val="1"/>
          <w:noProof w:val="0"/>
          <w:color w:val="auto"/>
          <w:sz w:val="24"/>
          <w:szCs w:val="24"/>
          <w:lang w:val="en-GB"/>
        </w:rPr>
        <w:t>Piaget's cognitive stages of development</w:t>
      </w:r>
      <w:r w:rsidRPr="2B6BFE28" w:rsidR="1D6BDFC9">
        <w:rPr>
          <w:rFonts w:ascii="Calibri" w:hAnsi="Calibri" w:eastAsia="Calibri" w:cs="Calibri"/>
          <w:noProof w:val="0"/>
          <w:color w:val="auto"/>
          <w:sz w:val="24"/>
          <w:szCs w:val="24"/>
          <w:lang w:val="en-GB"/>
        </w:rPr>
        <w:t xml:space="preserve">. [online] Simply Psychology. Available at: </w:t>
      </w:r>
      <w:hyperlink r:id="R42361a6449e5478b">
        <w:r w:rsidRPr="2B6BFE28" w:rsidR="1D6BDFC9">
          <w:rPr>
            <w:rStyle w:val="Hyperlink"/>
            <w:rFonts w:ascii="Calibri" w:hAnsi="Calibri" w:eastAsia="Calibri" w:cs="Calibri"/>
            <w:noProof w:val="0"/>
            <w:color w:val="auto"/>
            <w:sz w:val="24"/>
            <w:szCs w:val="24"/>
            <w:lang w:val="en-GB"/>
          </w:rPr>
          <w:t>https://www.simplypsychology.org/piaget.html</w:t>
        </w:r>
      </w:hyperlink>
      <w:r w:rsidRPr="2B6BFE28" w:rsidR="1D6BDFC9">
        <w:rPr>
          <w:rFonts w:ascii="Calibri" w:hAnsi="Calibri" w:eastAsia="Calibri" w:cs="Calibri"/>
          <w:noProof w:val="0"/>
          <w:color w:val="auto"/>
          <w:sz w:val="24"/>
          <w:szCs w:val="24"/>
          <w:lang w:val="en-GB"/>
        </w:rPr>
        <w:t xml:space="preserve"> [Accessed 23 Mar. 2026].</w:t>
      </w:r>
    </w:p>
    <w:p xmlns:wp14="http://schemas.microsoft.com/office/word/2010/wordml" w:rsidP="2B6BFE28" wp14:paraId="297596D4" wp14:textId="266A3AB2">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Pichère</w:t>
      </w:r>
      <w:r w:rsidRPr="2B6BFE28" w:rsidR="1D6BDFC9">
        <w:rPr>
          <w:rFonts w:ascii="Calibri" w:hAnsi="Calibri" w:eastAsia="Calibri" w:cs="Calibri"/>
          <w:noProof w:val="0"/>
          <w:color w:val="auto"/>
          <w:sz w:val="24"/>
          <w:szCs w:val="24"/>
          <w:lang w:val="en-GB"/>
        </w:rPr>
        <w:t xml:space="preserve">, P. and </w:t>
      </w:r>
      <w:r w:rsidRPr="2B6BFE28" w:rsidR="1D6BDFC9">
        <w:rPr>
          <w:rFonts w:ascii="Calibri" w:hAnsi="Calibri" w:eastAsia="Calibri" w:cs="Calibri"/>
          <w:noProof w:val="0"/>
          <w:color w:val="auto"/>
          <w:sz w:val="24"/>
          <w:szCs w:val="24"/>
          <w:lang w:val="en-GB"/>
        </w:rPr>
        <w:t>Cadiat</w:t>
      </w:r>
      <w:r w:rsidRPr="2B6BFE28" w:rsidR="1D6BDFC9">
        <w:rPr>
          <w:rFonts w:ascii="Calibri" w:hAnsi="Calibri" w:eastAsia="Calibri" w:cs="Calibri"/>
          <w:noProof w:val="0"/>
          <w:color w:val="auto"/>
          <w:sz w:val="24"/>
          <w:szCs w:val="24"/>
          <w:lang w:val="en-GB"/>
        </w:rPr>
        <w:t xml:space="preserve"> (2016). </w:t>
      </w:r>
      <w:r w:rsidRPr="2B6BFE28" w:rsidR="1D6BDFC9">
        <w:rPr>
          <w:rFonts w:ascii="Calibri" w:hAnsi="Calibri" w:eastAsia="Calibri" w:cs="Calibri"/>
          <w:i w:val="1"/>
          <w:iCs w:val="1"/>
          <w:noProof w:val="0"/>
          <w:color w:val="auto"/>
          <w:sz w:val="24"/>
          <w:szCs w:val="24"/>
          <w:lang w:val="en-GB"/>
        </w:rPr>
        <w:t>Maslow’s hierarchy of needs.</w:t>
      </w:r>
      <w:r w:rsidRPr="2B6BFE28" w:rsidR="1D6BDFC9">
        <w:rPr>
          <w:rFonts w:ascii="Calibri" w:hAnsi="Calibri" w:eastAsia="Calibri" w:cs="Calibri"/>
          <w:noProof w:val="0"/>
          <w:color w:val="auto"/>
          <w:sz w:val="24"/>
          <w:szCs w:val="24"/>
          <w:lang w:val="en-GB"/>
        </w:rPr>
        <w:t xml:space="preserve"> Namur: Lemaitre Publishing</w:t>
      </w:r>
      <w:r w:rsidRPr="2B6BFE28" w:rsidR="1D6BDFC9">
        <w:rPr>
          <w:rFonts w:ascii="Calibri" w:hAnsi="Calibri" w:eastAsia="Calibri" w:cs="Calibri"/>
          <w:noProof w:val="0"/>
          <w:color w:val="auto"/>
          <w:sz w:val="24"/>
          <w:szCs w:val="24"/>
          <w:lang w:val="en-GB"/>
        </w:rPr>
        <w:t>. ,</w:t>
      </w:r>
      <w:r w:rsidRPr="2B6BFE28" w:rsidR="1D6BDFC9">
        <w:rPr>
          <w:rFonts w:ascii="Calibri" w:hAnsi="Calibri" w:eastAsia="Calibri" w:cs="Calibri"/>
          <w:noProof w:val="0"/>
          <w:color w:val="auto"/>
          <w:sz w:val="24"/>
          <w:szCs w:val="24"/>
          <w:lang w:val="en-GB"/>
        </w:rPr>
        <w:t xml:space="preserve"> A.-C. Translated by C. Probert. Professor Steve Smith (2019). </w:t>
      </w:r>
      <w:r w:rsidRPr="2B6BFE28" w:rsidR="1D6BDFC9">
        <w:rPr>
          <w:rFonts w:ascii="Calibri" w:hAnsi="Calibri" w:eastAsia="Calibri" w:cs="Calibri"/>
          <w:i w:val="1"/>
          <w:iCs w:val="1"/>
          <w:noProof w:val="0"/>
          <w:color w:val="auto"/>
          <w:sz w:val="24"/>
          <w:szCs w:val="24"/>
          <w:lang w:val="en-GB"/>
        </w:rPr>
        <w:t>The Childhood Policy Landscape in Wales</w:t>
      </w:r>
      <w:r w:rsidRPr="2B6BFE28" w:rsidR="1D6BDFC9">
        <w:rPr>
          <w:rFonts w:ascii="Calibri" w:hAnsi="Calibri" w:eastAsia="Calibri" w:cs="Calibri"/>
          <w:noProof w:val="0"/>
          <w:color w:val="auto"/>
          <w:sz w:val="24"/>
          <w:szCs w:val="24"/>
          <w:lang w:val="en-GB"/>
        </w:rPr>
        <w:t xml:space="preserve">. [online] Available at: </w:t>
      </w:r>
      <w:hyperlink r:id="R1f0adb07e5f24d26">
        <w:r w:rsidRPr="2B6BFE28" w:rsidR="1D6BDFC9">
          <w:rPr>
            <w:rStyle w:val="Hyperlink"/>
            <w:rFonts w:ascii="Calibri" w:hAnsi="Calibri" w:eastAsia="Calibri" w:cs="Calibri"/>
            <w:noProof w:val="0"/>
            <w:color w:val="auto"/>
            <w:sz w:val="24"/>
            <w:szCs w:val="24"/>
            <w:lang w:val="en-GB"/>
          </w:rPr>
          <w:t>https://www.thebritishacademy.ac.uk/documents/229/childhood-policy-landscape-wales.pdf</w:t>
        </w:r>
      </w:hyperlink>
      <w:r w:rsidRPr="2B6BFE28" w:rsidR="1D6BDFC9">
        <w:rPr>
          <w:rFonts w:ascii="Calibri" w:hAnsi="Calibri" w:eastAsia="Calibri" w:cs="Calibri"/>
          <w:noProof w:val="0"/>
          <w:color w:val="auto"/>
          <w:sz w:val="24"/>
          <w:szCs w:val="24"/>
          <w:lang w:val="en-GB"/>
        </w:rPr>
        <w:t xml:space="preserve"> [Accessed 19 Mar. 2026].</w:t>
      </w:r>
    </w:p>
    <w:p xmlns:wp14="http://schemas.microsoft.com/office/word/2010/wordml" w:rsidP="2B6BFE28" wp14:paraId="1E06ADCF" wp14:textId="2F34B9E0">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Shaik, N. (2023). Most of the Time we are Taking Decisions for Children. </w:t>
      </w:r>
      <w:r w:rsidRPr="2B6BFE28" w:rsidR="1D6BDFC9">
        <w:rPr>
          <w:rFonts w:ascii="Calibri" w:hAnsi="Calibri" w:eastAsia="Calibri" w:cs="Calibri"/>
          <w:i w:val="1"/>
          <w:iCs w:val="1"/>
          <w:noProof w:val="0"/>
          <w:color w:val="auto"/>
          <w:sz w:val="24"/>
          <w:szCs w:val="24"/>
          <w:lang w:val="en-GB"/>
        </w:rPr>
        <w:t>The International Journal of Children’s Rights</w:t>
      </w:r>
      <w:r w:rsidRPr="2B6BFE28" w:rsidR="1D6BDFC9">
        <w:rPr>
          <w:rFonts w:ascii="Calibri" w:hAnsi="Calibri" w:eastAsia="Calibri" w:cs="Calibri"/>
          <w:noProof w:val="0"/>
          <w:color w:val="auto"/>
          <w:sz w:val="24"/>
          <w:szCs w:val="24"/>
          <w:lang w:val="en-GB"/>
        </w:rPr>
        <w:t xml:space="preserve">, 31(4), pp.916–940. </w:t>
      </w:r>
      <w:r w:rsidRPr="2B6BFE28" w:rsidR="1D6BDFC9">
        <w:rPr>
          <w:rFonts w:ascii="Calibri" w:hAnsi="Calibri" w:eastAsia="Calibri" w:cs="Calibri"/>
          <w:noProof w:val="0"/>
          <w:color w:val="auto"/>
          <w:sz w:val="24"/>
          <w:szCs w:val="24"/>
          <w:lang w:val="en-GB"/>
        </w:rPr>
        <w:t>doi:https</w:t>
      </w:r>
      <w:r w:rsidRPr="2B6BFE28" w:rsidR="1D6BDFC9">
        <w:rPr>
          <w:rFonts w:ascii="Calibri" w:hAnsi="Calibri" w:eastAsia="Calibri" w:cs="Calibri"/>
          <w:noProof w:val="0"/>
          <w:color w:val="auto"/>
          <w:sz w:val="24"/>
          <w:szCs w:val="24"/>
          <w:lang w:val="en-GB"/>
        </w:rPr>
        <w:t>://doi.org/10.1163/15718182-31040008.</w:t>
      </w:r>
    </w:p>
    <w:p xmlns:wp14="http://schemas.microsoft.com/office/word/2010/wordml" w:rsidP="2B6BFE28" wp14:paraId="49F52968" wp14:textId="7E295DB3">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Tisdall, E.K.M. (2006). </w:t>
      </w:r>
      <w:r w:rsidRPr="2B6BFE28" w:rsidR="1D6BDFC9">
        <w:rPr>
          <w:rFonts w:ascii="Calibri" w:hAnsi="Calibri" w:eastAsia="Calibri" w:cs="Calibri"/>
          <w:i w:val="1"/>
          <w:iCs w:val="1"/>
          <w:noProof w:val="0"/>
          <w:color w:val="auto"/>
          <w:sz w:val="24"/>
          <w:szCs w:val="24"/>
          <w:lang w:val="en-GB"/>
        </w:rPr>
        <w:t xml:space="preserve">Children, young </w:t>
      </w:r>
      <w:r w:rsidRPr="2B6BFE28" w:rsidR="1D6BDFC9">
        <w:rPr>
          <w:rFonts w:ascii="Calibri" w:hAnsi="Calibri" w:eastAsia="Calibri" w:cs="Calibri"/>
          <w:i w:val="1"/>
          <w:iCs w:val="1"/>
          <w:noProof w:val="0"/>
          <w:color w:val="auto"/>
          <w:sz w:val="24"/>
          <w:szCs w:val="24"/>
          <w:lang w:val="en-GB"/>
        </w:rPr>
        <w:t>people</w:t>
      </w:r>
      <w:r w:rsidRPr="2B6BFE28" w:rsidR="1D6BDFC9">
        <w:rPr>
          <w:rFonts w:ascii="Calibri" w:hAnsi="Calibri" w:eastAsia="Calibri" w:cs="Calibri"/>
          <w:i w:val="1"/>
          <w:iCs w:val="1"/>
          <w:noProof w:val="0"/>
          <w:color w:val="auto"/>
          <w:sz w:val="24"/>
          <w:szCs w:val="24"/>
          <w:lang w:val="en-GB"/>
        </w:rPr>
        <w:t xml:space="preserve"> and social </w:t>
      </w:r>
      <w:r w:rsidRPr="2B6BFE28" w:rsidR="1D6BDFC9">
        <w:rPr>
          <w:rFonts w:ascii="Calibri" w:hAnsi="Calibri" w:eastAsia="Calibri" w:cs="Calibri"/>
          <w:i w:val="1"/>
          <w:iCs w:val="1"/>
          <w:noProof w:val="0"/>
          <w:color w:val="auto"/>
          <w:sz w:val="24"/>
          <w:szCs w:val="24"/>
          <w:lang w:val="en-GB"/>
        </w:rPr>
        <w:t>inclusion :</w:t>
      </w:r>
      <w:r w:rsidRPr="2B6BFE28" w:rsidR="1D6BDFC9">
        <w:rPr>
          <w:rFonts w:ascii="Calibri" w:hAnsi="Calibri" w:eastAsia="Calibri" w:cs="Calibri"/>
          <w:i w:val="1"/>
          <w:iCs w:val="1"/>
          <w:noProof w:val="0"/>
          <w:color w:val="auto"/>
          <w:sz w:val="24"/>
          <w:szCs w:val="24"/>
          <w:lang w:val="en-GB"/>
        </w:rPr>
        <w:t xml:space="preserve"> participation for what?</w:t>
      </w:r>
      <w:r w:rsidRPr="2B6BFE28" w:rsidR="1D6BDFC9">
        <w:rPr>
          <w:rFonts w:ascii="Calibri" w:hAnsi="Calibri" w:eastAsia="Calibri" w:cs="Calibri"/>
          <w:noProof w:val="0"/>
          <w:color w:val="auto"/>
          <w:sz w:val="24"/>
          <w:szCs w:val="24"/>
          <w:lang w:val="en-GB"/>
        </w:rPr>
        <w:t xml:space="preserve"> Bristol, UK: Policy Press.</w:t>
      </w:r>
    </w:p>
    <w:p xmlns:wp14="http://schemas.microsoft.com/office/word/2010/wordml" w:rsidP="2B6BFE28" wp14:paraId="3A9545A5" wp14:textId="1E4DA5C7">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UNICEF (n.d.). </w:t>
      </w:r>
      <w:r w:rsidRPr="2B6BFE28" w:rsidR="1D6BDFC9">
        <w:rPr>
          <w:rFonts w:ascii="Calibri" w:hAnsi="Calibri" w:eastAsia="Calibri" w:cs="Calibri"/>
          <w:i w:val="1"/>
          <w:iCs w:val="1"/>
          <w:noProof w:val="0"/>
          <w:color w:val="auto"/>
          <w:sz w:val="24"/>
          <w:szCs w:val="24"/>
          <w:lang w:val="en-GB"/>
        </w:rPr>
        <w:t>UN0332751</w:t>
      </w:r>
      <w:r w:rsidRPr="2B6BFE28" w:rsidR="1D6BDFC9">
        <w:rPr>
          <w:rFonts w:ascii="Calibri" w:hAnsi="Calibri" w:eastAsia="Calibri" w:cs="Calibri"/>
          <w:noProof w:val="0"/>
          <w:color w:val="auto"/>
          <w:sz w:val="24"/>
          <w:szCs w:val="24"/>
          <w:lang w:val="en-GB"/>
        </w:rPr>
        <w:t xml:space="preserve">. [online] Rights Respecting Schools Award. Available at: </w:t>
      </w:r>
      <w:hyperlink r:id="Rdc6569cdfc2c4726">
        <w:r w:rsidRPr="2B6BFE28" w:rsidR="1D6BDFC9">
          <w:rPr>
            <w:rStyle w:val="Hyperlink"/>
            <w:rFonts w:ascii="Calibri" w:hAnsi="Calibri" w:eastAsia="Calibri" w:cs="Calibri"/>
            <w:noProof w:val="0"/>
            <w:color w:val="auto"/>
            <w:sz w:val="24"/>
            <w:szCs w:val="24"/>
            <w:lang w:val="en-GB"/>
          </w:rPr>
          <w:t>https://www.unicef.org.uk/rights-respecting-schools/resources/teaching-resources/guidance-assemblies-lessons/child-friendly-crc-text-and-icons/un0332751/</w:t>
        </w:r>
      </w:hyperlink>
      <w:r w:rsidRPr="2B6BFE28" w:rsidR="1D6BDFC9">
        <w:rPr>
          <w:rFonts w:ascii="Calibri" w:hAnsi="Calibri" w:eastAsia="Calibri" w:cs="Calibri"/>
          <w:noProof w:val="0"/>
          <w:color w:val="auto"/>
          <w:sz w:val="24"/>
          <w:szCs w:val="24"/>
          <w:lang w:val="en-GB"/>
        </w:rPr>
        <w:t xml:space="preserve"> [Poster].</w:t>
      </w:r>
    </w:p>
    <w:p xmlns:wp14="http://schemas.microsoft.com/office/word/2010/wordml" w:rsidP="2B6BFE28" wp14:paraId="246E5560" wp14:textId="7DB5FB85">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Watkins, P. (2023). </w:t>
      </w:r>
      <w:r w:rsidRPr="2B6BFE28" w:rsidR="1D6BDFC9">
        <w:rPr>
          <w:rFonts w:ascii="Calibri" w:hAnsi="Calibri" w:eastAsia="Calibri" w:cs="Calibri"/>
          <w:i w:val="1"/>
          <w:iCs w:val="1"/>
          <w:noProof w:val="0"/>
          <w:color w:val="auto"/>
          <w:sz w:val="24"/>
          <w:szCs w:val="24"/>
          <w:lang w:val="en-GB"/>
        </w:rPr>
        <w:t>Senedd focus on mental health</w:t>
      </w:r>
      <w:r w:rsidRPr="2B6BFE28" w:rsidR="1D6BDFC9">
        <w:rPr>
          <w:rFonts w:ascii="Calibri" w:hAnsi="Calibri" w:eastAsia="Calibri" w:cs="Calibri"/>
          <w:noProof w:val="0"/>
          <w:color w:val="auto"/>
          <w:sz w:val="24"/>
          <w:szCs w:val="24"/>
          <w:lang w:val="en-GB"/>
        </w:rPr>
        <w:t xml:space="preserve">. [online] </w:t>
      </w:r>
      <w:r w:rsidRPr="2B6BFE28" w:rsidR="1D6BDFC9">
        <w:rPr>
          <w:rFonts w:ascii="Calibri" w:hAnsi="Calibri" w:eastAsia="Calibri" w:cs="Calibri"/>
          <w:noProof w:val="0"/>
          <w:color w:val="auto"/>
          <w:sz w:val="24"/>
          <w:szCs w:val="24"/>
          <w:lang w:val="en-GB"/>
        </w:rPr>
        <w:t>Senedd.wales</w:t>
      </w:r>
      <w:r w:rsidRPr="2B6BFE28" w:rsidR="1D6BDFC9">
        <w:rPr>
          <w:rFonts w:ascii="Calibri" w:hAnsi="Calibri" w:eastAsia="Calibri" w:cs="Calibri"/>
          <w:noProof w:val="0"/>
          <w:color w:val="auto"/>
          <w:sz w:val="24"/>
          <w:szCs w:val="24"/>
          <w:lang w:val="en-GB"/>
        </w:rPr>
        <w:t xml:space="preserve">. Available at: </w:t>
      </w:r>
      <w:hyperlink r:id="R8f5761fdf2e14845">
        <w:r w:rsidRPr="2B6BFE28" w:rsidR="1D6BDFC9">
          <w:rPr>
            <w:rStyle w:val="Hyperlink"/>
            <w:rFonts w:ascii="Calibri" w:hAnsi="Calibri" w:eastAsia="Calibri" w:cs="Calibri"/>
            <w:noProof w:val="0"/>
            <w:color w:val="auto"/>
            <w:sz w:val="24"/>
            <w:szCs w:val="24"/>
            <w:lang w:val="en-GB"/>
          </w:rPr>
          <w:t>https://research.senedd.wales/research-articles/senedd-focus-on-mental-health/</w:t>
        </w:r>
      </w:hyperlink>
      <w:r w:rsidRPr="2B6BFE28" w:rsidR="1D6BDFC9">
        <w:rPr>
          <w:rFonts w:ascii="Calibri" w:hAnsi="Calibri" w:eastAsia="Calibri" w:cs="Calibri"/>
          <w:noProof w:val="0"/>
          <w:color w:val="auto"/>
          <w:sz w:val="24"/>
          <w:szCs w:val="24"/>
          <w:lang w:val="en-GB"/>
        </w:rPr>
        <w:t xml:space="preserve"> [Accessed 19 Mar. 2026].</w:t>
      </w:r>
    </w:p>
    <w:p xmlns:wp14="http://schemas.microsoft.com/office/word/2010/wordml" w:rsidP="2B6BFE28" wp14:paraId="323657AF" wp14:textId="141DB4E9">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Welsh Government (2022). </w:t>
      </w:r>
      <w:r w:rsidRPr="2B6BFE28" w:rsidR="1D6BDFC9">
        <w:rPr>
          <w:rFonts w:ascii="Calibri" w:hAnsi="Calibri" w:eastAsia="Calibri" w:cs="Calibri"/>
          <w:i w:val="1"/>
          <w:iCs w:val="1"/>
          <w:noProof w:val="0"/>
          <w:color w:val="auto"/>
          <w:sz w:val="24"/>
          <w:szCs w:val="24"/>
          <w:lang w:val="en-GB"/>
        </w:rPr>
        <w:t>Curriculum for Wales</w:t>
      </w:r>
      <w:r w:rsidRPr="2B6BFE28" w:rsidR="1D6BDFC9">
        <w:rPr>
          <w:rFonts w:ascii="Calibri" w:hAnsi="Calibri" w:eastAsia="Calibri" w:cs="Calibri"/>
          <w:noProof w:val="0"/>
          <w:color w:val="auto"/>
          <w:sz w:val="24"/>
          <w:szCs w:val="24"/>
          <w:lang w:val="en-GB"/>
        </w:rPr>
        <w:t xml:space="preserve">. [online] </w:t>
      </w:r>
      <w:r w:rsidRPr="2B6BFE28" w:rsidR="1D6BDFC9">
        <w:rPr>
          <w:rFonts w:ascii="Calibri" w:hAnsi="Calibri" w:eastAsia="Calibri" w:cs="Calibri"/>
          <w:noProof w:val="0"/>
          <w:color w:val="auto"/>
          <w:sz w:val="24"/>
          <w:szCs w:val="24"/>
          <w:lang w:val="en-GB"/>
        </w:rPr>
        <w:t>hwb.gov.wales</w:t>
      </w:r>
      <w:r w:rsidRPr="2B6BFE28" w:rsidR="1D6BDFC9">
        <w:rPr>
          <w:rFonts w:ascii="Calibri" w:hAnsi="Calibri" w:eastAsia="Calibri" w:cs="Calibri"/>
          <w:noProof w:val="0"/>
          <w:color w:val="auto"/>
          <w:sz w:val="24"/>
          <w:szCs w:val="24"/>
          <w:lang w:val="en-GB"/>
        </w:rPr>
        <w:t xml:space="preserve">. Available at: </w:t>
      </w:r>
      <w:hyperlink r:id="R7b14028ffe89432f">
        <w:r w:rsidRPr="2B6BFE28" w:rsidR="1D6BDFC9">
          <w:rPr>
            <w:rStyle w:val="Hyperlink"/>
            <w:rFonts w:ascii="Calibri" w:hAnsi="Calibri" w:eastAsia="Calibri" w:cs="Calibri"/>
            <w:noProof w:val="0"/>
            <w:color w:val="auto"/>
            <w:sz w:val="24"/>
            <w:szCs w:val="24"/>
            <w:lang w:val="en-GB"/>
          </w:rPr>
          <w:t>https://hwb.gov.wales/curriculum-for-wales</w:t>
        </w:r>
      </w:hyperlink>
      <w:r w:rsidRPr="2B6BFE28" w:rsidR="1D6BDFC9">
        <w:rPr>
          <w:rFonts w:ascii="Calibri" w:hAnsi="Calibri" w:eastAsia="Calibri" w:cs="Calibri"/>
          <w:noProof w:val="0"/>
          <w:color w:val="auto"/>
          <w:sz w:val="24"/>
          <w:szCs w:val="24"/>
          <w:lang w:val="en-GB"/>
        </w:rPr>
        <w:t xml:space="preserve"> [Accessed 16 Mar. 2026].</w:t>
      </w:r>
    </w:p>
    <w:p xmlns:wp14="http://schemas.microsoft.com/office/word/2010/wordml" w:rsidP="2B6BFE28" wp14:paraId="090F3FCE" wp14:textId="12858425">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Welsh Government (2026). </w:t>
      </w:r>
      <w:r w:rsidRPr="2B6BFE28" w:rsidR="1D6BDFC9">
        <w:rPr>
          <w:rFonts w:ascii="Calibri" w:hAnsi="Calibri" w:eastAsia="Calibri" w:cs="Calibri"/>
          <w:i w:val="1"/>
          <w:iCs w:val="1"/>
          <w:noProof w:val="0"/>
          <w:color w:val="auto"/>
          <w:sz w:val="24"/>
          <w:szCs w:val="24"/>
          <w:lang w:val="en-GB"/>
        </w:rPr>
        <w:t>Youth work in Wales - delivering for young people: children’s rights impact assessment [HTML] | GOV.WALES</w:t>
      </w:r>
      <w:r w:rsidRPr="2B6BFE28" w:rsidR="1D6BDFC9">
        <w:rPr>
          <w:rFonts w:ascii="Calibri" w:hAnsi="Calibri" w:eastAsia="Calibri" w:cs="Calibri"/>
          <w:noProof w:val="0"/>
          <w:color w:val="auto"/>
          <w:sz w:val="24"/>
          <w:szCs w:val="24"/>
          <w:lang w:val="en-GB"/>
        </w:rPr>
        <w:t xml:space="preserve">. [online] GOV.WALES. Available at: </w:t>
      </w:r>
      <w:hyperlink r:id="R3dd1eb6b34624cdc">
        <w:r w:rsidRPr="2B6BFE28" w:rsidR="1D6BDFC9">
          <w:rPr>
            <w:rStyle w:val="Hyperlink"/>
            <w:rFonts w:ascii="Calibri" w:hAnsi="Calibri" w:eastAsia="Calibri" w:cs="Calibri"/>
            <w:noProof w:val="0"/>
            <w:color w:val="auto"/>
            <w:sz w:val="24"/>
            <w:szCs w:val="24"/>
            <w:lang w:val="en-GB"/>
          </w:rPr>
          <w:t>https://www.gov.wales/youth-work-wales-delivering-young-people-childrens-rights-impact-assessment-html</w:t>
        </w:r>
      </w:hyperlink>
      <w:r w:rsidRPr="2B6BFE28" w:rsidR="1D6BDFC9">
        <w:rPr>
          <w:rFonts w:ascii="Calibri" w:hAnsi="Calibri" w:eastAsia="Calibri" w:cs="Calibri"/>
          <w:noProof w:val="0"/>
          <w:color w:val="auto"/>
          <w:sz w:val="24"/>
          <w:szCs w:val="24"/>
          <w:lang w:val="en-GB"/>
        </w:rPr>
        <w:t xml:space="preserve"> [Accessed 23 Mar. 2026].</w:t>
      </w:r>
    </w:p>
    <w:p xmlns:wp14="http://schemas.microsoft.com/office/word/2010/wordml" w:rsidP="2B6BFE28" wp14:paraId="0187AEF8" wp14:textId="53CB6F27">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Williams, J. (2012). General legislative measures of implementation: individual claims, ‘public officer’s law’ and a case study on the UNCRC in Wales. </w:t>
      </w:r>
      <w:r w:rsidRPr="2B6BFE28" w:rsidR="1D6BDFC9">
        <w:rPr>
          <w:rFonts w:ascii="Calibri" w:hAnsi="Calibri" w:eastAsia="Calibri" w:cs="Calibri"/>
          <w:i w:val="1"/>
          <w:iCs w:val="1"/>
          <w:noProof w:val="0"/>
          <w:color w:val="auto"/>
          <w:sz w:val="24"/>
          <w:szCs w:val="24"/>
          <w:lang w:val="en-GB"/>
        </w:rPr>
        <w:t>The International Journal of Children’s Rights</w:t>
      </w:r>
      <w:r w:rsidRPr="2B6BFE28" w:rsidR="1D6BDFC9">
        <w:rPr>
          <w:rFonts w:ascii="Calibri" w:hAnsi="Calibri" w:eastAsia="Calibri" w:cs="Calibri"/>
          <w:noProof w:val="0"/>
          <w:color w:val="auto"/>
          <w:sz w:val="24"/>
          <w:szCs w:val="24"/>
          <w:lang w:val="en-GB"/>
        </w:rPr>
        <w:t xml:space="preserve">, 20(2), pp.224–240. </w:t>
      </w:r>
      <w:r w:rsidRPr="2B6BFE28" w:rsidR="1D6BDFC9">
        <w:rPr>
          <w:rFonts w:ascii="Calibri" w:hAnsi="Calibri" w:eastAsia="Calibri" w:cs="Calibri"/>
          <w:noProof w:val="0"/>
          <w:color w:val="auto"/>
          <w:sz w:val="24"/>
          <w:szCs w:val="24"/>
          <w:lang w:val="en-GB"/>
        </w:rPr>
        <w:t>doi:https</w:t>
      </w:r>
      <w:r w:rsidRPr="2B6BFE28" w:rsidR="1D6BDFC9">
        <w:rPr>
          <w:rFonts w:ascii="Calibri" w:hAnsi="Calibri" w:eastAsia="Calibri" w:cs="Calibri"/>
          <w:noProof w:val="0"/>
          <w:color w:val="auto"/>
          <w:sz w:val="24"/>
          <w:szCs w:val="24"/>
          <w:lang w:val="en-GB"/>
        </w:rPr>
        <w:t>://doi.org/10.1163/157181811x570744.</w:t>
      </w:r>
    </w:p>
    <w:p xmlns:wp14="http://schemas.microsoft.com/office/word/2010/wordml" w:rsidP="2B6BFE28" wp14:paraId="1BBF160E" wp14:textId="019038AC">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Wu, X., Huang, C., Huang, Q., He, T.  and Han, Z. (2025). Understanding learners’ collaborative reflection in an online learning community: a consideration of cognitive and social interactions. </w:t>
      </w:r>
      <w:r w:rsidRPr="2B6BFE28" w:rsidR="1D6BDFC9">
        <w:rPr>
          <w:rFonts w:ascii="Calibri" w:hAnsi="Calibri" w:eastAsia="Calibri" w:cs="Calibri"/>
          <w:i w:val="1"/>
          <w:iCs w:val="1"/>
          <w:noProof w:val="0"/>
          <w:color w:val="auto"/>
          <w:sz w:val="24"/>
          <w:szCs w:val="24"/>
          <w:lang w:val="en-GB"/>
        </w:rPr>
        <w:t>Education and Information Technologies</w:t>
      </w:r>
      <w:r w:rsidRPr="2B6BFE28" w:rsidR="1D6BDFC9">
        <w:rPr>
          <w:rFonts w:ascii="Calibri" w:hAnsi="Calibri" w:eastAsia="Calibri" w:cs="Calibri"/>
          <w:noProof w:val="0"/>
          <w:color w:val="auto"/>
          <w:sz w:val="24"/>
          <w:szCs w:val="24"/>
          <w:lang w:val="en-GB"/>
        </w:rPr>
        <w:t xml:space="preserve">, 31(5), pp.1517–1549. </w:t>
      </w:r>
      <w:r w:rsidRPr="2B6BFE28" w:rsidR="1D6BDFC9">
        <w:rPr>
          <w:rFonts w:ascii="Calibri" w:hAnsi="Calibri" w:eastAsia="Calibri" w:cs="Calibri"/>
          <w:noProof w:val="0"/>
          <w:color w:val="auto"/>
          <w:sz w:val="24"/>
          <w:szCs w:val="24"/>
          <w:lang w:val="en-GB"/>
        </w:rPr>
        <w:t>doi:https</w:t>
      </w:r>
      <w:r w:rsidRPr="2B6BFE28" w:rsidR="1D6BDFC9">
        <w:rPr>
          <w:rFonts w:ascii="Calibri" w:hAnsi="Calibri" w:eastAsia="Calibri" w:cs="Calibri"/>
          <w:noProof w:val="0"/>
          <w:color w:val="auto"/>
          <w:sz w:val="24"/>
          <w:szCs w:val="24"/>
          <w:lang w:val="en-GB"/>
        </w:rPr>
        <w:t>://doi.org/10.1007/s10639-025-13868-z.</w:t>
      </w:r>
    </w:p>
    <w:p xmlns:wp14="http://schemas.microsoft.com/office/word/2010/wordml" w:rsidP="2B6BFE28" wp14:paraId="5E5787A5" wp14:textId="66066D3D">
      <w:pPr>
        <w:pStyle w:val="ListParagraph"/>
        <w:numPr>
          <w:ilvl w:val="0"/>
          <w:numId w:val="1"/>
        </w:numPr>
        <w:spacing w:before="220" w:beforeAutospacing="off" w:after="220" w:afterAutospacing="off" w:line="360" w:lineRule="auto"/>
        <w:rPr>
          <w:rFonts w:ascii="Calibri" w:hAnsi="Calibri" w:eastAsia="Calibri" w:cs="Calibri"/>
          <w:noProof w:val="0"/>
          <w:color w:val="auto"/>
          <w:sz w:val="24"/>
          <w:szCs w:val="24"/>
          <w:lang w:val="en-GB"/>
        </w:rPr>
      </w:pPr>
      <w:r w:rsidRPr="2B6BFE28" w:rsidR="1D6BDFC9">
        <w:rPr>
          <w:rFonts w:ascii="Calibri" w:hAnsi="Calibri" w:eastAsia="Calibri" w:cs="Calibri"/>
          <w:noProof w:val="0"/>
          <w:color w:val="auto"/>
          <w:sz w:val="24"/>
          <w:szCs w:val="24"/>
          <w:lang w:val="en-GB"/>
        </w:rPr>
        <w:t xml:space="preserve">Zhan, Z., He, W., Yi, X.  and Ma, S. (2022). Effect of Unplugged Programming Teaching Aids on Children’s Computational Thinking and Classroom Interaction: with Respect to Piaget’s Four Stages Theory. </w:t>
      </w:r>
      <w:r w:rsidRPr="2B6BFE28" w:rsidR="1D6BDFC9">
        <w:rPr>
          <w:rFonts w:ascii="Calibri" w:hAnsi="Calibri" w:eastAsia="Calibri" w:cs="Calibri"/>
          <w:i w:val="1"/>
          <w:iCs w:val="1"/>
          <w:noProof w:val="0"/>
          <w:color w:val="auto"/>
          <w:sz w:val="24"/>
          <w:szCs w:val="24"/>
          <w:lang w:val="en-GB"/>
        </w:rPr>
        <w:t>Journal of Educational Computing Research</w:t>
      </w:r>
      <w:r w:rsidRPr="2B6BFE28" w:rsidR="1D6BDFC9">
        <w:rPr>
          <w:rFonts w:ascii="Calibri" w:hAnsi="Calibri" w:eastAsia="Calibri" w:cs="Calibri"/>
          <w:noProof w:val="0"/>
          <w:color w:val="auto"/>
          <w:sz w:val="24"/>
          <w:szCs w:val="24"/>
          <w:lang w:val="en-GB"/>
        </w:rPr>
        <w:t xml:space="preserve">, 60(5), pp.1277–1300. </w:t>
      </w:r>
      <w:r w:rsidRPr="2B6BFE28" w:rsidR="1D6BDFC9">
        <w:rPr>
          <w:rFonts w:ascii="Calibri" w:hAnsi="Calibri" w:eastAsia="Calibri" w:cs="Calibri"/>
          <w:noProof w:val="0"/>
          <w:color w:val="auto"/>
          <w:sz w:val="24"/>
          <w:szCs w:val="24"/>
          <w:lang w:val="en-GB"/>
        </w:rPr>
        <w:t>doi:https</w:t>
      </w:r>
      <w:r w:rsidRPr="2B6BFE28" w:rsidR="1D6BDFC9">
        <w:rPr>
          <w:rFonts w:ascii="Calibri" w:hAnsi="Calibri" w:eastAsia="Calibri" w:cs="Calibri"/>
          <w:noProof w:val="0"/>
          <w:color w:val="auto"/>
          <w:sz w:val="24"/>
          <w:szCs w:val="24"/>
          <w:lang w:val="en-GB"/>
        </w:rPr>
        <w:t>://doi.org/10.1177/07356331211057143.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36ffba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ED40F5"/>
    <w:rsid w:val="02F09E38"/>
    <w:rsid w:val="0597E8B5"/>
    <w:rsid w:val="0C089D5C"/>
    <w:rsid w:val="12CDB369"/>
    <w:rsid w:val="132485D5"/>
    <w:rsid w:val="15806816"/>
    <w:rsid w:val="174A712E"/>
    <w:rsid w:val="19D2DD59"/>
    <w:rsid w:val="1D6BDFC9"/>
    <w:rsid w:val="200CFC25"/>
    <w:rsid w:val="26794831"/>
    <w:rsid w:val="27C09814"/>
    <w:rsid w:val="27C970BE"/>
    <w:rsid w:val="28F6D122"/>
    <w:rsid w:val="2B6BFE28"/>
    <w:rsid w:val="2C3AB04F"/>
    <w:rsid w:val="2CD1329C"/>
    <w:rsid w:val="30E38A17"/>
    <w:rsid w:val="32892AC4"/>
    <w:rsid w:val="34C22BC5"/>
    <w:rsid w:val="372714DB"/>
    <w:rsid w:val="38153052"/>
    <w:rsid w:val="385A09A9"/>
    <w:rsid w:val="3AF217E0"/>
    <w:rsid w:val="3E8F0A76"/>
    <w:rsid w:val="426AF10A"/>
    <w:rsid w:val="4310116E"/>
    <w:rsid w:val="49D450AD"/>
    <w:rsid w:val="4A55D2F2"/>
    <w:rsid w:val="5190145F"/>
    <w:rsid w:val="5AB253DE"/>
    <w:rsid w:val="5DDC710D"/>
    <w:rsid w:val="61DD5DE2"/>
    <w:rsid w:val="660FBBA2"/>
    <w:rsid w:val="72B61165"/>
    <w:rsid w:val="76ED40F5"/>
    <w:rsid w:val="78264370"/>
    <w:rsid w:val="78E6F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A93AE"/>
  <w15:chartTrackingRefBased/>
  <w15:docId w15:val="{ABF24D60-8C20-4A76-B0ED-DF5605B018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B6BFE28"/>
    <w:pPr>
      <w:spacing/>
      <w:ind w:left="720"/>
      <w:contextualSpacing/>
    </w:pPr>
  </w:style>
  <w:style w:type="character" w:styleId="Hyperlink">
    <w:uiPriority w:val="99"/>
    <w:name w:val="Hyperlink"/>
    <w:basedOn w:val="DefaultParagraphFont"/>
    <w:unhideWhenUsed/>
    <w:rsid w:val="2B6BFE2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hildcomwales.org.uk/wp-content/uploads/2022/01/Participation-Strategy-v5-003.pdf" TargetMode="External" Id="R630e288603944b5f" /><Relationship Type="http://schemas.openxmlformats.org/officeDocument/2006/relationships/hyperlink" Target="https://www.childcomwales.org.uk/wp-content/uploads/2024/01/BAYouth-Case-Study-TRW.pdf" TargetMode="External" Id="R63f29787e89d41b8" /><Relationship Type="http://schemas.openxmlformats.org/officeDocument/2006/relationships/hyperlink" Target="https://childrens-participation.org/en/resource-hub/research" TargetMode="External" Id="R377c8e644f1745b9" /><Relationship Type="http://schemas.openxmlformats.org/officeDocument/2006/relationships/hyperlink" Target="https://www.estyn.gov.wales/system/files/2020-07/Community%2520Schools%2520en.pdf" TargetMode="External" Id="R7ef457efb79a4110" /><Relationship Type="http://schemas.openxmlformats.org/officeDocument/2006/relationships/hyperlink" Target="https://www.simplypsychology.org/Bronfenbrenner.html" TargetMode="External" Id="R29bdf51fa9454fd9" /><Relationship Type="http://schemas.openxmlformats.org/officeDocument/2006/relationships/hyperlink" Target="https://www.bbc.co.uk/news/articles/cr546v39qldo" TargetMode="External" Id="R3d6bc37b28f14d8e" /><Relationship Type="http://schemas.openxmlformats.org/officeDocument/2006/relationships/hyperlink" Target="https://teaching.blog.gov.uk/2024/02/05/inspiring-and-enabling-pupil-and-learner-voice/" TargetMode="External" Id="R162b33739efb4e46" /><Relationship Type="http://schemas.openxmlformats.org/officeDocument/2006/relationships/hyperlink" Target="https://www.simplypsychology.org/piaget.html" TargetMode="External" Id="R42361a6449e5478b" /><Relationship Type="http://schemas.openxmlformats.org/officeDocument/2006/relationships/hyperlink" Target="https://www.thebritishacademy.ac.uk/documents/229/childhood-policy-landscape-wales.pdf" TargetMode="External" Id="R1f0adb07e5f24d26" /><Relationship Type="http://schemas.openxmlformats.org/officeDocument/2006/relationships/hyperlink" Target="https://www.unicef.org.uk/rights-respecting-schools/resources/teaching-resources/guidance-assemblies-lessons/child-friendly-crc-text-and-icons/un0332751/" TargetMode="External" Id="Rdc6569cdfc2c4726" /><Relationship Type="http://schemas.openxmlformats.org/officeDocument/2006/relationships/hyperlink" Target="https://research.senedd.wales/research-articles/senedd-focus-on-mental-health/" TargetMode="External" Id="R8f5761fdf2e14845" /><Relationship Type="http://schemas.openxmlformats.org/officeDocument/2006/relationships/hyperlink" Target="https://hwb.gov.wales/curriculum-for-wales" TargetMode="External" Id="R7b14028ffe89432f" /><Relationship Type="http://schemas.openxmlformats.org/officeDocument/2006/relationships/hyperlink" Target="https://www.gov.wales/youth-work-wales-delivering-young-people-childrens-rights-impact-assessment-html" TargetMode="External" Id="R3dd1eb6b34624cdc" /><Relationship Type="http://schemas.openxmlformats.org/officeDocument/2006/relationships/numbering" Target="/word/numbering.xml" Id="Rfd84db1973f0471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Ruby James (2500109)</dc:creator>
  <keywords/>
  <dc:description/>
  <lastModifiedBy>Ruby James (2500109)</lastModifiedBy>
  <revision>2</revision>
  <dcterms:created xsi:type="dcterms:W3CDTF">2026-03-28T09:12:01.7792669Z</dcterms:created>
  <dcterms:modified xsi:type="dcterms:W3CDTF">2026-03-28T09:26:23.3673758Z</dcterms:modified>
</coreProperties>
</file>