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A7FDEC" w14:textId="2D9698F8" w:rsidR="00BE1633" w:rsidRDefault="00BE1633" w:rsidP="00825DF1">
      <w:pPr>
        <w:pStyle w:val="Heading1"/>
        <w:jc w:val="center"/>
        <w:rPr>
          <w:b/>
          <w:bCs/>
        </w:rPr>
      </w:pPr>
      <w:r w:rsidRPr="00BE1633">
        <w:rPr>
          <w:b/>
          <w:bCs/>
        </w:rPr>
        <w:t>LCHS4010  Adult Development and Health Behaviour</w:t>
      </w:r>
    </w:p>
    <w:p w14:paraId="3D585F38" w14:textId="77777777" w:rsidR="00825DF1" w:rsidRPr="00825DF1" w:rsidRDefault="00825DF1" w:rsidP="00825DF1">
      <w:pPr>
        <w:rPr>
          <w:color w:val="0F4761" w:themeColor="accent1" w:themeShade="BF"/>
        </w:rPr>
      </w:pPr>
    </w:p>
    <w:p w14:paraId="14C522E6" w14:textId="47C6E56B" w:rsidR="00BE1633" w:rsidRPr="00825DF1" w:rsidRDefault="00BE1633" w:rsidP="00BE1633">
      <w:pPr>
        <w:rPr>
          <w:b/>
          <w:bCs/>
          <w:sz w:val="24"/>
          <w:szCs w:val="24"/>
        </w:rPr>
      </w:pPr>
      <w:r w:rsidRPr="00825DF1">
        <w:rPr>
          <w:b/>
          <w:bCs/>
          <w:color w:val="0F4761" w:themeColor="accent1" w:themeShade="BF"/>
          <w:sz w:val="24"/>
          <w:szCs w:val="24"/>
        </w:rPr>
        <w:t xml:space="preserve">Assignment Title: </w:t>
      </w:r>
      <w:r w:rsidR="00731D30">
        <w:rPr>
          <w:b/>
          <w:bCs/>
          <w:color w:val="0F4761" w:themeColor="accent1" w:themeShade="BF"/>
          <w:sz w:val="24"/>
          <w:szCs w:val="24"/>
        </w:rPr>
        <w:t xml:space="preserve">    </w:t>
      </w:r>
      <w:r w:rsidR="00827D5D" w:rsidRPr="00825DF1">
        <w:rPr>
          <w:b/>
          <w:bCs/>
          <w:sz w:val="24"/>
          <w:szCs w:val="24"/>
        </w:rPr>
        <w:t>Application of two theories in Dementia Health Care Home</w:t>
      </w:r>
    </w:p>
    <w:p w14:paraId="69D89510" w14:textId="1B1EB114" w:rsidR="00BE1633" w:rsidRPr="00825DF1" w:rsidRDefault="00BE1633" w:rsidP="00BE1633">
      <w:pPr>
        <w:rPr>
          <w:b/>
          <w:bCs/>
          <w:sz w:val="24"/>
          <w:szCs w:val="24"/>
        </w:rPr>
      </w:pPr>
      <w:r w:rsidRPr="00825DF1">
        <w:rPr>
          <w:b/>
          <w:bCs/>
          <w:color w:val="0F4761" w:themeColor="accent1" w:themeShade="BF"/>
          <w:sz w:val="24"/>
          <w:szCs w:val="24"/>
        </w:rPr>
        <w:t xml:space="preserve">Student Name: </w:t>
      </w:r>
      <w:r w:rsidR="00731D30">
        <w:rPr>
          <w:b/>
          <w:bCs/>
          <w:color w:val="0F4761" w:themeColor="accent1" w:themeShade="BF"/>
          <w:sz w:val="24"/>
          <w:szCs w:val="24"/>
        </w:rPr>
        <w:t xml:space="preserve">         </w:t>
      </w:r>
      <w:r w:rsidR="00827D5D" w:rsidRPr="00825DF1">
        <w:rPr>
          <w:b/>
          <w:bCs/>
          <w:sz w:val="24"/>
          <w:szCs w:val="24"/>
        </w:rPr>
        <w:t>Noshin Gul</w:t>
      </w:r>
    </w:p>
    <w:p w14:paraId="34DB79E7" w14:textId="48C22440" w:rsidR="00BE1633" w:rsidRPr="00825DF1" w:rsidRDefault="00BE1633" w:rsidP="00BE1633">
      <w:pPr>
        <w:rPr>
          <w:b/>
          <w:bCs/>
          <w:sz w:val="24"/>
          <w:szCs w:val="24"/>
        </w:rPr>
      </w:pPr>
      <w:r w:rsidRPr="00825DF1">
        <w:rPr>
          <w:b/>
          <w:bCs/>
          <w:color w:val="0F4761" w:themeColor="accent1" w:themeShade="BF"/>
          <w:sz w:val="24"/>
          <w:szCs w:val="24"/>
        </w:rPr>
        <w:t>Student Number:</w:t>
      </w:r>
      <w:r w:rsidR="00731D30">
        <w:rPr>
          <w:b/>
          <w:bCs/>
          <w:color w:val="0F4761" w:themeColor="accent1" w:themeShade="BF"/>
          <w:sz w:val="24"/>
          <w:szCs w:val="24"/>
        </w:rPr>
        <w:t xml:space="preserve">     </w:t>
      </w:r>
      <w:r w:rsidR="00825DF1" w:rsidRPr="00825DF1">
        <w:rPr>
          <w:b/>
          <w:bCs/>
          <w:sz w:val="24"/>
          <w:szCs w:val="24"/>
        </w:rPr>
        <w:t>2425431</w:t>
      </w:r>
      <w:r w:rsidRPr="00825DF1">
        <w:rPr>
          <w:b/>
          <w:bCs/>
          <w:sz w:val="24"/>
          <w:szCs w:val="24"/>
        </w:rPr>
        <w:t xml:space="preserve"> </w:t>
      </w:r>
    </w:p>
    <w:p w14:paraId="62E06CC1" w14:textId="695AA5BE" w:rsidR="00BE1633" w:rsidRPr="00825DF1" w:rsidRDefault="00BE1633" w:rsidP="00BE1633">
      <w:pPr>
        <w:rPr>
          <w:b/>
          <w:bCs/>
          <w:sz w:val="24"/>
          <w:szCs w:val="24"/>
        </w:rPr>
      </w:pPr>
      <w:r w:rsidRPr="00825DF1">
        <w:rPr>
          <w:b/>
          <w:bCs/>
          <w:color w:val="0F4761" w:themeColor="accent1" w:themeShade="BF"/>
          <w:sz w:val="24"/>
          <w:szCs w:val="24"/>
        </w:rPr>
        <w:t xml:space="preserve">Module Title: </w:t>
      </w:r>
      <w:r w:rsidR="00731D30">
        <w:rPr>
          <w:b/>
          <w:bCs/>
          <w:color w:val="0F4761" w:themeColor="accent1" w:themeShade="BF"/>
          <w:sz w:val="24"/>
          <w:szCs w:val="24"/>
        </w:rPr>
        <w:t xml:space="preserve">              </w:t>
      </w:r>
      <w:r w:rsidRPr="00825DF1">
        <w:rPr>
          <w:b/>
          <w:bCs/>
          <w:sz w:val="24"/>
          <w:szCs w:val="24"/>
        </w:rPr>
        <w:t>LCHS4010 Adult Development and Health Behaviour</w:t>
      </w:r>
    </w:p>
    <w:p w14:paraId="56B92026" w14:textId="16760C1A" w:rsidR="00BE1633" w:rsidRPr="00825DF1" w:rsidRDefault="00BE1633" w:rsidP="00BE1633">
      <w:pPr>
        <w:rPr>
          <w:b/>
          <w:bCs/>
          <w:sz w:val="24"/>
          <w:szCs w:val="24"/>
        </w:rPr>
      </w:pPr>
      <w:r w:rsidRPr="00825DF1">
        <w:rPr>
          <w:b/>
          <w:bCs/>
          <w:color w:val="0F4761" w:themeColor="accent1" w:themeShade="BF"/>
          <w:sz w:val="24"/>
          <w:szCs w:val="24"/>
        </w:rPr>
        <w:t xml:space="preserve">Lecturer’s Name: </w:t>
      </w:r>
      <w:r w:rsidR="00731D30">
        <w:rPr>
          <w:b/>
          <w:bCs/>
          <w:color w:val="0F4761" w:themeColor="accent1" w:themeShade="BF"/>
          <w:sz w:val="24"/>
          <w:szCs w:val="24"/>
        </w:rPr>
        <w:t xml:space="preserve">    </w:t>
      </w:r>
      <w:r w:rsidR="00825DF1" w:rsidRPr="00825DF1">
        <w:rPr>
          <w:b/>
          <w:bCs/>
          <w:sz w:val="24"/>
          <w:szCs w:val="24"/>
        </w:rPr>
        <w:t xml:space="preserve">Neale Haddon </w:t>
      </w:r>
    </w:p>
    <w:p w14:paraId="556CEB63" w14:textId="77777777" w:rsidR="00BE1633" w:rsidRDefault="00BE1633" w:rsidP="00BE1633">
      <w:r>
        <w:br w:type="page"/>
      </w:r>
    </w:p>
    <w:p w14:paraId="4E8F2714" w14:textId="77777777" w:rsidR="00BE1633" w:rsidRPr="00BE1633" w:rsidRDefault="00BE1633" w:rsidP="00BE1633">
      <w:pPr>
        <w:pStyle w:val="Heading1"/>
        <w:rPr>
          <w:b/>
          <w:bCs/>
        </w:rPr>
      </w:pPr>
      <w:r w:rsidRPr="00BE1633">
        <w:rPr>
          <w:b/>
          <w:bCs/>
        </w:rPr>
        <w:lastRenderedPageBreak/>
        <w:t>Table of Contents</w:t>
      </w:r>
    </w:p>
    <w:p w14:paraId="4B4A39C8" w14:textId="77777777" w:rsidR="00DD3899" w:rsidRDefault="00DD3899" w:rsidP="00DD3899"/>
    <w:tbl>
      <w:tblPr>
        <w:tblStyle w:val="TableGrid"/>
        <w:tblW w:w="0" w:type="auto"/>
        <w:tblLook w:val="04A0" w:firstRow="1" w:lastRow="0" w:firstColumn="1" w:lastColumn="0" w:noHBand="0" w:noVBand="1"/>
      </w:tblPr>
      <w:tblGrid>
        <w:gridCol w:w="8630"/>
      </w:tblGrid>
      <w:tr w:rsidR="003712C3" w:rsidRPr="003712C3" w14:paraId="19372F4F" w14:textId="77777777">
        <w:tc>
          <w:tcPr>
            <w:tcW w:w="8630" w:type="dxa"/>
          </w:tcPr>
          <w:p w14:paraId="31DA27D7" w14:textId="417CE395" w:rsidR="003712C3" w:rsidRPr="003712C3" w:rsidRDefault="003712C3" w:rsidP="007F191F">
            <w:r w:rsidRPr="003712C3">
              <w:t xml:space="preserve">1. Introduction .................................................. </w:t>
            </w:r>
            <w:r w:rsidR="008874AD">
              <w:t>2</w:t>
            </w:r>
          </w:p>
        </w:tc>
      </w:tr>
      <w:tr w:rsidR="003712C3" w:rsidRPr="003712C3" w14:paraId="36B0C8C8" w14:textId="77777777">
        <w:tc>
          <w:tcPr>
            <w:tcW w:w="8630" w:type="dxa"/>
          </w:tcPr>
          <w:p w14:paraId="751EB91F" w14:textId="77777777" w:rsidR="003712C3" w:rsidRPr="003712C3" w:rsidRDefault="003712C3" w:rsidP="007F191F"/>
        </w:tc>
      </w:tr>
      <w:tr w:rsidR="003712C3" w:rsidRPr="003712C3" w14:paraId="00DC30FC" w14:textId="77777777">
        <w:tc>
          <w:tcPr>
            <w:tcW w:w="8630" w:type="dxa"/>
          </w:tcPr>
          <w:p w14:paraId="37137780" w14:textId="530ADF50" w:rsidR="003712C3" w:rsidRPr="003712C3" w:rsidRDefault="003712C3" w:rsidP="007F191F">
            <w:r w:rsidRPr="003712C3">
              <w:t xml:space="preserve">2. Discussion and Analysis ....................................... </w:t>
            </w:r>
            <w:r w:rsidR="006174D2">
              <w:t>3</w:t>
            </w:r>
          </w:p>
        </w:tc>
      </w:tr>
      <w:tr w:rsidR="003712C3" w:rsidRPr="003712C3" w14:paraId="08024FFA" w14:textId="77777777">
        <w:tc>
          <w:tcPr>
            <w:tcW w:w="8630" w:type="dxa"/>
          </w:tcPr>
          <w:p w14:paraId="1A4FF1F7" w14:textId="40B4A71B" w:rsidR="003712C3" w:rsidRPr="003712C3" w:rsidRDefault="003712C3" w:rsidP="007F191F">
            <w:r w:rsidRPr="003712C3">
              <w:t xml:space="preserve">    2.1 Theory One – Activity Theory of Ageing ................... </w:t>
            </w:r>
            <w:r w:rsidR="006174D2">
              <w:t>3</w:t>
            </w:r>
          </w:p>
        </w:tc>
      </w:tr>
      <w:tr w:rsidR="003712C3" w:rsidRPr="003712C3" w14:paraId="5B6A6878" w14:textId="77777777">
        <w:tc>
          <w:tcPr>
            <w:tcW w:w="8630" w:type="dxa"/>
          </w:tcPr>
          <w:p w14:paraId="5BC2CE1F" w14:textId="35836358" w:rsidR="003712C3" w:rsidRPr="003712C3" w:rsidRDefault="003712C3" w:rsidP="007F191F">
            <w:r w:rsidRPr="003712C3">
              <w:t xml:space="preserve">        2.1.1 Who developed the theory? .......................... </w:t>
            </w:r>
            <w:r w:rsidR="006174D2">
              <w:t>3</w:t>
            </w:r>
          </w:p>
        </w:tc>
      </w:tr>
      <w:tr w:rsidR="003712C3" w:rsidRPr="003712C3" w14:paraId="77A40D16" w14:textId="77777777">
        <w:tc>
          <w:tcPr>
            <w:tcW w:w="8630" w:type="dxa"/>
          </w:tcPr>
          <w:p w14:paraId="1C36A6A7" w14:textId="2883AFD7" w:rsidR="003712C3" w:rsidRPr="003712C3" w:rsidRDefault="003712C3" w:rsidP="007F191F">
            <w:r w:rsidRPr="003712C3">
              <w:t xml:space="preserve">        2.1.2 Core concepts ...................................... </w:t>
            </w:r>
            <w:r w:rsidR="008874AD">
              <w:t>4</w:t>
            </w:r>
          </w:p>
        </w:tc>
      </w:tr>
      <w:tr w:rsidR="003712C3" w:rsidRPr="003712C3" w14:paraId="1A648FB6" w14:textId="77777777">
        <w:tc>
          <w:tcPr>
            <w:tcW w:w="8630" w:type="dxa"/>
          </w:tcPr>
          <w:p w14:paraId="6B96FC93" w14:textId="76BF58D2" w:rsidR="003712C3" w:rsidRPr="003712C3" w:rsidRDefault="003712C3" w:rsidP="007F191F">
            <w:r w:rsidRPr="003712C3">
              <w:t xml:space="preserve">        2.1.3 Relevance to adult development (65+) ............... </w:t>
            </w:r>
            <w:r w:rsidR="006174D2">
              <w:t>4</w:t>
            </w:r>
          </w:p>
        </w:tc>
      </w:tr>
      <w:tr w:rsidR="003712C3" w:rsidRPr="003712C3" w14:paraId="11203E22" w14:textId="77777777">
        <w:tc>
          <w:tcPr>
            <w:tcW w:w="8630" w:type="dxa"/>
          </w:tcPr>
          <w:p w14:paraId="1EE9F9C8" w14:textId="39EA15DE" w:rsidR="003712C3" w:rsidRPr="003712C3" w:rsidRDefault="003712C3" w:rsidP="007F191F">
            <w:r w:rsidRPr="003712C3">
              <w:t xml:space="preserve">        2.1.4 Strengths and limitations of Activity Theory ....... </w:t>
            </w:r>
            <w:r w:rsidR="006174D2">
              <w:t>4</w:t>
            </w:r>
          </w:p>
        </w:tc>
      </w:tr>
      <w:tr w:rsidR="003712C3" w:rsidRPr="003712C3" w14:paraId="1754BE42" w14:textId="77777777">
        <w:tc>
          <w:tcPr>
            <w:tcW w:w="8630" w:type="dxa"/>
          </w:tcPr>
          <w:p w14:paraId="1CFC54FA" w14:textId="580A7FC5" w:rsidR="003712C3" w:rsidRPr="003712C3" w:rsidRDefault="003712C3" w:rsidP="007F191F">
            <w:r w:rsidRPr="003712C3">
              <w:t xml:space="preserve">    2.2 Theory Two – Positive Psychology and the PERMA Model ..... </w:t>
            </w:r>
            <w:r w:rsidR="006174D2">
              <w:t>4</w:t>
            </w:r>
          </w:p>
        </w:tc>
      </w:tr>
      <w:tr w:rsidR="003712C3" w:rsidRPr="003712C3" w14:paraId="73499D41" w14:textId="77777777">
        <w:tc>
          <w:tcPr>
            <w:tcW w:w="8630" w:type="dxa"/>
          </w:tcPr>
          <w:p w14:paraId="2913AFBD" w14:textId="0EAF5159" w:rsidR="003712C3" w:rsidRPr="003712C3" w:rsidRDefault="003712C3" w:rsidP="007F191F">
            <w:r w:rsidRPr="003712C3">
              <w:t xml:space="preserve">        2.2.1 Who developed the theory? .......................... </w:t>
            </w:r>
            <w:r w:rsidR="006174D2">
              <w:t>5</w:t>
            </w:r>
          </w:p>
        </w:tc>
      </w:tr>
      <w:tr w:rsidR="003712C3" w:rsidRPr="003712C3" w14:paraId="51EA606A" w14:textId="77777777">
        <w:tc>
          <w:tcPr>
            <w:tcW w:w="8630" w:type="dxa"/>
          </w:tcPr>
          <w:p w14:paraId="6A22BE46" w14:textId="392AF530" w:rsidR="003712C3" w:rsidRPr="003712C3" w:rsidRDefault="003712C3" w:rsidP="007F191F">
            <w:r w:rsidRPr="003712C3">
              <w:t xml:space="preserve">        2.2.2 Core concepts ...................................... </w:t>
            </w:r>
            <w:r w:rsidR="006174D2">
              <w:t>5</w:t>
            </w:r>
          </w:p>
        </w:tc>
      </w:tr>
      <w:tr w:rsidR="003712C3" w:rsidRPr="003712C3" w14:paraId="34BC1875" w14:textId="77777777">
        <w:tc>
          <w:tcPr>
            <w:tcW w:w="8630" w:type="dxa"/>
          </w:tcPr>
          <w:p w14:paraId="2781AC4F" w14:textId="4DB9E731" w:rsidR="003712C3" w:rsidRPr="003712C3" w:rsidRDefault="003712C3" w:rsidP="007F191F">
            <w:r w:rsidRPr="003712C3">
              <w:t xml:space="preserve">        2.2.3 Relevance to adult development (65+) ............... </w:t>
            </w:r>
            <w:r w:rsidR="006174D2">
              <w:t>5</w:t>
            </w:r>
          </w:p>
        </w:tc>
      </w:tr>
      <w:tr w:rsidR="003712C3" w:rsidRPr="003712C3" w14:paraId="25B48C88" w14:textId="77777777">
        <w:tc>
          <w:tcPr>
            <w:tcW w:w="8630" w:type="dxa"/>
          </w:tcPr>
          <w:p w14:paraId="2F031E77" w14:textId="10764EED" w:rsidR="003712C3" w:rsidRPr="003712C3" w:rsidRDefault="003712C3" w:rsidP="007F191F">
            <w:r w:rsidRPr="003712C3">
              <w:t xml:space="preserve">        2.2.4 Strengths and limitations of PERMA ................. </w:t>
            </w:r>
            <w:r w:rsidR="006174D2">
              <w:t>5</w:t>
            </w:r>
          </w:p>
        </w:tc>
      </w:tr>
      <w:tr w:rsidR="003712C3" w:rsidRPr="003712C3" w14:paraId="39BEBA79" w14:textId="77777777">
        <w:tc>
          <w:tcPr>
            <w:tcW w:w="8630" w:type="dxa"/>
          </w:tcPr>
          <w:p w14:paraId="1A7FF3F5" w14:textId="419141E6" w:rsidR="003712C3" w:rsidRPr="003712C3" w:rsidRDefault="003712C3" w:rsidP="007F191F">
            <w:r w:rsidRPr="003712C3">
              <w:t xml:space="preserve">    2.3 Application in Practice – Dementia Care Home Setting ..... </w:t>
            </w:r>
            <w:r w:rsidR="006174D2">
              <w:t>5</w:t>
            </w:r>
          </w:p>
        </w:tc>
      </w:tr>
      <w:tr w:rsidR="003712C3" w:rsidRPr="003712C3" w14:paraId="785C5853" w14:textId="77777777">
        <w:tc>
          <w:tcPr>
            <w:tcW w:w="8630" w:type="dxa"/>
          </w:tcPr>
          <w:p w14:paraId="65047DD6" w14:textId="561A4FED" w:rsidR="003712C3" w:rsidRPr="003712C3" w:rsidRDefault="003712C3" w:rsidP="007F191F">
            <w:r w:rsidRPr="003712C3">
              <w:t xml:space="preserve">    2.4 Cultural Competence and Ethical Practice ................. </w:t>
            </w:r>
            <w:r w:rsidR="006174D2">
              <w:t>6</w:t>
            </w:r>
          </w:p>
        </w:tc>
      </w:tr>
      <w:tr w:rsidR="003712C3" w:rsidRPr="003712C3" w14:paraId="0EB0A566" w14:textId="77777777">
        <w:tc>
          <w:tcPr>
            <w:tcW w:w="8630" w:type="dxa"/>
          </w:tcPr>
          <w:p w14:paraId="09B56357" w14:textId="77777777" w:rsidR="003712C3" w:rsidRPr="003712C3" w:rsidRDefault="003712C3" w:rsidP="007F191F"/>
        </w:tc>
      </w:tr>
      <w:tr w:rsidR="003712C3" w:rsidRPr="003712C3" w14:paraId="2A475FCB" w14:textId="77777777">
        <w:tc>
          <w:tcPr>
            <w:tcW w:w="8630" w:type="dxa"/>
          </w:tcPr>
          <w:p w14:paraId="29C5F4A6" w14:textId="39699E35" w:rsidR="003712C3" w:rsidRPr="003712C3" w:rsidRDefault="003712C3" w:rsidP="007F191F">
            <w:r w:rsidRPr="003712C3">
              <w:t xml:space="preserve">3. Conclusion .................................................... </w:t>
            </w:r>
            <w:r w:rsidR="008874AD">
              <w:t>6</w:t>
            </w:r>
          </w:p>
        </w:tc>
      </w:tr>
      <w:tr w:rsidR="003712C3" w:rsidRPr="003712C3" w14:paraId="2906E285" w14:textId="77777777">
        <w:tc>
          <w:tcPr>
            <w:tcW w:w="8630" w:type="dxa"/>
          </w:tcPr>
          <w:p w14:paraId="0F32C045" w14:textId="77777777" w:rsidR="003712C3" w:rsidRPr="003712C3" w:rsidRDefault="003712C3" w:rsidP="007F191F"/>
        </w:tc>
      </w:tr>
      <w:tr w:rsidR="003712C3" w:rsidRPr="003712C3" w14:paraId="3C6B9006" w14:textId="77777777">
        <w:tc>
          <w:tcPr>
            <w:tcW w:w="8630" w:type="dxa"/>
          </w:tcPr>
          <w:p w14:paraId="082CDECA" w14:textId="76B23EA1" w:rsidR="003712C3" w:rsidRPr="003712C3" w:rsidRDefault="003712C3" w:rsidP="007F191F">
            <w:r w:rsidRPr="003712C3">
              <w:t xml:space="preserve">References ....................................................... </w:t>
            </w:r>
            <w:r w:rsidR="008874AD">
              <w:t>7</w:t>
            </w:r>
          </w:p>
        </w:tc>
      </w:tr>
      <w:tr w:rsidR="003712C3" w:rsidRPr="003712C3" w14:paraId="424ACD42" w14:textId="77777777">
        <w:tc>
          <w:tcPr>
            <w:tcW w:w="8630" w:type="dxa"/>
          </w:tcPr>
          <w:p w14:paraId="05810934" w14:textId="77777777" w:rsidR="003712C3" w:rsidRPr="003712C3" w:rsidRDefault="003712C3" w:rsidP="007F191F"/>
        </w:tc>
      </w:tr>
    </w:tbl>
    <w:p w14:paraId="2AE8F752" w14:textId="363446B5" w:rsidR="00BE1633" w:rsidRPr="005E53BE" w:rsidRDefault="00BE1633" w:rsidP="00D1383D">
      <w:pPr>
        <w:pStyle w:val="Heading1"/>
        <w:rPr>
          <w:rFonts w:ascii="Arial" w:hAnsi="Arial" w:cs="Arial"/>
          <w:b/>
          <w:bCs/>
        </w:rPr>
      </w:pPr>
      <w:r w:rsidRPr="005E53BE">
        <w:rPr>
          <w:rFonts w:ascii="Arial" w:hAnsi="Arial" w:cs="Arial"/>
          <w:b/>
          <w:bCs/>
        </w:rPr>
        <w:lastRenderedPageBreak/>
        <w:t xml:space="preserve">1.Introduction </w:t>
      </w:r>
    </w:p>
    <w:p w14:paraId="4664DA6F" w14:textId="1C2D221E" w:rsidR="00BE1633" w:rsidRPr="00894E2B" w:rsidRDefault="00894E2B" w:rsidP="00BE1633">
      <w:pPr>
        <w:rPr>
          <w:rFonts w:ascii="Arial" w:hAnsi="Arial" w:cs="Arial"/>
        </w:rPr>
      </w:pPr>
      <w:r w:rsidRPr="00894E2B">
        <w:rPr>
          <w:rFonts w:ascii="Arial" w:hAnsi="Arial" w:cs="Arial"/>
        </w:rPr>
        <w:t>Late adulthood is generally accepted to begin around 65 years and is typically marked by a decline in physical capabilities including strength, stamina, and mobility, as well as an increase in susceptibility to chronic illness (Boyd and Bee, 2019). The cognitive effects include a slowing down in information-processing and difficulties in short-term memory, while common social changes occurring during this stage include retirement, bereavement, and shrinking social circles (Boyd and Bee, 2019). Dementia is the overall term for a set of brain diseases that cause a long-term and often gradual decrease in the ability to think and remember.</w:t>
      </w:r>
    </w:p>
    <w:p w14:paraId="77B1BA79" w14:textId="15F84E4C" w:rsidR="00BE1633" w:rsidRPr="005E53BE" w:rsidRDefault="00BE1633" w:rsidP="006174D2">
      <w:pPr>
        <w:rPr>
          <w:rFonts w:ascii="Arial" w:hAnsi="Arial" w:cs="Arial"/>
          <w:color w:val="0F4761" w:themeColor="accent1" w:themeShade="BF"/>
          <w:sz w:val="36"/>
          <w:szCs w:val="36"/>
        </w:rPr>
      </w:pPr>
      <w:r w:rsidRPr="005E53BE">
        <w:rPr>
          <w:rFonts w:ascii="Arial" w:hAnsi="Arial" w:cs="Arial"/>
          <w:b/>
          <w:bCs/>
          <w:color w:val="0F4761" w:themeColor="accent1" w:themeShade="BF"/>
          <w:sz w:val="36"/>
          <w:szCs w:val="36"/>
        </w:rPr>
        <w:t xml:space="preserve">2. Discussion and Analysis </w:t>
      </w:r>
    </w:p>
    <w:p w14:paraId="09AA8D79" w14:textId="77777777" w:rsidR="00BE1633" w:rsidRPr="005E53BE" w:rsidRDefault="00BE1633" w:rsidP="00D1383D">
      <w:pPr>
        <w:pStyle w:val="Heading2"/>
        <w:rPr>
          <w:rFonts w:ascii="Arial" w:hAnsi="Arial" w:cs="Arial"/>
          <w:b/>
          <w:bCs/>
        </w:rPr>
      </w:pPr>
      <w:r w:rsidRPr="005E53BE">
        <w:rPr>
          <w:rFonts w:ascii="Arial" w:hAnsi="Arial" w:cs="Arial"/>
          <w:b/>
          <w:bCs/>
        </w:rPr>
        <w:t>2.1 Theory One – Activity Theory of Ageing</w:t>
      </w:r>
    </w:p>
    <w:p w14:paraId="6F020BBC" w14:textId="77777777" w:rsidR="00BE1633" w:rsidRPr="005E53BE" w:rsidRDefault="00BE1633" w:rsidP="00D1383D">
      <w:pPr>
        <w:pStyle w:val="Heading3"/>
        <w:rPr>
          <w:rFonts w:ascii="Arial" w:hAnsi="Arial" w:cs="Arial"/>
        </w:rPr>
      </w:pPr>
      <w:r w:rsidRPr="005E53BE">
        <w:rPr>
          <w:rFonts w:ascii="Arial" w:hAnsi="Arial" w:cs="Arial"/>
        </w:rPr>
        <w:t>2.1.1 Who developed the theory?</w:t>
      </w:r>
    </w:p>
    <w:p w14:paraId="77BBBF54" w14:textId="6D3C5682" w:rsidR="00BE1633" w:rsidRPr="005E53BE" w:rsidRDefault="00BE1633" w:rsidP="00BE1633">
      <w:pPr>
        <w:pStyle w:val="Heading3"/>
        <w:rPr>
          <w:rFonts w:ascii="Arial" w:eastAsiaTheme="minorEastAsia" w:hAnsi="Arial" w:cs="Arial"/>
          <w:color w:val="auto"/>
          <w:sz w:val="22"/>
          <w:szCs w:val="22"/>
        </w:rPr>
      </w:pPr>
      <w:r w:rsidRPr="005E53BE">
        <w:rPr>
          <w:rFonts w:ascii="Arial" w:eastAsiaTheme="minorEastAsia" w:hAnsi="Arial" w:cs="Arial"/>
          <w:color w:val="auto"/>
          <w:sz w:val="22"/>
          <w:szCs w:val="22"/>
        </w:rPr>
        <w:t>Activity Theory of Ageing emerged in the early 1960s, primarily through the work of Robert Havighurst and colleagues, as they explored what “successful” ageing might look like (Havighurst, 1961</w:t>
      </w:r>
      <w:r w:rsidR="00F3295E" w:rsidRPr="005E53BE">
        <w:rPr>
          <w:rFonts w:ascii="Arial" w:eastAsiaTheme="minorEastAsia" w:hAnsi="Arial" w:cs="Arial"/>
          <w:color w:val="auto"/>
          <w:sz w:val="22"/>
          <w:szCs w:val="22"/>
        </w:rPr>
        <w:t>).</w:t>
      </w:r>
    </w:p>
    <w:p w14:paraId="7103F11C" w14:textId="131DC282" w:rsidR="00BE1633" w:rsidRPr="005E53BE" w:rsidRDefault="00BE1633" w:rsidP="00D1383D">
      <w:pPr>
        <w:pStyle w:val="Heading3"/>
        <w:rPr>
          <w:rFonts w:ascii="Arial" w:hAnsi="Arial" w:cs="Arial"/>
        </w:rPr>
      </w:pPr>
      <w:r w:rsidRPr="005E53BE">
        <w:rPr>
          <w:rFonts w:ascii="Arial" w:hAnsi="Arial" w:cs="Arial"/>
        </w:rPr>
        <w:t>2.1.2 Core concepts</w:t>
      </w:r>
    </w:p>
    <w:p w14:paraId="3B3CAB48" w14:textId="0D2035CB" w:rsidR="00BE1633" w:rsidRPr="005E53BE" w:rsidRDefault="00BE1633" w:rsidP="00BE1633">
      <w:pPr>
        <w:rPr>
          <w:rFonts w:ascii="Arial" w:hAnsi="Arial" w:cs="Arial"/>
        </w:rPr>
      </w:pPr>
      <w:r w:rsidRPr="005E53BE">
        <w:rPr>
          <w:rFonts w:ascii="Arial" w:hAnsi="Arial" w:cs="Arial"/>
        </w:rPr>
        <w:t xml:space="preserve">Activity Theory focuses on the idea that “successful” ageing happens when older adults stay as engaged as possible in everyday life. It suggests  continuing </w:t>
      </w:r>
      <w:r w:rsidRPr="005E53BE">
        <w:rPr>
          <w:rFonts w:ascii="Arial" w:hAnsi="Arial" w:cs="Arial"/>
          <w:b/>
          <w:bCs/>
        </w:rPr>
        <w:t>social activity</w:t>
      </w:r>
      <w:r w:rsidRPr="005E53BE">
        <w:rPr>
          <w:rFonts w:ascii="Arial" w:hAnsi="Arial" w:cs="Arial"/>
        </w:rPr>
        <w:t xml:space="preserve"> (such as seeing friends, taking part in groups or community events), </w:t>
      </w:r>
      <w:r w:rsidRPr="005E53BE">
        <w:rPr>
          <w:rFonts w:ascii="Arial" w:hAnsi="Arial" w:cs="Arial"/>
          <w:b/>
          <w:bCs/>
        </w:rPr>
        <w:t>physical activity</w:t>
      </w:r>
      <w:r w:rsidRPr="005E53BE">
        <w:rPr>
          <w:rFonts w:ascii="Arial" w:hAnsi="Arial" w:cs="Arial"/>
        </w:rPr>
        <w:t xml:space="preserve"> (for example walking, gentle exercise or gardening) and </w:t>
      </w:r>
      <w:r w:rsidRPr="005E53BE">
        <w:rPr>
          <w:rFonts w:ascii="Arial" w:hAnsi="Arial" w:cs="Arial"/>
          <w:b/>
          <w:bCs/>
        </w:rPr>
        <w:t>cognitive activity</w:t>
      </w:r>
      <w:r w:rsidR="005E53BE">
        <w:rPr>
          <w:rFonts w:ascii="Arial" w:hAnsi="Arial" w:cs="Arial"/>
          <w:b/>
          <w:bCs/>
        </w:rPr>
        <w:t xml:space="preserve"> </w:t>
      </w:r>
      <w:r w:rsidR="005E53BE">
        <w:rPr>
          <w:rFonts w:ascii="Arial" w:hAnsi="Arial" w:cs="Arial"/>
        </w:rPr>
        <w:t>even in old age.</w:t>
      </w:r>
      <w:r w:rsidRPr="005E53BE">
        <w:rPr>
          <w:rFonts w:ascii="Arial" w:hAnsi="Arial" w:cs="Arial"/>
        </w:rPr>
        <w:t xml:space="preserve">Activity Theory argues that wellbeing is highest when older adults are supported to </w:t>
      </w:r>
      <w:r w:rsidRPr="005E53BE">
        <w:rPr>
          <w:rFonts w:ascii="Arial" w:hAnsi="Arial" w:cs="Arial"/>
          <w:b/>
          <w:bCs/>
        </w:rPr>
        <w:t>maintain</w:t>
      </w:r>
      <w:r w:rsidRPr="005E53BE">
        <w:rPr>
          <w:rFonts w:ascii="Arial" w:hAnsi="Arial" w:cs="Arial"/>
        </w:rPr>
        <w:t xml:space="preserve"> valued roles or </w:t>
      </w:r>
      <w:r w:rsidRPr="005E53BE">
        <w:rPr>
          <w:rFonts w:ascii="Arial" w:hAnsi="Arial" w:cs="Arial"/>
          <w:b/>
          <w:bCs/>
        </w:rPr>
        <w:t>replace</w:t>
      </w:r>
      <w:r w:rsidRPr="005E53BE">
        <w:rPr>
          <w:rFonts w:ascii="Arial" w:hAnsi="Arial" w:cs="Arial"/>
        </w:rPr>
        <w:t xml:space="preserve"> them with new, meaningful ones rather than becoming isolated </w:t>
      </w:r>
      <w:r w:rsidRPr="005E53BE">
        <w:rPr>
          <w:rFonts w:ascii="Arial" w:hAnsi="Arial" w:cs="Arial"/>
          <w:b/>
          <w:bCs/>
        </w:rPr>
        <w:t xml:space="preserve">(Boyd and Bee, 2019). </w:t>
      </w:r>
    </w:p>
    <w:p w14:paraId="701F4AF7" w14:textId="77777777" w:rsidR="00BE1633" w:rsidRPr="005E53BE" w:rsidRDefault="00BE1633" w:rsidP="00D1383D">
      <w:pPr>
        <w:pStyle w:val="Heading3"/>
        <w:rPr>
          <w:rFonts w:ascii="Arial" w:hAnsi="Arial" w:cs="Arial"/>
        </w:rPr>
      </w:pPr>
      <w:r w:rsidRPr="005E53BE">
        <w:rPr>
          <w:rFonts w:ascii="Arial" w:hAnsi="Arial" w:cs="Arial"/>
        </w:rPr>
        <w:lastRenderedPageBreak/>
        <w:t>2.1.3 Relevance to adult development (65+)</w:t>
      </w:r>
    </w:p>
    <w:p w14:paraId="7B3EEFBF" w14:textId="6390100F" w:rsidR="00A06097" w:rsidRPr="005E53BE" w:rsidRDefault="00AC1998" w:rsidP="00BE1633">
      <w:pPr>
        <w:pStyle w:val="Heading3"/>
        <w:rPr>
          <w:rFonts w:ascii="Arial" w:eastAsiaTheme="minorEastAsia" w:hAnsi="Arial" w:cs="Arial"/>
          <w:color w:val="auto"/>
          <w:sz w:val="22"/>
          <w:szCs w:val="22"/>
        </w:rPr>
      </w:pPr>
      <w:r w:rsidRPr="005E53BE">
        <w:rPr>
          <w:rFonts w:ascii="Arial" w:eastAsiaTheme="minorEastAsia" w:hAnsi="Arial" w:cs="Arial"/>
          <w:color w:val="auto"/>
          <w:sz w:val="22"/>
          <w:szCs w:val="22"/>
        </w:rPr>
        <w:t xml:space="preserve">Activity Theory suggests that, in this context, it is especially important for adults 65+ to keep up, or adapt, social, physical and cognitive activities so that they continue to feel </w:t>
      </w:r>
      <w:r w:rsidRPr="005E53BE">
        <w:rPr>
          <w:rFonts w:ascii="Arial" w:eastAsiaTheme="minorEastAsia" w:hAnsi="Arial" w:cs="Arial"/>
          <w:b/>
          <w:bCs/>
          <w:color w:val="auto"/>
          <w:sz w:val="22"/>
          <w:szCs w:val="22"/>
        </w:rPr>
        <w:t>useful, connected and recognised</w:t>
      </w:r>
      <w:r w:rsidRPr="005E53BE">
        <w:rPr>
          <w:rFonts w:ascii="Arial" w:eastAsiaTheme="minorEastAsia" w:hAnsi="Arial" w:cs="Arial"/>
          <w:color w:val="auto"/>
          <w:sz w:val="22"/>
          <w:szCs w:val="22"/>
        </w:rPr>
        <w:t xml:space="preserve">. For example, a retired person might replace a paid work role with volunteering, a grandparenting role or leading a group in the care home. </w:t>
      </w:r>
    </w:p>
    <w:p w14:paraId="3D4F1E32" w14:textId="4ACED144" w:rsidR="00BE1633" w:rsidRPr="005E53BE" w:rsidRDefault="00BE1633" w:rsidP="00D1383D">
      <w:pPr>
        <w:pStyle w:val="Heading3"/>
        <w:rPr>
          <w:rFonts w:ascii="Arial" w:hAnsi="Arial" w:cs="Arial"/>
        </w:rPr>
      </w:pPr>
      <w:r w:rsidRPr="005E53BE">
        <w:rPr>
          <w:rFonts w:ascii="Arial" w:hAnsi="Arial" w:cs="Arial"/>
        </w:rPr>
        <w:t>2.1.4 Strengths and limitations of Activity Theory</w:t>
      </w:r>
    </w:p>
    <w:p w14:paraId="323776B8" w14:textId="77777777" w:rsidR="00F3295E" w:rsidRPr="005E53BE" w:rsidRDefault="00F3295E" w:rsidP="00F3295E">
      <w:pPr>
        <w:pStyle w:val="Heading2"/>
        <w:rPr>
          <w:rFonts w:ascii="Arial" w:hAnsi="Arial" w:cs="Arial"/>
          <w:color w:val="000000" w:themeColor="text1"/>
          <w:sz w:val="22"/>
          <w:szCs w:val="22"/>
          <w:lang w:val="en-PK"/>
        </w:rPr>
      </w:pPr>
      <w:r w:rsidRPr="005E53BE">
        <w:rPr>
          <w:rFonts w:ascii="Arial" w:hAnsi="Arial" w:cs="Arial"/>
          <w:color w:val="000000" w:themeColor="text1"/>
          <w:sz w:val="22"/>
          <w:szCs w:val="22"/>
          <w:lang w:val="en-PK"/>
        </w:rPr>
        <w:t xml:space="preserve">Activity Theory gives a positive view of ageing, suggesting older adults can still grow and enjoy life if they are supported to stay socially, physically and mentally active. It fits with health promotion and underpins activities in care homes, such as exercise groups and social clubs, which are linked with better mood and reduced loneliness </w:t>
      </w:r>
      <w:r w:rsidRPr="005E53BE">
        <w:rPr>
          <w:rFonts w:ascii="Arial" w:hAnsi="Arial" w:cs="Arial"/>
          <w:b/>
          <w:bCs/>
          <w:color w:val="000000" w:themeColor="text1"/>
          <w:sz w:val="22"/>
          <w:szCs w:val="22"/>
          <w:lang w:val="en-PK"/>
        </w:rPr>
        <w:t>(Adams, Leibbrandt and Moon, 2011).</w:t>
      </w:r>
    </w:p>
    <w:p w14:paraId="14D25148" w14:textId="77777777" w:rsidR="00F3295E" w:rsidRPr="005E53BE" w:rsidRDefault="00F3295E" w:rsidP="00F3295E">
      <w:pPr>
        <w:pStyle w:val="Heading2"/>
        <w:rPr>
          <w:rFonts w:ascii="Arial" w:hAnsi="Arial" w:cs="Arial"/>
          <w:color w:val="000000" w:themeColor="text1"/>
          <w:sz w:val="22"/>
          <w:szCs w:val="22"/>
          <w:lang w:val="en-PK"/>
        </w:rPr>
      </w:pPr>
      <w:r w:rsidRPr="005E53BE">
        <w:rPr>
          <w:rFonts w:ascii="Arial" w:hAnsi="Arial" w:cs="Arial"/>
          <w:color w:val="000000" w:themeColor="text1"/>
          <w:sz w:val="22"/>
          <w:szCs w:val="22"/>
          <w:lang w:val="en-PK"/>
        </w:rPr>
        <w:t xml:space="preserve">However, it can ignore structural barriers such as poverty, disability, under-staffing and lack of transport, may not suit those who prefer a quieter old age, and can imply that less active people are “failing” to age well. For people with dementia, it needs to be used flexibly and combined with person-centred care </w:t>
      </w:r>
      <w:r w:rsidRPr="005E53BE">
        <w:rPr>
          <w:rFonts w:ascii="Arial" w:hAnsi="Arial" w:cs="Arial"/>
          <w:b/>
          <w:bCs/>
          <w:color w:val="000000" w:themeColor="text1"/>
          <w:sz w:val="22"/>
          <w:szCs w:val="22"/>
          <w:lang w:val="en-PK"/>
        </w:rPr>
        <w:t>(Adams, Leibbrandt and Moon, 2011).</w:t>
      </w:r>
    </w:p>
    <w:p w14:paraId="63051235" w14:textId="264DA73D" w:rsidR="00BE1633" w:rsidRPr="005E53BE" w:rsidRDefault="00BE1633" w:rsidP="00D1383D">
      <w:pPr>
        <w:pStyle w:val="Heading2"/>
        <w:rPr>
          <w:rFonts w:ascii="Arial" w:hAnsi="Arial" w:cs="Arial"/>
          <w:b/>
          <w:bCs/>
        </w:rPr>
      </w:pPr>
      <w:r w:rsidRPr="005E53BE">
        <w:rPr>
          <w:rFonts w:ascii="Arial" w:hAnsi="Arial" w:cs="Arial"/>
          <w:b/>
          <w:bCs/>
        </w:rPr>
        <w:t>2.2 Theory Two – Positive Psychology and the PERMA Model</w:t>
      </w:r>
    </w:p>
    <w:p w14:paraId="549871B7" w14:textId="77777777" w:rsidR="00BE1633" w:rsidRPr="005E53BE" w:rsidRDefault="00BE1633" w:rsidP="00D1383D">
      <w:pPr>
        <w:pStyle w:val="Heading3"/>
        <w:rPr>
          <w:rFonts w:ascii="Arial" w:hAnsi="Arial" w:cs="Arial"/>
        </w:rPr>
      </w:pPr>
      <w:r w:rsidRPr="005E53BE">
        <w:rPr>
          <w:rFonts w:ascii="Arial" w:hAnsi="Arial" w:cs="Arial"/>
        </w:rPr>
        <w:t>2.2.1 Who developed the theory?</w:t>
      </w:r>
    </w:p>
    <w:p w14:paraId="1703D6CD" w14:textId="658A85D2" w:rsidR="00A06097" w:rsidRPr="005E53BE" w:rsidRDefault="00A06097" w:rsidP="00BE1633">
      <w:pPr>
        <w:pStyle w:val="Heading3"/>
        <w:rPr>
          <w:rFonts w:ascii="Arial" w:eastAsiaTheme="minorEastAsia" w:hAnsi="Arial" w:cs="Arial"/>
          <w:color w:val="auto"/>
          <w:sz w:val="22"/>
          <w:szCs w:val="22"/>
        </w:rPr>
      </w:pPr>
      <w:r w:rsidRPr="005E53BE">
        <w:rPr>
          <w:rFonts w:ascii="Arial" w:eastAsiaTheme="minorEastAsia" w:hAnsi="Arial" w:cs="Arial"/>
          <w:color w:val="auto"/>
          <w:sz w:val="22"/>
          <w:szCs w:val="22"/>
        </w:rPr>
        <w:t>Positive Psychology is associated with Martin Seligman and his colleagues</w:t>
      </w:r>
      <w:r w:rsidR="006174D2" w:rsidRPr="005E53BE">
        <w:rPr>
          <w:rFonts w:ascii="Arial" w:eastAsiaTheme="minorEastAsia" w:hAnsi="Arial" w:cs="Arial"/>
          <w:color w:val="auto"/>
          <w:sz w:val="22"/>
          <w:szCs w:val="22"/>
        </w:rPr>
        <w:t xml:space="preserve">. </w:t>
      </w:r>
      <w:r w:rsidR="00F3295E" w:rsidRPr="005E53BE">
        <w:rPr>
          <w:rFonts w:ascii="Arial" w:eastAsiaTheme="minorEastAsia" w:hAnsi="Arial" w:cs="Arial"/>
          <w:color w:val="auto"/>
          <w:sz w:val="22"/>
          <w:szCs w:val="22"/>
        </w:rPr>
        <w:t>C</w:t>
      </w:r>
      <w:r w:rsidRPr="005E53BE">
        <w:rPr>
          <w:rFonts w:ascii="Arial" w:eastAsiaTheme="minorEastAsia" w:hAnsi="Arial" w:cs="Arial"/>
          <w:color w:val="auto"/>
          <w:sz w:val="22"/>
          <w:szCs w:val="22"/>
        </w:rPr>
        <w:t>ore elements</w:t>
      </w:r>
      <w:r w:rsidR="00F3295E" w:rsidRPr="005E53BE">
        <w:rPr>
          <w:rFonts w:ascii="Arial" w:eastAsiaTheme="minorEastAsia" w:hAnsi="Arial" w:cs="Arial"/>
          <w:color w:val="auto"/>
          <w:sz w:val="22"/>
          <w:szCs w:val="22"/>
        </w:rPr>
        <w:t xml:space="preserve"> are </w:t>
      </w:r>
      <w:r w:rsidRPr="005E53BE">
        <w:rPr>
          <w:rFonts w:ascii="Arial" w:eastAsiaTheme="minorEastAsia" w:hAnsi="Arial" w:cs="Arial"/>
          <w:color w:val="auto"/>
          <w:sz w:val="22"/>
          <w:szCs w:val="22"/>
        </w:rPr>
        <w:t>Positive Emotion, Engagement, Relationships, Meaning and Accomplishment,capture the main ways in which people experience a flourishing life</w:t>
      </w:r>
      <w:r w:rsidRPr="005E53BE">
        <w:rPr>
          <w:rFonts w:ascii="Arial" w:eastAsiaTheme="minorEastAsia" w:hAnsi="Arial" w:cs="Arial"/>
          <w:b/>
          <w:bCs/>
          <w:color w:val="auto"/>
          <w:sz w:val="22"/>
          <w:szCs w:val="22"/>
        </w:rPr>
        <w:t xml:space="preserve"> (Seligman, 2011).</w:t>
      </w:r>
    </w:p>
    <w:p w14:paraId="2462D3F8" w14:textId="77777777" w:rsidR="00A06097" w:rsidRPr="005E53BE" w:rsidRDefault="00BE1633" w:rsidP="00D1383D">
      <w:pPr>
        <w:pStyle w:val="Heading3"/>
        <w:rPr>
          <w:rFonts w:ascii="Arial" w:hAnsi="Arial" w:cs="Arial"/>
        </w:rPr>
      </w:pPr>
      <w:r w:rsidRPr="005E53BE">
        <w:rPr>
          <w:rFonts w:ascii="Arial" w:hAnsi="Arial" w:cs="Arial"/>
        </w:rPr>
        <w:t>2.2.2 Core concepts</w:t>
      </w:r>
    </w:p>
    <w:p w14:paraId="7E4F5316" w14:textId="14B5CC8B" w:rsidR="00894E2B" w:rsidRDefault="00894E2B" w:rsidP="00D1383D">
      <w:pPr>
        <w:pStyle w:val="Heading3"/>
        <w:rPr>
          <w:rFonts w:ascii="Arial" w:eastAsiaTheme="minorEastAsia" w:hAnsi="Arial" w:cs="Arial"/>
          <w:color w:val="auto"/>
          <w:sz w:val="22"/>
          <w:szCs w:val="22"/>
        </w:rPr>
      </w:pPr>
      <w:r w:rsidRPr="00894E2B">
        <w:rPr>
          <w:rFonts w:ascii="Arial" w:eastAsiaTheme="minorEastAsia" w:hAnsi="Arial" w:cs="Arial"/>
          <w:color w:val="auto"/>
          <w:sz w:val="22"/>
          <w:szCs w:val="22"/>
        </w:rPr>
        <w:t>The PERMA model divides wellbeing</w:t>
      </w:r>
      <w:r w:rsidRPr="00894E2B">
        <w:rPr>
          <w:rFonts w:ascii="Arial" w:eastAsiaTheme="minorEastAsia" w:hAnsi="Arial" w:cs="Arial"/>
          <w:color w:val="auto"/>
          <w:sz w:val="22"/>
          <w:szCs w:val="22"/>
        </w:rPr>
        <w:t> </w:t>
      </w:r>
      <w:r w:rsidRPr="00894E2B">
        <w:rPr>
          <w:rFonts w:ascii="Arial" w:eastAsiaTheme="minorEastAsia" w:hAnsi="Arial" w:cs="Arial"/>
          <w:color w:val="auto"/>
          <w:sz w:val="22"/>
          <w:szCs w:val="22"/>
        </w:rPr>
        <w:t>into five major areas. POSITIVE EMOTION Positive</w:t>
      </w:r>
      <w:r w:rsidRPr="00894E2B">
        <w:rPr>
          <w:rFonts w:ascii="Arial" w:eastAsiaTheme="minorEastAsia" w:hAnsi="Arial" w:cs="Arial"/>
          <w:color w:val="auto"/>
          <w:sz w:val="22"/>
          <w:szCs w:val="22"/>
        </w:rPr>
        <w:t> </w:t>
      </w:r>
      <w:r w:rsidRPr="00894E2B">
        <w:rPr>
          <w:rFonts w:ascii="Arial" w:eastAsiaTheme="minorEastAsia" w:hAnsi="Arial" w:cs="Arial"/>
          <w:color w:val="auto"/>
          <w:sz w:val="22"/>
          <w:szCs w:val="22"/>
        </w:rPr>
        <w:t>Emotion is associated with feelings of joy, comfort, gratitude and hope that contribute to making life pleasurable in the moment. Engagement is also</w:t>
      </w:r>
      <w:r w:rsidRPr="00894E2B">
        <w:rPr>
          <w:rFonts w:ascii="Arial" w:eastAsiaTheme="minorEastAsia" w:hAnsi="Arial" w:cs="Arial"/>
          <w:color w:val="auto"/>
          <w:sz w:val="22"/>
          <w:szCs w:val="22"/>
        </w:rPr>
        <w:t> </w:t>
      </w:r>
      <w:r w:rsidRPr="00894E2B">
        <w:rPr>
          <w:rFonts w:ascii="Arial" w:eastAsiaTheme="minorEastAsia" w:hAnsi="Arial" w:cs="Arial"/>
          <w:color w:val="auto"/>
          <w:sz w:val="22"/>
          <w:szCs w:val="22"/>
        </w:rPr>
        <w:t>a description of being so involved in an activity that you lose track of time</w:t>
      </w:r>
      <w:r>
        <w:rPr>
          <w:rFonts w:ascii="Arial" w:eastAsiaTheme="minorEastAsia" w:hAnsi="Arial" w:cs="Arial"/>
          <w:color w:val="auto"/>
          <w:sz w:val="22"/>
          <w:szCs w:val="22"/>
        </w:rPr>
        <w:t>.</w:t>
      </w:r>
      <w:r w:rsidRPr="00894E2B">
        <w:rPr>
          <w:rFonts w:ascii="Arial" w:eastAsiaTheme="minorEastAsia" w:hAnsi="Arial" w:cs="Arial"/>
          <w:color w:val="auto"/>
          <w:sz w:val="22"/>
          <w:szCs w:val="22"/>
        </w:rPr>
        <w:t>You may have heard of "flow" states that relate to "Engagement" Well, this is what it’s about! Relationships highlight the need for close and supportive relationships with family, friends and</w:t>
      </w:r>
      <w:r w:rsidRPr="00894E2B">
        <w:rPr>
          <w:rFonts w:ascii="Arial" w:eastAsiaTheme="minorEastAsia" w:hAnsi="Arial" w:cs="Arial"/>
          <w:color w:val="auto"/>
          <w:sz w:val="22"/>
          <w:szCs w:val="22"/>
        </w:rPr>
        <w:t> </w:t>
      </w:r>
      <w:r w:rsidRPr="00894E2B">
        <w:rPr>
          <w:rFonts w:ascii="Arial" w:eastAsiaTheme="minorEastAsia" w:hAnsi="Arial" w:cs="Arial"/>
          <w:color w:val="auto"/>
          <w:sz w:val="22"/>
          <w:szCs w:val="22"/>
        </w:rPr>
        <w:t>others on whom we can depend given that we are social creatures. Meaning means</w:t>
      </w:r>
      <w:r w:rsidRPr="00894E2B">
        <w:rPr>
          <w:rFonts w:ascii="Arial" w:eastAsiaTheme="minorEastAsia" w:hAnsi="Arial" w:cs="Arial"/>
          <w:color w:val="auto"/>
          <w:sz w:val="22"/>
          <w:szCs w:val="22"/>
        </w:rPr>
        <w:t> </w:t>
      </w:r>
      <w:r w:rsidRPr="00894E2B">
        <w:rPr>
          <w:rFonts w:ascii="Arial" w:eastAsiaTheme="minorEastAsia" w:hAnsi="Arial" w:cs="Arial"/>
          <w:color w:val="auto"/>
          <w:sz w:val="22"/>
          <w:szCs w:val="22"/>
        </w:rPr>
        <w:t>believing your life has purpose. Accomplishment is about pursuing and attaining objectives, no</w:t>
      </w:r>
      <w:r w:rsidRPr="00894E2B">
        <w:rPr>
          <w:rFonts w:ascii="Arial" w:eastAsiaTheme="minorEastAsia" w:hAnsi="Arial" w:cs="Arial"/>
          <w:color w:val="auto"/>
          <w:sz w:val="22"/>
          <w:szCs w:val="22"/>
        </w:rPr>
        <w:t> </w:t>
      </w:r>
      <w:r w:rsidRPr="00894E2B">
        <w:rPr>
          <w:rFonts w:ascii="Arial" w:eastAsiaTheme="minorEastAsia" w:hAnsi="Arial" w:cs="Arial"/>
          <w:color w:val="auto"/>
          <w:sz w:val="22"/>
          <w:szCs w:val="22"/>
        </w:rPr>
        <w:t xml:space="preserve">matter how minor, and feeling like you are making headway or mastering something. </w:t>
      </w:r>
      <w:r w:rsidRPr="00894E2B">
        <w:rPr>
          <w:rFonts w:ascii="Arial" w:eastAsiaTheme="minorEastAsia" w:hAnsi="Arial" w:cs="Arial"/>
          <w:b/>
          <w:bCs/>
          <w:color w:val="auto"/>
          <w:sz w:val="22"/>
          <w:szCs w:val="22"/>
        </w:rPr>
        <w:t>(University_of_Wales_Trinity_Saint_David,</w:t>
      </w:r>
      <w:r w:rsidRPr="00894E2B">
        <w:rPr>
          <w:rFonts w:ascii="Arial" w:eastAsiaTheme="minorEastAsia" w:hAnsi="Arial" w:cs="Arial"/>
          <w:b/>
          <w:bCs/>
          <w:color w:val="auto"/>
          <w:sz w:val="22"/>
          <w:szCs w:val="22"/>
        </w:rPr>
        <w:t> </w:t>
      </w:r>
      <w:r w:rsidRPr="00894E2B">
        <w:rPr>
          <w:rFonts w:ascii="Arial" w:eastAsiaTheme="minorEastAsia" w:hAnsi="Arial" w:cs="Arial"/>
          <w:b/>
          <w:bCs/>
          <w:color w:val="auto"/>
          <w:sz w:val="22"/>
          <w:szCs w:val="22"/>
        </w:rPr>
        <w:t>2025).</w:t>
      </w:r>
    </w:p>
    <w:p w14:paraId="4DF2AE1E" w14:textId="67F6B374" w:rsidR="00BE1633" w:rsidRPr="005E53BE" w:rsidRDefault="00BE1633" w:rsidP="00D1383D">
      <w:pPr>
        <w:pStyle w:val="Heading3"/>
        <w:rPr>
          <w:rFonts w:ascii="Arial" w:hAnsi="Arial" w:cs="Arial"/>
        </w:rPr>
      </w:pPr>
      <w:r w:rsidRPr="005E53BE">
        <w:rPr>
          <w:rFonts w:ascii="Arial" w:hAnsi="Arial" w:cs="Arial"/>
        </w:rPr>
        <w:t>2.2.3 Relevance to adult development (65+)</w:t>
      </w:r>
    </w:p>
    <w:p w14:paraId="43CDA983" w14:textId="77777777" w:rsidR="00894E2B" w:rsidRDefault="00894E2B" w:rsidP="00D1383D">
      <w:pPr>
        <w:pStyle w:val="Heading2"/>
        <w:rPr>
          <w:rFonts w:ascii="Arial" w:eastAsiaTheme="minorEastAsia" w:hAnsi="Arial" w:cs="Arial"/>
          <w:color w:val="auto"/>
          <w:sz w:val="22"/>
          <w:szCs w:val="22"/>
        </w:rPr>
      </w:pPr>
      <w:r w:rsidRPr="00894E2B">
        <w:rPr>
          <w:rFonts w:ascii="Arial" w:eastAsiaTheme="minorEastAsia" w:hAnsi="Arial" w:cs="Arial"/>
          <w:color w:val="auto"/>
          <w:sz w:val="22"/>
          <w:szCs w:val="22"/>
        </w:rPr>
        <w:lastRenderedPageBreak/>
        <w:t>The PERMA model is applicable to older adults with dementia when attention is given to minor, day-to-day sources of wellbeing.Meaning can be bolstered through connections to faith, culture</w:t>
      </w:r>
      <w:r w:rsidRPr="00894E2B">
        <w:rPr>
          <w:rFonts w:ascii="Arial" w:eastAsiaTheme="minorEastAsia" w:hAnsi="Arial" w:cs="Arial"/>
          <w:color w:val="auto"/>
          <w:sz w:val="22"/>
          <w:szCs w:val="22"/>
        </w:rPr>
        <w:t> </w:t>
      </w:r>
      <w:r w:rsidRPr="00894E2B">
        <w:rPr>
          <w:rFonts w:ascii="Arial" w:eastAsiaTheme="minorEastAsia" w:hAnsi="Arial" w:cs="Arial"/>
          <w:color w:val="auto"/>
          <w:sz w:val="22"/>
          <w:szCs w:val="22"/>
        </w:rPr>
        <w:t xml:space="preserve">and former roles and lite accomplishments such as becoming a member of a group or finishing a basic task may continue to offer a feeling of Accomplishment and purpose </w:t>
      </w:r>
      <w:r w:rsidRPr="00894E2B">
        <w:rPr>
          <w:rFonts w:ascii="Arial" w:eastAsiaTheme="minorEastAsia" w:hAnsi="Arial" w:cs="Arial"/>
          <w:b/>
          <w:bCs/>
          <w:color w:val="auto"/>
          <w:sz w:val="22"/>
          <w:szCs w:val="22"/>
        </w:rPr>
        <w:t>(Dhingra and Khan, 2023).</w:t>
      </w:r>
    </w:p>
    <w:p w14:paraId="3591E2CC" w14:textId="434EDEFF" w:rsidR="00BE1633" w:rsidRPr="005E53BE" w:rsidRDefault="00BE1633" w:rsidP="00D1383D">
      <w:pPr>
        <w:pStyle w:val="Heading2"/>
        <w:rPr>
          <w:rFonts w:ascii="Arial" w:hAnsi="Arial" w:cs="Arial"/>
        </w:rPr>
      </w:pPr>
      <w:r w:rsidRPr="005E53BE">
        <w:rPr>
          <w:rFonts w:ascii="Arial" w:hAnsi="Arial" w:cs="Arial"/>
        </w:rPr>
        <w:t>2.2.4 Strengths and limitations of PERMA</w:t>
      </w:r>
    </w:p>
    <w:p w14:paraId="66FC9A49" w14:textId="77777777" w:rsidR="007300F5" w:rsidRDefault="007300F5" w:rsidP="00D1383D">
      <w:pPr>
        <w:pStyle w:val="Heading2"/>
        <w:rPr>
          <w:rFonts w:ascii="Arial" w:eastAsiaTheme="minorEastAsia" w:hAnsi="Arial" w:cs="Arial"/>
          <w:color w:val="auto"/>
          <w:sz w:val="22"/>
          <w:szCs w:val="22"/>
        </w:rPr>
      </w:pPr>
      <w:r w:rsidRPr="007300F5">
        <w:rPr>
          <w:rFonts w:ascii="Arial" w:eastAsiaTheme="minorEastAsia" w:hAnsi="Arial" w:cs="Arial"/>
          <w:color w:val="auto"/>
          <w:sz w:val="22"/>
          <w:szCs w:val="22"/>
        </w:rPr>
        <w:t>To apply the PERMA model in social and healthcare services has its evident strengths: it provides a positive/strengths-based framework that is compatible with the biopsychosocial model</w:t>
      </w:r>
      <w:r w:rsidRPr="007300F5">
        <w:rPr>
          <w:rFonts w:ascii="Arial" w:eastAsiaTheme="minorEastAsia" w:hAnsi="Arial" w:cs="Arial"/>
          <w:color w:val="auto"/>
          <w:sz w:val="22"/>
          <w:szCs w:val="22"/>
        </w:rPr>
        <w:t> </w:t>
      </w:r>
      <w:r w:rsidRPr="007300F5">
        <w:rPr>
          <w:rFonts w:ascii="Arial" w:eastAsiaTheme="minorEastAsia" w:hAnsi="Arial" w:cs="Arial"/>
          <w:color w:val="auto"/>
          <w:sz w:val="22"/>
          <w:szCs w:val="22"/>
        </w:rPr>
        <w:t>and salutogenesis, allowing the health care provider to focus on the person's remaining abilities, interests and relationships instead of on symptoms or deterioration. However, the model also says little about more macro factors such as poverty, under-funded services</w:t>
      </w:r>
      <w:r w:rsidRPr="007300F5">
        <w:rPr>
          <w:rFonts w:ascii="Arial" w:eastAsiaTheme="minorEastAsia" w:hAnsi="Arial" w:cs="Arial"/>
          <w:color w:val="auto"/>
          <w:sz w:val="22"/>
          <w:szCs w:val="22"/>
        </w:rPr>
        <w:t> </w:t>
      </w:r>
      <w:r w:rsidRPr="007300F5">
        <w:rPr>
          <w:rFonts w:ascii="Arial" w:eastAsiaTheme="minorEastAsia" w:hAnsi="Arial" w:cs="Arial"/>
          <w:color w:val="auto"/>
          <w:sz w:val="22"/>
          <w:szCs w:val="22"/>
        </w:rPr>
        <w:t xml:space="preserve">or discrimination, and some aspects of the model (e.g. complex long term goals) are more difficult to take to people with moderate-to-severe dementia, so it should not be used in isolation, but rather be integrated with person-centred, trauma-informed and culturally safe practice </w:t>
      </w:r>
      <w:r w:rsidRPr="007300F5">
        <w:rPr>
          <w:rFonts w:ascii="Arial" w:eastAsiaTheme="minorEastAsia" w:hAnsi="Arial" w:cs="Arial"/>
          <w:b/>
          <w:bCs/>
          <w:color w:val="auto"/>
          <w:sz w:val="22"/>
          <w:szCs w:val="22"/>
        </w:rPr>
        <w:t>(Dhingra and Khan, 2023).</w:t>
      </w:r>
    </w:p>
    <w:p w14:paraId="4A01B232" w14:textId="51ACA32B" w:rsidR="00BE1633" w:rsidRPr="005E53BE" w:rsidRDefault="00BE1633" w:rsidP="00D1383D">
      <w:pPr>
        <w:pStyle w:val="Heading2"/>
        <w:rPr>
          <w:rFonts w:ascii="Arial" w:hAnsi="Arial" w:cs="Arial"/>
          <w:b/>
          <w:bCs/>
        </w:rPr>
      </w:pPr>
      <w:r w:rsidRPr="005E53BE">
        <w:rPr>
          <w:rFonts w:ascii="Arial" w:hAnsi="Arial" w:cs="Arial"/>
          <w:b/>
          <w:bCs/>
        </w:rPr>
        <w:t>2.3 Application in Practice – Dementia Care Home Setting</w:t>
      </w:r>
    </w:p>
    <w:p w14:paraId="537BABC8" w14:textId="77777777" w:rsidR="005C7B07" w:rsidRDefault="005C7B07" w:rsidP="00827D5D">
      <w:pPr>
        <w:rPr>
          <w:rFonts w:ascii="Arial" w:hAnsi="Arial" w:cs="Arial"/>
        </w:rPr>
      </w:pPr>
      <w:r w:rsidRPr="005C7B07">
        <w:rPr>
          <w:rFonts w:ascii="Arial" w:hAnsi="Arial" w:cs="Arial"/>
        </w:rPr>
        <w:t>In a dementia</w:t>
      </w:r>
      <w:r w:rsidRPr="005C7B07">
        <w:rPr>
          <w:rFonts w:ascii="Arial" w:hAnsi="Arial" w:cs="Arial"/>
        </w:rPr>
        <w:t> </w:t>
      </w:r>
      <w:r w:rsidRPr="005C7B07">
        <w:rPr>
          <w:rFonts w:ascii="Arial" w:hAnsi="Arial" w:cs="Arial"/>
        </w:rPr>
        <w:t>care home, Activity Theory may inform everyday practice through the attention to residents being kept active in meaningful social, physical and cognitive activities. For example, staff could develop specialized activity programs based on residents’ prior jobs and interests, such as a retired gardener who tends to an</w:t>
      </w:r>
      <w:r w:rsidRPr="005C7B07">
        <w:rPr>
          <w:rFonts w:ascii="Arial" w:hAnsi="Arial" w:cs="Arial"/>
        </w:rPr>
        <w:t> </w:t>
      </w:r>
      <w:r w:rsidRPr="005C7B07">
        <w:rPr>
          <w:rFonts w:ascii="Arial" w:hAnsi="Arial" w:cs="Arial"/>
        </w:rPr>
        <w:t>indoor herb garden, a former teacher who leads reading groups, or individuals who like to clean who fold laundry or set tables. When people are less mobile and their memory</w:t>
      </w:r>
      <w:r w:rsidRPr="005C7B07">
        <w:rPr>
          <w:rFonts w:ascii="Arial" w:hAnsi="Arial" w:cs="Arial"/>
        </w:rPr>
        <w:t> </w:t>
      </w:r>
      <w:r w:rsidRPr="005C7B07">
        <w:rPr>
          <w:rFonts w:ascii="Arial" w:hAnsi="Arial" w:cs="Arial"/>
        </w:rPr>
        <w:t>fades, they can take part in chair-based exercise, music sessions, reminiscence groups or craft workshops such as knitting, providing opportunities for social interaction and mental stimulation. These manipulations are theoretically based on the principles of Activity Theory because they seek to preserve or replace meaningful roles, bolster one’s identity and self-esteem and mitigate withdrawal</w:t>
      </w:r>
      <w:r w:rsidRPr="005C7B07">
        <w:rPr>
          <w:rFonts w:ascii="Arial" w:hAnsi="Arial" w:cs="Arial"/>
        </w:rPr>
        <w:t> </w:t>
      </w:r>
      <w:r w:rsidRPr="005C7B07">
        <w:rPr>
          <w:rFonts w:ascii="Arial" w:hAnsi="Arial" w:cs="Arial"/>
        </w:rPr>
        <w:t>and passivity that is associated with putting one’s self "on hold" and ultimately leading to loneliness and depression in late life</w:t>
      </w:r>
      <w:r w:rsidRPr="005C7B07">
        <w:rPr>
          <w:rFonts w:ascii="Arial" w:hAnsi="Arial" w:cs="Arial"/>
          <w:b/>
          <w:bCs/>
        </w:rPr>
        <w:t xml:space="preserve"> (Boyd and Bee, 2019).</w:t>
      </w:r>
    </w:p>
    <w:p w14:paraId="0042DC30" w14:textId="416825B7" w:rsidR="00827D5D" w:rsidRPr="005E53BE" w:rsidRDefault="00827D5D" w:rsidP="00827D5D">
      <w:pPr>
        <w:rPr>
          <w:rFonts w:ascii="Arial" w:hAnsi="Arial" w:cs="Arial"/>
          <w:lang w:val="en-PK"/>
        </w:rPr>
      </w:pPr>
      <w:r w:rsidRPr="005E53BE">
        <w:rPr>
          <w:rFonts w:ascii="Arial" w:hAnsi="Arial" w:cs="Arial"/>
          <w:lang w:val="en-PK"/>
        </w:rPr>
        <w:t xml:space="preserve">The PERMA model adds a complementary layer by helping professionals design care that directly targets different aspects of wellbeing for residents with dementia. Group sessions can be planned so that each component is addressed: for </w:t>
      </w:r>
      <w:r w:rsidRPr="005E53BE">
        <w:rPr>
          <w:rFonts w:ascii="Arial" w:hAnsi="Arial" w:cs="Arial"/>
          <w:b/>
          <w:bCs/>
          <w:lang w:val="en-PK"/>
        </w:rPr>
        <w:t>Positive Emotion</w:t>
      </w:r>
      <w:r w:rsidRPr="005E53BE">
        <w:rPr>
          <w:rFonts w:ascii="Arial" w:hAnsi="Arial" w:cs="Arial"/>
          <w:lang w:val="en-PK"/>
        </w:rPr>
        <w:t xml:space="preserve">, sessions might include favourite music, pleasant sensory experiences or shared humour; for </w:t>
      </w:r>
      <w:r w:rsidRPr="005E53BE">
        <w:rPr>
          <w:rFonts w:ascii="Arial" w:hAnsi="Arial" w:cs="Arial"/>
          <w:b/>
          <w:bCs/>
          <w:lang w:val="en-PK"/>
        </w:rPr>
        <w:t>Engagement</w:t>
      </w:r>
      <w:r w:rsidRPr="005E53BE">
        <w:rPr>
          <w:rFonts w:ascii="Arial" w:hAnsi="Arial" w:cs="Arial"/>
          <w:lang w:val="en-PK"/>
        </w:rPr>
        <w:t xml:space="preserve">, staff can offer activities that match individual strengths, such as painting, singing, puzzles or sensory boxes that encourage focus in the here-and-now. </w:t>
      </w:r>
      <w:r w:rsidRPr="005E53BE">
        <w:rPr>
          <w:rFonts w:ascii="Arial" w:hAnsi="Arial" w:cs="Arial"/>
          <w:b/>
          <w:bCs/>
          <w:lang w:val="en-PK"/>
        </w:rPr>
        <w:t>Relationships</w:t>
      </w:r>
      <w:r w:rsidRPr="005E53BE">
        <w:rPr>
          <w:rFonts w:ascii="Arial" w:hAnsi="Arial" w:cs="Arial"/>
          <w:lang w:val="en-PK"/>
        </w:rPr>
        <w:t xml:space="preserve"> can be supported through consistent key workers, small “friendship” groups at mealtimes and family-inclusive events, while </w:t>
      </w:r>
      <w:r w:rsidRPr="005E53BE">
        <w:rPr>
          <w:rFonts w:ascii="Arial" w:hAnsi="Arial" w:cs="Arial"/>
          <w:b/>
          <w:bCs/>
          <w:lang w:val="en-PK"/>
        </w:rPr>
        <w:t>Meaning</w:t>
      </w:r>
      <w:r w:rsidRPr="005E53BE">
        <w:rPr>
          <w:rFonts w:ascii="Arial" w:hAnsi="Arial" w:cs="Arial"/>
          <w:lang w:val="en-PK"/>
        </w:rPr>
        <w:t xml:space="preserve"> can be fostered via life-story work, religious or cultural celebrations and opportunities for residents to contribute to others, for instance by helping to welcome new residents. </w:t>
      </w:r>
      <w:r w:rsidRPr="005E53BE">
        <w:rPr>
          <w:rFonts w:ascii="Arial" w:hAnsi="Arial" w:cs="Arial"/>
          <w:b/>
          <w:bCs/>
          <w:lang w:val="en-PK"/>
        </w:rPr>
        <w:t>Accomplishment</w:t>
      </w:r>
      <w:r w:rsidRPr="005E53BE">
        <w:rPr>
          <w:rFonts w:ascii="Arial" w:hAnsi="Arial" w:cs="Arial"/>
          <w:lang w:val="en-PK"/>
        </w:rPr>
        <w:t xml:space="preserve"> can be </w:t>
      </w:r>
      <w:r w:rsidRPr="005E53BE">
        <w:rPr>
          <w:rFonts w:ascii="Arial" w:hAnsi="Arial" w:cs="Arial"/>
          <w:lang w:val="en-PK"/>
        </w:rPr>
        <w:lastRenderedPageBreak/>
        <w:t>built into care plans through small, realistic goals</w:t>
      </w:r>
      <w:r w:rsidR="008874AD" w:rsidRPr="005E53BE">
        <w:rPr>
          <w:rFonts w:ascii="Arial" w:hAnsi="Arial" w:cs="Arial"/>
          <w:lang w:val="en-PK"/>
        </w:rPr>
        <w:t>,</w:t>
      </w:r>
      <w:r w:rsidRPr="005E53BE">
        <w:rPr>
          <w:rFonts w:ascii="Arial" w:hAnsi="Arial" w:cs="Arial"/>
          <w:lang w:val="en-PK"/>
        </w:rPr>
        <w:t>such as attending a weekly group, completing a craft or walking to the dining room</w:t>
      </w:r>
      <w:r w:rsidR="008874AD" w:rsidRPr="005E53BE">
        <w:rPr>
          <w:rFonts w:ascii="Arial" w:hAnsi="Arial" w:cs="Arial"/>
          <w:lang w:val="en-PK"/>
        </w:rPr>
        <w:t>,</w:t>
      </w:r>
      <w:r w:rsidRPr="005E53BE">
        <w:rPr>
          <w:rFonts w:ascii="Arial" w:hAnsi="Arial" w:cs="Arial"/>
          <w:lang w:val="en-PK"/>
        </w:rPr>
        <w:t xml:space="preserve">which are recognised and celebrated to maintain a sense of progress and purpose </w:t>
      </w:r>
      <w:r w:rsidRPr="005E53BE">
        <w:rPr>
          <w:rFonts w:ascii="Arial" w:hAnsi="Arial" w:cs="Arial"/>
          <w:b/>
          <w:bCs/>
          <w:lang w:val="en-PK"/>
        </w:rPr>
        <w:t>(Dhingra and Khan, 2023).</w:t>
      </w:r>
    </w:p>
    <w:p w14:paraId="71A11F8C" w14:textId="08D2122E" w:rsidR="00827D5D" w:rsidRPr="005E53BE" w:rsidRDefault="007300F5" w:rsidP="00827D5D">
      <w:pPr>
        <w:rPr>
          <w:rFonts w:ascii="Arial" w:hAnsi="Arial" w:cs="Arial"/>
        </w:rPr>
      </w:pPr>
      <w:r w:rsidRPr="007300F5">
        <w:rPr>
          <w:rFonts w:ascii="Arial" w:hAnsi="Arial" w:cs="Arial"/>
        </w:rPr>
        <w:t>There are also a number of challenges</w:t>
      </w:r>
      <w:r>
        <w:rPr>
          <w:rFonts w:ascii="Arial" w:hAnsi="Arial" w:cs="Arial"/>
        </w:rPr>
        <w:t xml:space="preserve"> </w:t>
      </w:r>
      <w:r w:rsidRPr="007300F5">
        <w:rPr>
          <w:rFonts w:ascii="Arial" w:hAnsi="Arial" w:cs="Arial"/>
        </w:rPr>
        <w:t>that become apparent when trying to apply these theories in practice. Staff may find it hard to make time and there</w:t>
      </w:r>
      <w:r w:rsidRPr="007300F5">
        <w:rPr>
          <w:rFonts w:ascii="Arial" w:hAnsi="Arial" w:cs="Arial"/>
        </w:rPr>
        <w:t> </w:t>
      </w:r>
      <w:r w:rsidRPr="007300F5">
        <w:rPr>
          <w:rFonts w:ascii="Arial" w:hAnsi="Arial" w:cs="Arial"/>
        </w:rPr>
        <w:t>may not be enough staff to hold regular, personalized sessions for each resident. Difficulties with communication, changes in mood and behaviour mean it is often difficult to assess what level of activity is suitable, and concerns about risk (such as falling or causing distress) can result in overly cautious routines</w:t>
      </w:r>
      <w:r w:rsidRPr="007300F5">
        <w:rPr>
          <w:rFonts w:ascii="Arial" w:hAnsi="Arial" w:cs="Arial"/>
        </w:rPr>
        <w:t> </w:t>
      </w:r>
      <w:r w:rsidRPr="007300F5">
        <w:rPr>
          <w:rFonts w:ascii="Arial" w:hAnsi="Arial" w:cs="Arial"/>
        </w:rPr>
        <w:t>which inadvertently restrict involvement. To overcome such challenges, teams can collaborate to embed activity and PERMA-oriented strategies in daily care versus simply as “extra activities”: for instance, eating and bathing can become occasions for</w:t>
      </w:r>
      <w:r w:rsidRPr="007300F5">
        <w:rPr>
          <w:rFonts w:ascii="Arial" w:hAnsi="Arial" w:cs="Arial"/>
        </w:rPr>
        <w:t> </w:t>
      </w:r>
      <w:r w:rsidRPr="007300F5">
        <w:rPr>
          <w:rFonts w:ascii="Arial" w:hAnsi="Arial" w:cs="Arial"/>
        </w:rPr>
        <w:t>talk, decisions and minor accomplishments; staff can be trained in dementia-friendly communication; and families, volunteers and community organizations can be recruited to expand the activity menu. Thus Activity Theory and the PERMA model can inform feasible, person-focused interventions that take into account realistic limitations for adults aged 65 and over living with dementia in residential care (NHS, 2023), but nonetheless aim to reduce loneliness and low mood and to improve quality of life</w:t>
      </w:r>
    </w:p>
    <w:p w14:paraId="682A24D0" w14:textId="1953970B" w:rsidR="00BE1633" w:rsidRPr="005E53BE" w:rsidRDefault="00BE1633" w:rsidP="00D1383D">
      <w:pPr>
        <w:pStyle w:val="Heading2"/>
        <w:rPr>
          <w:rFonts w:ascii="Arial" w:hAnsi="Arial" w:cs="Arial"/>
          <w:b/>
          <w:bCs/>
        </w:rPr>
      </w:pPr>
      <w:r w:rsidRPr="005E53BE">
        <w:rPr>
          <w:rFonts w:ascii="Arial" w:hAnsi="Arial" w:cs="Arial"/>
          <w:b/>
          <w:bCs/>
        </w:rPr>
        <w:t>2.4 Cultural Competence</w:t>
      </w:r>
      <w:r w:rsidR="006174D2" w:rsidRPr="005E53BE">
        <w:rPr>
          <w:rFonts w:ascii="Arial" w:hAnsi="Arial" w:cs="Arial"/>
          <w:b/>
          <w:bCs/>
        </w:rPr>
        <w:t>s</w:t>
      </w:r>
      <w:r w:rsidRPr="005E53BE">
        <w:rPr>
          <w:rFonts w:ascii="Arial" w:hAnsi="Arial" w:cs="Arial"/>
          <w:b/>
          <w:bCs/>
        </w:rPr>
        <w:t xml:space="preserve"> and Ethical Practice</w:t>
      </w:r>
    </w:p>
    <w:p w14:paraId="2F86E261" w14:textId="1004A2CC" w:rsidR="00827D5D" w:rsidRPr="005E53BE" w:rsidRDefault="00827D5D" w:rsidP="00827D5D">
      <w:pPr>
        <w:rPr>
          <w:rFonts w:ascii="Arial" w:hAnsi="Arial" w:cs="Arial"/>
          <w:lang w:val="en-PK"/>
        </w:rPr>
      </w:pPr>
      <w:r w:rsidRPr="005E53BE">
        <w:rPr>
          <w:rFonts w:ascii="Arial" w:hAnsi="Arial" w:cs="Arial"/>
          <w:lang w:val="en-PK"/>
        </w:rPr>
        <w:t>Culture, religion, language, migration history and family structures can all strongly shape how older adults understand dementia and whether they feel safe accepting help. Some families may see dementia as shameful or as a test of faith, while others may expect care to be provided within the extended family rather than in a residential setting. Inclusive practice therefore involves taking time to learn about each resident’s cultural background, using interpreters or bilingual staff where possible, incorporating familiar foods, music and festivals, and designing activities and PERMA-based interventions that reflect their own traditions and roles rather than imposing a narrow, Western idea of “successful ageing”.</w:t>
      </w:r>
    </w:p>
    <w:p w14:paraId="64A78252" w14:textId="4250FAEF" w:rsidR="00827D5D" w:rsidRPr="005E53BE" w:rsidRDefault="00827D5D" w:rsidP="00827D5D">
      <w:pPr>
        <w:rPr>
          <w:rFonts w:ascii="Arial" w:hAnsi="Arial" w:cs="Arial"/>
          <w:lang w:val="en-PK"/>
        </w:rPr>
      </w:pPr>
      <w:r w:rsidRPr="005E53BE">
        <w:rPr>
          <w:rFonts w:ascii="Arial" w:hAnsi="Arial" w:cs="Arial"/>
          <w:lang w:val="en-PK"/>
        </w:rPr>
        <w:t xml:space="preserve">Linking this to professional standards and ethical practice means keeping core principles such as </w:t>
      </w:r>
      <w:r w:rsidRPr="005E53BE">
        <w:rPr>
          <w:rFonts w:ascii="Arial" w:hAnsi="Arial" w:cs="Arial"/>
          <w:b/>
          <w:bCs/>
          <w:lang w:val="en-PK"/>
        </w:rPr>
        <w:t>autonomy, dignity, respect and non-discrimination</w:t>
      </w:r>
      <w:r w:rsidRPr="005E53BE">
        <w:rPr>
          <w:rFonts w:ascii="Arial" w:hAnsi="Arial" w:cs="Arial"/>
          <w:lang w:val="en-PK"/>
        </w:rPr>
        <w:t xml:space="preserve"> at the centre of how Activity Theory and PERMA are used. Residents should be offered choices about activities rather than pushed into programmes that do not fit their beliefs or energy levels</w:t>
      </w:r>
      <w:r w:rsidR="008874AD" w:rsidRPr="005E53BE">
        <w:rPr>
          <w:rFonts w:ascii="Arial" w:hAnsi="Arial" w:cs="Arial"/>
          <w:lang w:val="en-PK"/>
        </w:rPr>
        <w:t>.</w:t>
      </w:r>
      <w:r w:rsidRPr="005E53BE">
        <w:rPr>
          <w:rFonts w:ascii="Arial" w:hAnsi="Arial" w:cs="Arial"/>
          <w:lang w:val="en-PK"/>
        </w:rPr>
        <w:t xml:space="preserve"> </w:t>
      </w:r>
    </w:p>
    <w:p w14:paraId="2FD2847A" w14:textId="5C16BBC5" w:rsidR="00BE1633" w:rsidRPr="005E53BE" w:rsidRDefault="00BE1633" w:rsidP="006174D2">
      <w:pPr>
        <w:rPr>
          <w:rFonts w:ascii="Arial" w:hAnsi="Arial" w:cs="Arial"/>
          <w:color w:val="0F4761" w:themeColor="accent1" w:themeShade="BF"/>
          <w:sz w:val="36"/>
          <w:szCs w:val="36"/>
        </w:rPr>
      </w:pPr>
      <w:r w:rsidRPr="005E53BE">
        <w:rPr>
          <w:rFonts w:ascii="Arial" w:hAnsi="Arial" w:cs="Arial"/>
          <w:b/>
          <w:bCs/>
          <w:color w:val="0F4761" w:themeColor="accent1" w:themeShade="BF"/>
          <w:sz w:val="36"/>
          <w:szCs w:val="36"/>
        </w:rPr>
        <w:t xml:space="preserve">3. Conclusion </w:t>
      </w:r>
    </w:p>
    <w:p w14:paraId="032FAE18" w14:textId="77777777" w:rsidR="007300F5" w:rsidRDefault="007300F5" w:rsidP="001C7829">
      <w:pPr>
        <w:rPr>
          <w:rFonts w:ascii="Arial" w:hAnsi="Arial" w:cs="Arial"/>
        </w:rPr>
      </w:pPr>
      <w:r w:rsidRPr="007300F5">
        <w:rPr>
          <w:rFonts w:ascii="Arial" w:hAnsi="Arial" w:cs="Arial"/>
        </w:rPr>
        <w:t>Though there is a common focus on strengths and potential, as opposed to decline, the theories are also contrasting in focus: Activity Theory</w:t>
      </w:r>
      <w:r w:rsidRPr="007300F5">
        <w:rPr>
          <w:rFonts w:ascii="Arial" w:hAnsi="Arial" w:cs="Arial"/>
        </w:rPr>
        <w:t> </w:t>
      </w:r>
      <w:r w:rsidRPr="007300F5">
        <w:rPr>
          <w:rFonts w:ascii="Arial" w:hAnsi="Arial" w:cs="Arial"/>
        </w:rPr>
        <w:t>is focused on activity levels and social roles, PERMA On the other hand, focuses more on internal experiences (meaning, emotions, accomplishments). Both models are</w:t>
      </w:r>
      <w:r w:rsidRPr="007300F5">
        <w:rPr>
          <w:rFonts w:ascii="Arial" w:hAnsi="Arial" w:cs="Arial"/>
        </w:rPr>
        <w:t> </w:t>
      </w:r>
      <w:r w:rsidRPr="007300F5">
        <w:rPr>
          <w:rFonts w:ascii="Arial" w:hAnsi="Arial" w:cs="Arial"/>
        </w:rPr>
        <w:t xml:space="preserve">well suited to inform practice in health and social care, particularly in supporting person-centred, health-promoting </w:t>
      </w:r>
      <w:r w:rsidRPr="007300F5">
        <w:rPr>
          <w:rFonts w:ascii="Arial" w:hAnsi="Arial" w:cs="Arial"/>
        </w:rPr>
        <w:lastRenderedPageBreak/>
        <w:t>practice. Yet both are subject to critique, such as downplaying of structural constraints and</w:t>
      </w:r>
      <w:r w:rsidRPr="007300F5">
        <w:rPr>
          <w:rFonts w:ascii="Arial" w:hAnsi="Arial" w:cs="Arial"/>
        </w:rPr>
        <w:t> </w:t>
      </w:r>
      <w:r w:rsidRPr="007300F5">
        <w:rPr>
          <w:rFonts w:ascii="Arial" w:hAnsi="Arial" w:cs="Arial"/>
        </w:rPr>
        <w:t>adaptation of expectations for individuals with moderate-to-severe dementia.</w:t>
      </w:r>
    </w:p>
    <w:p w14:paraId="68D1DA03" w14:textId="67CECA31" w:rsidR="00BE1633" w:rsidRPr="005E53BE" w:rsidRDefault="00BE1633" w:rsidP="001C7829">
      <w:pPr>
        <w:rPr>
          <w:rFonts w:ascii="Arial" w:hAnsi="Arial" w:cs="Arial"/>
          <w:color w:val="0F4761" w:themeColor="accent1" w:themeShade="BF"/>
          <w:sz w:val="36"/>
          <w:szCs w:val="36"/>
        </w:rPr>
      </w:pPr>
      <w:r w:rsidRPr="005E53BE">
        <w:rPr>
          <w:rFonts w:ascii="Arial" w:hAnsi="Arial" w:cs="Arial"/>
          <w:b/>
          <w:bCs/>
          <w:color w:val="0F4761" w:themeColor="accent1" w:themeShade="BF"/>
          <w:sz w:val="36"/>
          <w:szCs w:val="36"/>
        </w:rPr>
        <w:t>References</w:t>
      </w:r>
    </w:p>
    <w:p w14:paraId="55A58E70" w14:textId="79C74FDF" w:rsidR="00BE1633" w:rsidRPr="005E53BE" w:rsidRDefault="00BE1633" w:rsidP="006174D2">
      <w:pPr>
        <w:pStyle w:val="ListParagraph"/>
        <w:numPr>
          <w:ilvl w:val="0"/>
          <w:numId w:val="2"/>
        </w:numPr>
        <w:jc w:val="both"/>
        <w:rPr>
          <w:rFonts w:ascii="Arial" w:hAnsi="Arial" w:cs="Arial"/>
          <w:lang w:val="en-PK"/>
        </w:rPr>
      </w:pPr>
      <w:r w:rsidRPr="005E53BE">
        <w:rPr>
          <w:rFonts w:ascii="Arial" w:hAnsi="Arial" w:cs="Arial"/>
          <w:lang w:val="en-PK"/>
        </w:rPr>
        <w:t xml:space="preserve">Age UK (2023) </w:t>
      </w:r>
      <w:r w:rsidRPr="005E53BE">
        <w:rPr>
          <w:rFonts w:ascii="Arial" w:hAnsi="Arial" w:cs="Arial"/>
          <w:i/>
          <w:iCs/>
          <w:lang w:val="en-PK"/>
        </w:rPr>
        <w:t>All the Lonely People: Loneliness in Later Life</w:t>
      </w:r>
      <w:r w:rsidRPr="005E53BE">
        <w:rPr>
          <w:rFonts w:ascii="Arial" w:hAnsi="Arial" w:cs="Arial"/>
          <w:lang w:val="en-PK"/>
        </w:rPr>
        <w:t>. London: Age UK.</w:t>
      </w:r>
    </w:p>
    <w:p w14:paraId="4B56475D" w14:textId="223F1424" w:rsidR="00BE1633" w:rsidRPr="005E53BE" w:rsidRDefault="00BE1633" w:rsidP="006174D2">
      <w:pPr>
        <w:pStyle w:val="ListParagraph"/>
        <w:numPr>
          <w:ilvl w:val="0"/>
          <w:numId w:val="2"/>
        </w:numPr>
        <w:jc w:val="both"/>
        <w:rPr>
          <w:rFonts w:ascii="Arial" w:hAnsi="Arial" w:cs="Arial"/>
          <w:lang w:val="en-PK"/>
        </w:rPr>
      </w:pPr>
      <w:r w:rsidRPr="005E53BE">
        <w:rPr>
          <w:rFonts w:ascii="Arial" w:hAnsi="Arial" w:cs="Arial"/>
          <w:lang w:val="en-PK"/>
        </w:rPr>
        <w:t xml:space="preserve">Boyd, D. and Bee, H. (2019) </w:t>
      </w:r>
      <w:r w:rsidRPr="005E53BE">
        <w:rPr>
          <w:rFonts w:ascii="Arial" w:hAnsi="Arial" w:cs="Arial"/>
          <w:i/>
          <w:iCs/>
          <w:lang w:val="en-PK"/>
        </w:rPr>
        <w:t>Lifespan Development</w:t>
      </w:r>
      <w:r w:rsidRPr="005E53BE">
        <w:rPr>
          <w:rFonts w:ascii="Arial" w:hAnsi="Arial" w:cs="Arial"/>
          <w:lang w:val="en-PK"/>
        </w:rPr>
        <w:t>. 8th edn. Harlow: Pearson.</w:t>
      </w:r>
    </w:p>
    <w:p w14:paraId="47FC8B1C" w14:textId="4E755F77" w:rsidR="00BE1633" w:rsidRPr="005E53BE" w:rsidRDefault="00BE1633" w:rsidP="006174D2">
      <w:pPr>
        <w:pStyle w:val="ListParagraph"/>
        <w:numPr>
          <w:ilvl w:val="0"/>
          <w:numId w:val="2"/>
        </w:numPr>
        <w:jc w:val="both"/>
        <w:rPr>
          <w:rFonts w:ascii="Arial" w:hAnsi="Arial" w:cs="Arial"/>
          <w:lang w:val="en-PK"/>
        </w:rPr>
      </w:pPr>
      <w:r w:rsidRPr="005E53BE">
        <w:rPr>
          <w:rFonts w:ascii="Arial" w:hAnsi="Arial" w:cs="Arial"/>
          <w:lang w:val="en-PK"/>
        </w:rPr>
        <w:t xml:space="preserve">Havighurst, R.J. (1961) ‘Successful aging’, </w:t>
      </w:r>
      <w:r w:rsidRPr="005E53BE">
        <w:rPr>
          <w:rFonts w:ascii="Arial" w:hAnsi="Arial" w:cs="Arial"/>
          <w:i/>
          <w:iCs/>
          <w:lang w:val="en-PK"/>
        </w:rPr>
        <w:t>The Gerontologist</w:t>
      </w:r>
      <w:r w:rsidRPr="005E53BE">
        <w:rPr>
          <w:rFonts w:ascii="Arial" w:hAnsi="Arial" w:cs="Arial"/>
          <w:lang w:val="en-PK"/>
        </w:rPr>
        <w:t>, 1(1), pp. 8–13.</w:t>
      </w:r>
    </w:p>
    <w:p w14:paraId="3E718039" w14:textId="4312BE51" w:rsidR="00BE1633" w:rsidRPr="005E53BE" w:rsidRDefault="00BE1633" w:rsidP="006174D2">
      <w:pPr>
        <w:pStyle w:val="ListParagraph"/>
        <w:numPr>
          <w:ilvl w:val="0"/>
          <w:numId w:val="2"/>
        </w:numPr>
        <w:jc w:val="both"/>
        <w:rPr>
          <w:rFonts w:ascii="Arial" w:hAnsi="Arial" w:cs="Arial"/>
          <w:lang w:val="en-PK"/>
        </w:rPr>
      </w:pPr>
      <w:r w:rsidRPr="005E53BE">
        <w:rPr>
          <w:rFonts w:ascii="Arial" w:hAnsi="Arial" w:cs="Arial"/>
          <w:lang w:val="en-PK"/>
        </w:rPr>
        <w:t xml:space="preserve">NHS (2023) </w:t>
      </w:r>
      <w:r w:rsidRPr="005E53BE">
        <w:rPr>
          <w:rFonts w:ascii="Arial" w:hAnsi="Arial" w:cs="Arial"/>
          <w:i/>
          <w:iCs/>
          <w:lang w:val="en-PK"/>
        </w:rPr>
        <w:t>Dementia Guide: Symptoms and Treatment</w:t>
      </w:r>
      <w:r w:rsidRPr="005E53BE">
        <w:rPr>
          <w:rFonts w:ascii="Arial" w:hAnsi="Arial" w:cs="Arial"/>
          <w:lang w:val="en-PK"/>
        </w:rPr>
        <w:t>. London: National Health Service.</w:t>
      </w:r>
    </w:p>
    <w:p w14:paraId="2350D663" w14:textId="67ECD719" w:rsidR="00BE1633" w:rsidRPr="005E53BE" w:rsidRDefault="00BE1633" w:rsidP="006174D2">
      <w:pPr>
        <w:pStyle w:val="ListParagraph"/>
        <w:numPr>
          <w:ilvl w:val="0"/>
          <w:numId w:val="2"/>
        </w:numPr>
        <w:jc w:val="both"/>
        <w:rPr>
          <w:rFonts w:ascii="Arial" w:hAnsi="Arial" w:cs="Arial"/>
          <w:lang w:val="en-PK"/>
        </w:rPr>
      </w:pPr>
      <w:r w:rsidRPr="005E53BE">
        <w:rPr>
          <w:rFonts w:ascii="Arial" w:hAnsi="Arial" w:cs="Arial"/>
          <w:lang w:val="en-PK"/>
        </w:rPr>
        <w:t xml:space="preserve">Seligman, M.E.P. (2011) </w:t>
      </w:r>
      <w:r w:rsidRPr="005E53BE">
        <w:rPr>
          <w:rFonts w:ascii="Arial" w:hAnsi="Arial" w:cs="Arial"/>
          <w:i/>
          <w:iCs/>
          <w:lang w:val="en-PK"/>
        </w:rPr>
        <w:t>Flourish: A New Understanding of Happiness and Well-being</w:t>
      </w:r>
      <w:r w:rsidRPr="005E53BE">
        <w:rPr>
          <w:rFonts w:ascii="Arial" w:hAnsi="Arial" w:cs="Arial"/>
          <w:lang w:val="en-PK"/>
        </w:rPr>
        <w:t>.  London: Nicholas Brealey.</w:t>
      </w:r>
    </w:p>
    <w:p w14:paraId="7E1EF255" w14:textId="641700CE" w:rsidR="00A06097" w:rsidRPr="005E53BE" w:rsidRDefault="00A06097" w:rsidP="006174D2">
      <w:pPr>
        <w:pStyle w:val="ListParagraph"/>
        <w:numPr>
          <w:ilvl w:val="0"/>
          <w:numId w:val="2"/>
        </w:numPr>
        <w:jc w:val="both"/>
        <w:rPr>
          <w:rFonts w:ascii="Arial" w:hAnsi="Arial" w:cs="Arial"/>
        </w:rPr>
      </w:pPr>
      <w:r w:rsidRPr="005E53BE">
        <w:rPr>
          <w:rFonts w:ascii="Arial" w:hAnsi="Arial" w:cs="Arial"/>
        </w:rPr>
        <w:t xml:space="preserve">Seligman, M.E.P. (2011) </w:t>
      </w:r>
      <w:r w:rsidRPr="005E53BE">
        <w:rPr>
          <w:rFonts w:ascii="Arial" w:hAnsi="Arial" w:cs="Arial"/>
          <w:i/>
          <w:iCs/>
        </w:rPr>
        <w:t>Flourish: A New Understanding of Happiness and Well-being</w:t>
      </w:r>
      <w:r w:rsidRPr="005E53BE">
        <w:rPr>
          <w:rFonts w:ascii="Arial" w:hAnsi="Arial" w:cs="Arial"/>
        </w:rPr>
        <w:t>. London: Nicholas Brealey.</w:t>
      </w:r>
    </w:p>
    <w:p w14:paraId="54B4A670" w14:textId="79997FA3" w:rsidR="00A06097" w:rsidRPr="005E53BE" w:rsidRDefault="00A06097" w:rsidP="006174D2">
      <w:pPr>
        <w:pStyle w:val="ListParagraph"/>
        <w:numPr>
          <w:ilvl w:val="0"/>
          <w:numId w:val="2"/>
        </w:numPr>
        <w:jc w:val="both"/>
        <w:rPr>
          <w:rFonts w:ascii="Arial" w:hAnsi="Arial" w:cs="Arial"/>
        </w:rPr>
      </w:pPr>
      <w:r w:rsidRPr="005E53BE">
        <w:rPr>
          <w:rFonts w:ascii="Arial" w:hAnsi="Arial" w:cs="Arial"/>
        </w:rPr>
        <w:t xml:space="preserve">University of Wales Trinity Saint David (2025) </w:t>
      </w:r>
      <w:r w:rsidRPr="005E53BE">
        <w:rPr>
          <w:rFonts w:ascii="Arial" w:hAnsi="Arial" w:cs="Arial"/>
          <w:i/>
          <w:iCs/>
        </w:rPr>
        <w:t>LCHS4010 Adult Development and Health Behaviour – Week 9: Positive Psychology</w:t>
      </w:r>
      <w:r w:rsidRPr="005E53BE">
        <w:rPr>
          <w:rFonts w:ascii="Arial" w:hAnsi="Arial" w:cs="Arial"/>
        </w:rPr>
        <w:t xml:space="preserve"> [lecture slides]. UWTSD</w:t>
      </w:r>
    </w:p>
    <w:p w14:paraId="26395A19" w14:textId="0FA47C78" w:rsidR="00A06097" w:rsidRPr="005E53BE" w:rsidRDefault="00A06097" w:rsidP="006174D2">
      <w:pPr>
        <w:pStyle w:val="ListParagraph"/>
        <w:numPr>
          <w:ilvl w:val="0"/>
          <w:numId w:val="2"/>
        </w:numPr>
        <w:jc w:val="both"/>
        <w:rPr>
          <w:rFonts w:ascii="Arial" w:hAnsi="Arial" w:cs="Arial"/>
        </w:rPr>
      </w:pPr>
      <w:r w:rsidRPr="005E53BE">
        <w:rPr>
          <w:rFonts w:ascii="Arial" w:hAnsi="Arial" w:cs="Arial"/>
        </w:rPr>
        <w:t xml:space="preserve">Dhingra, A. and Khan, W. (2023) ‘The PERMA Model of Wellbeing: A Framework for Enhancing Reminiscence in the Elderly’, in Gupta, R. and Singh, P. (eds) </w:t>
      </w:r>
      <w:r w:rsidRPr="005E53BE">
        <w:rPr>
          <w:rFonts w:ascii="Arial" w:hAnsi="Arial" w:cs="Arial"/>
          <w:i/>
          <w:iCs/>
        </w:rPr>
        <w:t>Positive Psychology in Later Life</w:t>
      </w:r>
      <w:r w:rsidRPr="005E53BE">
        <w:rPr>
          <w:rFonts w:ascii="Arial" w:hAnsi="Arial" w:cs="Arial"/>
        </w:rPr>
        <w:t>. Hershey, PA: IGI Global, pp. 101–118.</w:t>
      </w:r>
    </w:p>
    <w:p w14:paraId="0CC7A63F" w14:textId="2CD2BCC4" w:rsidR="00A06097" w:rsidRPr="005E53BE" w:rsidRDefault="00A06097" w:rsidP="006174D2">
      <w:pPr>
        <w:pStyle w:val="ListParagraph"/>
        <w:numPr>
          <w:ilvl w:val="0"/>
          <w:numId w:val="2"/>
        </w:numPr>
        <w:jc w:val="both"/>
        <w:rPr>
          <w:rFonts w:ascii="Arial" w:hAnsi="Arial" w:cs="Arial"/>
        </w:rPr>
      </w:pPr>
      <w:r w:rsidRPr="005E53BE">
        <w:rPr>
          <w:rFonts w:ascii="Arial" w:hAnsi="Arial" w:cs="Arial"/>
        </w:rPr>
        <w:t xml:space="preserve">Adams, K.B., Leibbrandt, S. and Moon, H. (2011) ‘A critical review of the literature on social and leisure activity and wellbeing in later life’, </w:t>
      </w:r>
      <w:r w:rsidRPr="005E53BE">
        <w:rPr>
          <w:rFonts w:ascii="Arial" w:hAnsi="Arial" w:cs="Arial"/>
          <w:i/>
          <w:iCs/>
        </w:rPr>
        <w:t>Ageing &amp; Society</w:t>
      </w:r>
      <w:r w:rsidRPr="005E53BE">
        <w:rPr>
          <w:rFonts w:ascii="Arial" w:hAnsi="Arial" w:cs="Arial"/>
        </w:rPr>
        <w:t>, 31(4), pp. 683–712.</w:t>
      </w:r>
    </w:p>
    <w:p w14:paraId="3863F872" w14:textId="6CA9D12B" w:rsidR="00827D5D" w:rsidRPr="005E53BE" w:rsidRDefault="00827D5D" w:rsidP="006174D2">
      <w:pPr>
        <w:pStyle w:val="ListParagraph"/>
        <w:numPr>
          <w:ilvl w:val="0"/>
          <w:numId w:val="2"/>
        </w:numPr>
        <w:jc w:val="both"/>
        <w:rPr>
          <w:rFonts w:ascii="Arial" w:hAnsi="Arial" w:cs="Arial"/>
        </w:rPr>
      </w:pPr>
      <w:r w:rsidRPr="005E53BE">
        <w:rPr>
          <w:rFonts w:ascii="Arial" w:hAnsi="Arial" w:cs="Arial"/>
        </w:rPr>
        <w:t xml:space="preserve">NHS (2023) </w:t>
      </w:r>
      <w:r w:rsidRPr="005E53BE">
        <w:rPr>
          <w:rFonts w:ascii="Arial" w:hAnsi="Arial" w:cs="Arial"/>
          <w:i/>
          <w:iCs/>
        </w:rPr>
        <w:t>Dementia: Overview – Support and Treatment</w:t>
      </w:r>
      <w:r w:rsidRPr="005E53BE">
        <w:rPr>
          <w:rFonts w:ascii="Arial" w:hAnsi="Arial" w:cs="Arial"/>
        </w:rPr>
        <w:t>. London: National Health Service.</w:t>
      </w:r>
    </w:p>
    <w:p w14:paraId="33B17C9D" w14:textId="77777777" w:rsidR="00A06097" w:rsidRPr="005E53BE" w:rsidRDefault="00A06097" w:rsidP="00BE1633">
      <w:pPr>
        <w:jc w:val="both"/>
        <w:rPr>
          <w:rFonts w:ascii="Arial" w:hAnsi="Arial" w:cs="Arial"/>
        </w:rPr>
      </w:pPr>
    </w:p>
    <w:p w14:paraId="24D998FC" w14:textId="77777777" w:rsidR="00A06097" w:rsidRPr="005E53BE" w:rsidRDefault="00A06097" w:rsidP="00BE1633">
      <w:pPr>
        <w:jc w:val="both"/>
        <w:rPr>
          <w:rFonts w:ascii="Arial" w:hAnsi="Arial" w:cs="Arial"/>
          <w:lang w:val="en-PK"/>
        </w:rPr>
      </w:pPr>
    </w:p>
    <w:p w14:paraId="6F3D58F9" w14:textId="77777777" w:rsidR="00BE1633" w:rsidRPr="005E53BE" w:rsidRDefault="00BE1633" w:rsidP="00BE1633">
      <w:pPr>
        <w:rPr>
          <w:rFonts w:ascii="Arial" w:hAnsi="Arial" w:cs="Arial"/>
        </w:rPr>
      </w:pPr>
    </w:p>
    <w:p w14:paraId="2DDD2C64" w14:textId="77777777" w:rsidR="00B92341" w:rsidRPr="005E53BE" w:rsidRDefault="00B92341">
      <w:pPr>
        <w:rPr>
          <w:rFonts w:ascii="Arial" w:hAnsi="Arial" w:cs="Arial"/>
        </w:rPr>
      </w:pPr>
    </w:p>
    <w:sectPr w:rsidR="00B92341" w:rsidRPr="005E53BE" w:rsidSect="00BE1633">
      <w:footerReference w:type="default" r:id="rId1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68E5FE" w14:textId="77777777" w:rsidR="003C3F06" w:rsidRDefault="003C3F06" w:rsidP="003712C3">
      <w:pPr>
        <w:spacing w:after="0" w:line="240" w:lineRule="auto"/>
      </w:pPr>
      <w:r>
        <w:separator/>
      </w:r>
    </w:p>
  </w:endnote>
  <w:endnote w:type="continuationSeparator" w:id="0">
    <w:p w14:paraId="0C0EDE50" w14:textId="77777777" w:rsidR="003C3F06" w:rsidRDefault="003C3F06" w:rsidP="00371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1069545"/>
      <w:docPartObj>
        <w:docPartGallery w:val="Page Numbers (Bottom of Page)"/>
        <w:docPartUnique/>
      </w:docPartObj>
    </w:sdtPr>
    <w:sdtEndPr>
      <w:rPr>
        <w:noProof/>
      </w:rPr>
    </w:sdtEndPr>
    <w:sdtContent>
      <w:p w14:paraId="61C3CBEB" w14:textId="454C56A1" w:rsidR="003712C3" w:rsidRDefault="003712C3">
        <w:pPr>
          <w:pStyle w:val="Footer"/>
        </w:pPr>
        <w:r>
          <w:fldChar w:fldCharType="begin"/>
        </w:r>
        <w:r>
          <w:instrText xml:space="preserve"> PAGE   \* MERGEFORMAT </w:instrText>
        </w:r>
        <w:r>
          <w:fldChar w:fldCharType="separate"/>
        </w:r>
        <w:r>
          <w:rPr>
            <w:noProof/>
          </w:rPr>
          <w:t>2</w:t>
        </w:r>
        <w:r>
          <w:rPr>
            <w:noProof/>
          </w:rPr>
          <w:fldChar w:fldCharType="end"/>
        </w:r>
      </w:p>
    </w:sdtContent>
  </w:sdt>
  <w:p w14:paraId="69920204" w14:textId="77777777" w:rsidR="003712C3" w:rsidRDefault="00371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F6B8DD" w14:textId="77777777" w:rsidR="003C3F06" w:rsidRDefault="003C3F06" w:rsidP="003712C3">
      <w:pPr>
        <w:spacing w:after="0" w:line="240" w:lineRule="auto"/>
      </w:pPr>
      <w:r>
        <w:separator/>
      </w:r>
    </w:p>
  </w:footnote>
  <w:footnote w:type="continuationSeparator" w:id="0">
    <w:p w14:paraId="05B442EA" w14:textId="77777777" w:rsidR="003C3F06" w:rsidRDefault="003C3F06" w:rsidP="003712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223595"/>
    <w:multiLevelType w:val="hybridMultilevel"/>
    <w:tmpl w:val="20A6FE7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60BF54CB"/>
    <w:multiLevelType w:val="hybridMultilevel"/>
    <w:tmpl w:val="900C92D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937712013">
    <w:abstractNumId w:val="0"/>
  </w:num>
  <w:num w:numId="2" w16cid:durableId="105271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633"/>
    <w:rsid w:val="001C7829"/>
    <w:rsid w:val="001F12C0"/>
    <w:rsid w:val="00244B99"/>
    <w:rsid w:val="00260691"/>
    <w:rsid w:val="0034259B"/>
    <w:rsid w:val="003712C3"/>
    <w:rsid w:val="003C3F06"/>
    <w:rsid w:val="004E6E7A"/>
    <w:rsid w:val="005C7B07"/>
    <w:rsid w:val="005E53BE"/>
    <w:rsid w:val="006174D2"/>
    <w:rsid w:val="007300F5"/>
    <w:rsid w:val="00731D30"/>
    <w:rsid w:val="007E3294"/>
    <w:rsid w:val="00825DF1"/>
    <w:rsid w:val="00827D5D"/>
    <w:rsid w:val="008874AD"/>
    <w:rsid w:val="00894E2B"/>
    <w:rsid w:val="009A5A98"/>
    <w:rsid w:val="00A06097"/>
    <w:rsid w:val="00AC1998"/>
    <w:rsid w:val="00B92341"/>
    <w:rsid w:val="00BE1633"/>
    <w:rsid w:val="00D1383D"/>
    <w:rsid w:val="00DD3899"/>
    <w:rsid w:val="00E425BC"/>
    <w:rsid w:val="00E4593A"/>
    <w:rsid w:val="00F3295E"/>
    <w:rsid w:val="00F65ACB"/>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DE0A2"/>
  <w15:chartTrackingRefBased/>
  <w15:docId w15:val="{2D09B51A-1E96-4A27-AB49-D4FC677E4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PK"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633"/>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BE16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16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E16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16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16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16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16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16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16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16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16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E16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16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16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16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16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16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1633"/>
    <w:rPr>
      <w:rFonts w:eastAsiaTheme="majorEastAsia" w:cstheme="majorBidi"/>
      <w:color w:val="272727" w:themeColor="text1" w:themeTint="D8"/>
    </w:rPr>
  </w:style>
  <w:style w:type="paragraph" w:styleId="Title">
    <w:name w:val="Title"/>
    <w:basedOn w:val="Normal"/>
    <w:next w:val="Normal"/>
    <w:link w:val="TitleChar"/>
    <w:uiPriority w:val="10"/>
    <w:qFormat/>
    <w:rsid w:val="00BE16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16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16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16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1633"/>
    <w:pPr>
      <w:spacing w:before="160"/>
      <w:jc w:val="center"/>
    </w:pPr>
    <w:rPr>
      <w:i/>
      <w:iCs/>
      <w:color w:val="404040" w:themeColor="text1" w:themeTint="BF"/>
    </w:rPr>
  </w:style>
  <w:style w:type="character" w:customStyle="1" w:styleId="QuoteChar">
    <w:name w:val="Quote Char"/>
    <w:basedOn w:val="DefaultParagraphFont"/>
    <w:link w:val="Quote"/>
    <w:uiPriority w:val="29"/>
    <w:rsid w:val="00BE1633"/>
    <w:rPr>
      <w:i/>
      <w:iCs/>
      <w:color w:val="404040" w:themeColor="text1" w:themeTint="BF"/>
    </w:rPr>
  </w:style>
  <w:style w:type="paragraph" w:styleId="ListParagraph">
    <w:name w:val="List Paragraph"/>
    <w:basedOn w:val="Normal"/>
    <w:uiPriority w:val="34"/>
    <w:qFormat/>
    <w:rsid w:val="00BE1633"/>
    <w:pPr>
      <w:ind w:left="720"/>
      <w:contextualSpacing/>
    </w:pPr>
  </w:style>
  <w:style w:type="character" w:styleId="IntenseEmphasis">
    <w:name w:val="Intense Emphasis"/>
    <w:basedOn w:val="DefaultParagraphFont"/>
    <w:uiPriority w:val="21"/>
    <w:qFormat/>
    <w:rsid w:val="00BE1633"/>
    <w:rPr>
      <w:i/>
      <w:iCs/>
      <w:color w:val="0F4761" w:themeColor="accent1" w:themeShade="BF"/>
    </w:rPr>
  </w:style>
  <w:style w:type="paragraph" w:styleId="IntenseQuote">
    <w:name w:val="Intense Quote"/>
    <w:basedOn w:val="Normal"/>
    <w:next w:val="Normal"/>
    <w:link w:val="IntenseQuoteChar"/>
    <w:uiPriority w:val="30"/>
    <w:qFormat/>
    <w:rsid w:val="00BE16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1633"/>
    <w:rPr>
      <w:i/>
      <w:iCs/>
      <w:color w:val="0F4761" w:themeColor="accent1" w:themeShade="BF"/>
    </w:rPr>
  </w:style>
  <w:style w:type="character" w:styleId="IntenseReference">
    <w:name w:val="Intense Reference"/>
    <w:basedOn w:val="DefaultParagraphFont"/>
    <w:uiPriority w:val="32"/>
    <w:qFormat/>
    <w:rsid w:val="00BE1633"/>
    <w:rPr>
      <w:b/>
      <w:bCs/>
      <w:smallCaps/>
      <w:color w:val="0F4761" w:themeColor="accent1" w:themeShade="BF"/>
      <w:spacing w:val="5"/>
    </w:rPr>
  </w:style>
  <w:style w:type="paragraph" w:styleId="TOCHeading">
    <w:name w:val="TOC Heading"/>
    <w:basedOn w:val="Heading1"/>
    <w:next w:val="Normal"/>
    <w:uiPriority w:val="39"/>
    <w:unhideWhenUsed/>
    <w:qFormat/>
    <w:rsid w:val="0034259B"/>
    <w:pPr>
      <w:spacing w:before="240" w:after="0" w:line="259" w:lineRule="auto"/>
      <w:outlineLvl w:val="9"/>
    </w:pPr>
    <w:rPr>
      <w:sz w:val="32"/>
      <w:szCs w:val="32"/>
    </w:rPr>
  </w:style>
  <w:style w:type="paragraph" w:styleId="TOC1">
    <w:name w:val="toc 1"/>
    <w:basedOn w:val="Normal"/>
    <w:next w:val="Normal"/>
    <w:autoRedefine/>
    <w:uiPriority w:val="39"/>
    <w:unhideWhenUsed/>
    <w:rsid w:val="0034259B"/>
    <w:pPr>
      <w:spacing w:after="100"/>
    </w:pPr>
  </w:style>
  <w:style w:type="paragraph" w:styleId="TOC2">
    <w:name w:val="toc 2"/>
    <w:basedOn w:val="Normal"/>
    <w:next w:val="Normal"/>
    <w:autoRedefine/>
    <w:uiPriority w:val="39"/>
    <w:unhideWhenUsed/>
    <w:rsid w:val="0034259B"/>
    <w:pPr>
      <w:spacing w:after="100"/>
      <w:ind w:left="220"/>
    </w:pPr>
  </w:style>
  <w:style w:type="paragraph" w:styleId="TOC3">
    <w:name w:val="toc 3"/>
    <w:basedOn w:val="Normal"/>
    <w:next w:val="Normal"/>
    <w:autoRedefine/>
    <w:uiPriority w:val="39"/>
    <w:unhideWhenUsed/>
    <w:rsid w:val="0034259B"/>
    <w:pPr>
      <w:spacing w:after="100"/>
      <w:ind w:left="440"/>
    </w:pPr>
  </w:style>
  <w:style w:type="character" w:styleId="Hyperlink">
    <w:name w:val="Hyperlink"/>
    <w:basedOn w:val="DefaultParagraphFont"/>
    <w:uiPriority w:val="99"/>
    <w:unhideWhenUsed/>
    <w:rsid w:val="0034259B"/>
    <w:rPr>
      <w:color w:val="467886" w:themeColor="hyperlink"/>
      <w:u w:val="single"/>
    </w:rPr>
  </w:style>
  <w:style w:type="paragraph" w:styleId="Header">
    <w:name w:val="header"/>
    <w:basedOn w:val="Normal"/>
    <w:link w:val="HeaderChar"/>
    <w:uiPriority w:val="99"/>
    <w:unhideWhenUsed/>
    <w:rsid w:val="003712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2C3"/>
    <w:rPr>
      <w:rFonts w:eastAsiaTheme="minorEastAsia"/>
      <w:kern w:val="0"/>
      <w:lang w:val="en-US"/>
      <w14:ligatures w14:val="none"/>
    </w:rPr>
  </w:style>
  <w:style w:type="paragraph" w:styleId="Footer">
    <w:name w:val="footer"/>
    <w:basedOn w:val="Normal"/>
    <w:link w:val="FooterChar"/>
    <w:uiPriority w:val="99"/>
    <w:unhideWhenUsed/>
    <w:rsid w:val="003712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2C3"/>
    <w:rPr>
      <w:rFonts w:eastAsiaTheme="minorEastAsia"/>
      <w:kern w:val="0"/>
      <w:lang w:val="en-US"/>
      <w14:ligatures w14:val="none"/>
    </w:rPr>
  </w:style>
  <w:style w:type="table" w:styleId="TableGrid">
    <w:name w:val="Table Grid"/>
    <w:basedOn w:val="TableNormal"/>
    <w:uiPriority w:val="39"/>
    <w:rsid w:val="003712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1341055B37499428DF14D6CB4A7DC42" ma:contentTypeVersion="11" ma:contentTypeDescription="Create a new document." ma:contentTypeScope="" ma:versionID="028ebe8c4b40ef709431a5cf71c52d33">
  <xsd:schema xmlns:xsd="http://www.w3.org/2001/XMLSchema" xmlns:xs="http://www.w3.org/2001/XMLSchema" xmlns:p="http://schemas.microsoft.com/office/2006/metadata/properties" xmlns:ns3="91bade81-4b24-44dd-b829-4d2177dda96a" targetNamespace="http://schemas.microsoft.com/office/2006/metadata/properties" ma:root="true" ma:fieldsID="702c6400d944c1391a33423b482c141b" ns3:_="">
    <xsd:import namespace="91bade81-4b24-44dd-b829-4d2177dda96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1bade81-4b24-44dd-b829-4d2177dda9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dexed="true"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E1F91C1-4E49-4725-A56E-17A094310DAF}">
  <ds:schemaRefs>
    <ds:schemaRef ds:uri="http://schemas.microsoft.com/sharepoint/v3/contenttype/forms"/>
  </ds:schemaRefs>
</ds:datastoreItem>
</file>

<file path=customXml/itemProps2.xml><?xml version="1.0" encoding="utf-8"?>
<ds:datastoreItem xmlns:ds="http://schemas.openxmlformats.org/officeDocument/2006/customXml" ds:itemID="{7BE60356-569D-459E-B5B1-FFCDDA76E8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1bade81-4b24-44dd-b829-4d2177dda9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F4982C-E3BE-4BFF-813A-703A66941E26}">
  <ds:schemaRefs>
    <ds:schemaRef ds:uri="http://schemas.openxmlformats.org/officeDocument/2006/bibliography"/>
  </ds:schemaRefs>
</ds:datastoreItem>
</file>

<file path=customXml/itemProps4.xml><?xml version="1.0" encoding="utf-8"?>
<ds:datastoreItem xmlns:ds="http://schemas.openxmlformats.org/officeDocument/2006/customXml" ds:itemID="{C04E2AAB-E3FD-48A3-A6FD-89B8EE8B7E9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7</Pages>
  <Words>1850</Words>
  <Characters>11063</Characters>
  <Application>Microsoft Office Word</Application>
  <DocSecurity>0</DocSecurity>
  <Lines>187</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Qurratulain Zafar</dc:creator>
  <cp:keywords/>
  <dc:description/>
  <cp:lastModifiedBy>Qurratulain Zafar</cp:lastModifiedBy>
  <cp:revision>9</cp:revision>
  <dcterms:created xsi:type="dcterms:W3CDTF">2025-11-15T14:41:00Z</dcterms:created>
  <dcterms:modified xsi:type="dcterms:W3CDTF">2025-11-15T15:48:00Z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0x01010011341055B37499428DF14D6CB4A7DC42</vt:lpwstr>
  </property>
</Properties>
</file>