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87928" w14:textId="77777777" w:rsidR="00964FA7" w:rsidRDefault="00000000">
      <w:pPr>
        <w:jc w:val="center"/>
      </w:pPr>
      <w:r>
        <w:rPr>
          <w:noProof/>
        </w:rPr>
        <w:drawing>
          <wp:inline distT="114300" distB="114300" distL="114300" distR="114300" wp14:anchorId="29341060" wp14:editId="4D64EC32">
            <wp:extent cx="2428875" cy="10858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28875" cy="1085850"/>
                    </a:xfrm>
                    <a:prstGeom prst="rect">
                      <a:avLst/>
                    </a:prstGeom>
                    <a:ln/>
                  </pic:spPr>
                </pic:pic>
              </a:graphicData>
            </a:graphic>
          </wp:inline>
        </w:drawing>
      </w:r>
    </w:p>
    <w:p w14:paraId="182CFBE7" w14:textId="77777777" w:rsidR="00964FA7" w:rsidRDefault="00964FA7">
      <w:pPr>
        <w:spacing w:line="360" w:lineRule="auto"/>
        <w:jc w:val="center"/>
        <w:rPr>
          <w:rFonts w:ascii="Times New Roman" w:eastAsia="Times New Roman" w:hAnsi="Times New Roman" w:cs="Times New Roman"/>
          <w:b/>
          <w:color w:val="222222"/>
          <w:sz w:val="32"/>
          <w:szCs w:val="32"/>
        </w:rPr>
      </w:pPr>
    </w:p>
    <w:p w14:paraId="10C896E0" w14:textId="77777777" w:rsidR="00964FA7" w:rsidRDefault="00964FA7">
      <w:pPr>
        <w:spacing w:line="360" w:lineRule="auto"/>
        <w:jc w:val="center"/>
        <w:rPr>
          <w:rFonts w:ascii="Times New Roman" w:eastAsia="Times New Roman" w:hAnsi="Times New Roman" w:cs="Times New Roman"/>
          <w:b/>
          <w:color w:val="222222"/>
          <w:sz w:val="32"/>
          <w:szCs w:val="32"/>
        </w:rPr>
      </w:pPr>
    </w:p>
    <w:p w14:paraId="7A50CD90" w14:textId="77777777" w:rsidR="00964FA7" w:rsidRDefault="00000000">
      <w:pPr>
        <w:spacing w:line="360" w:lineRule="auto"/>
        <w:jc w:val="center"/>
        <w:rPr>
          <w:rFonts w:ascii="Times New Roman" w:eastAsia="Times New Roman" w:hAnsi="Times New Roman" w:cs="Times New Roman"/>
          <w:b/>
          <w:color w:val="222222"/>
          <w:sz w:val="40"/>
          <w:szCs w:val="40"/>
        </w:rPr>
      </w:pPr>
      <w:r>
        <w:rPr>
          <w:rFonts w:ascii="Times New Roman" w:eastAsia="Times New Roman" w:hAnsi="Times New Roman" w:cs="Times New Roman"/>
          <w:b/>
          <w:color w:val="1D2228"/>
          <w:sz w:val="40"/>
          <w:szCs w:val="40"/>
        </w:rPr>
        <w:t xml:space="preserve">Module Title: </w:t>
      </w:r>
      <w:r>
        <w:rPr>
          <w:rFonts w:ascii="Times New Roman" w:eastAsia="Times New Roman" w:hAnsi="Times New Roman" w:cs="Times New Roman"/>
          <w:b/>
          <w:color w:val="222222"/>
          <w:sz w:val="40"/>
          <w:szCs w:val="40"/>
        </w:rPr>
        <w:t>Managing Guest Service</w:t>
      </w:r>
    </w:p>
    <w:p w14:paraId="08EB0461" w14:textId="77777777" w:rsidR="00964FA7" w:rsidRDefault="00000000">
      <w:pPr>
        <w:spacing w:line="360" w:lineRule="auto"/>
        <w:jc w:val="center"/>
        <w:rPr>
          <w:rFonts w:ascii="Times New Roman" w:eastAsia="Times New Roman" w:hAnsi="Times New Roman" w:cs="Times New Roman"/>
          <w:b/>
          <w:color w:val="222222"/>
          <w:sz w:val="40"/>
          <w:szCs w:val="40"/>
        </w:rPr>
      </w:pPr>
      <w:r>
        <w:rPr>
          <w:rFonts w:ascii="Times New Roman" w:eastAsia="Times New Roman" w:hAnsi="Times New Roman" w:cs="Times New Roman"/>
          <w:b/>
          <w:color w:val="222222"/>
          <w:sz w:val="40"/>
          <w:szCs w:val="40"/>
        </w:rPr>
        <w:t>Operations</w:t>
      </w:r>
    </w:p>
    <w:p w14:paraId="3B13A27A" w14:textId="77777777" w:rsidR="00964FA7" w:rsidRDefault="00964FA7">
      <w:pPr>
        <w:spacing w:line="360" w:lineRule="auto"/>
        <w:jc w:val="center"/>
        <w:rPr>
          <w:rFonts w:ascii="Times New Roman" w:eastAsia="Times New Roman" w:hAnsi="Times New Roman" w:cs="Times New Roman"/>
          <w:b/>
          <w:color w:val="222222"/>
          <w:sz w:val="40"/>
          <w:szCs w:val="40"/>
        </w:rPr>
      </w:pPr>
    </w:p>
    <w:p w14:paraId="7B4D06B9" w14:textId="77777777" w:rsidR="00964FA7" w:rsidRPr="006641E3" w:rsidRDefault="00000000">
      <w:pPr>
        <w:spacing w:line="360" w:lineRule="auto"/>
        <w:jc w:val="center"/>
        <w:rPr>
          <w:rFonts w:ascii="Times New Roman" w:eastAsia="Times New Roman" w:hAnsi="Times New Roman" w:cs="Times New Roman"/>
          <w:b/>
          <w:color w:val="222222"/>
          <w:sz w:val="40"/>
          <w:szCs w:val="40"/>
          <w:lang w:val="nl-NL"/>
        </w:rPr>
      </w:pPr>
      <w:r w:rsidRPr="006641E3">
        <w:rPr>
          <w:rFonts w:ascii="Times New Roman" w:eastAsia="Times New Roman" w:hAnsi="Times New Roman" w:cs="Times New Roman"/>
          <w:b/>
          <w:color w:val="1D2228"/>
          <w:sz w:val="40"/>
          <w:szCs w:val="40"/>
          <w:lang w:val="nl-NL"/>
        </w:rPr>
        <w:t xml:space="preserve">Module Code: </w:t>
      </w:r>
      <w:r w:rsidRPr="006641E3">
        <w:rPr>
          <w:rFonts w:ascii="Times New Roman" w:eastAsia="Times New Roman" w:hAnsi="Times New Roman" w:cs="Times New Roman"/>
          <w:b/>
          <w:color w:val="222222"/>
          <w:sz w:val="40"/>
          <w:szCs w:val="40"/>
          <w:lang w:val="nl-NL"/>
        </w:rPr>
        <w:t>BMIH6003</w:t>
      </w:r>
    </w:p>
    <w:p w14:paraId="5507D055" w14:textId="77777777" w:rsidR="00964FA7" w:rsidRPr="006641E3" w:rsidRDefault="00964FA7">
      <w:pPr>
        <w:spacing w:line="360" w:lineRule="auto"/>
        <w:jc w:val="center"/>
        <w:rPr>
          <w:rFonts w:ascii="Times New Roman" w:eastAsia="Times New Roman" w:hAnsi="Times New Roman" w:cs="Times New Roman"/>
          <w:b/>
          <w:color w:val="222222"/>
          <w:sz w:val="32"/>
          <w:szCs w:val="32"/>
          <w:lang w:val="nl-NL"/>
        </w:rPr>
      </w:pPr>
    </w:p>
    <w:p w14:paraId="27D020BA" w14:textId="2DAEE3F5" w:rsidR="00964FA7" w:rsidRPr="006641E3" w:rsidRDefault="00000000">
      <w:pPr>
        <w:spacing w:line="360" w:lineRule="auto"/>
        <w:jc w:val="center"/>
        <w:rPr>
          <w:rFonts w:ascii="Times New Roman" w:eastAsia="Times New Roman" w:hAnsi="Times New Roman" w:cs="Times New Roman"/>
          <w:b/>
          <w:color w:val="222222"/>
          <w:sz w:val="32"/>
          <w:szCs w:val="32"/>
          <w:lang w:val="nl-NL"/>
        </w:rPr>
      </w:pPr>
      <w:r w:rsidRPr="006641E3">
        <w:rPr>
          <w:rFonts w:ascii="Times New Roman" w:eastAsia="Times New Roman" w:hAnsi="Times New Roman" w:cs="Times New Roman"/>
          <w:b/>
          <w:color w:val="222222"/>
          <w:sz w:val="32"/>
          <w:szCs w:val="32"/>
          <w:lang w:val="nl-NL"/>
        </w:rPr>
        <w:t>Student Name:</w:t>
      </w:r>
      <w:r w:rsidR="006641E3" w:rsidRPr="006641E3">
        <w:rPr>
          <w:rFonts w:ascii="Times New Roman" w:eastAsia="Times New Roman" w:hAnsi="Times New Roman" w:cs="Times New Roman"/>
          <w:b/>
          <w:color w:val="222222"/>
          <w:sz w:val="32"/>
          <w:szCs w:val="32"/>
          <w:lang w:val="nl-NL"/>
        </w:rPr>
        <w:t xml:space="preserve"> Digbijoy Roy (2117381)</w:t>
      </w:r>
    </w:p>
    <w:p w14:paraId="76843CDC" w14:textId="08E58226" w:rsidR="00964FA7" w:rsidRPr="006641E3" w:rsidRDefault="00000000">
      <w:pPr>
        <w:spacing w:line="360" w:lineRule="auto"/>
        <w:jc w:val="center"/>
        <w:rPr>
          <w:rFonts w:ascii="Times New Roman" w:eastAsia="Times New Roman" w:hAnsi="Times New Roman" w:cs="Times New Roman"/>
          <w:b/>
          <w:color w:val="222222"/>
          <w:sz w:val="32"/>
          <w:szCs w:val="32"/>
          <w:lang w:val="nl-NL"/>
        </w:rPr>
      </w:pPr>
      <w:r w:rsidRPr="006641E3">
        <w:rPr>
          <w:lang w:val="nl-NL"/>
        </w:rPr>
        <w:br w:type="page"/>
      </w:r>
    </w:p>
    <w:p w14:paraId="4A1FB417" w14:textId="77777777" w:rsidR="00964FA7" w:rsidRDefault="00000000">
      <w:pPr>
        <w:spacing w:line="360" w:lineRule="auto"/>
        <w:jc w:val="center"/>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lastRenderedPageBreak/>
        <w:t>Table of Contents</w:t>
      </w:r>
    </w:p>
    <w:p w14:paraId="3D4CAD0C" w14:textId="77777777" w:rsidR="00964FA7" w:rsidRDefault="00964FA7">
      <w:pPr>
        <w:spacing w:line="360" w:lineRule="auto"/>
        <w:rPr>
          <w:rFonts w:ascii="Times New Roman" w:eastAsia="Times New Roman" w:hAnsi="Times New Roman" w:cs="Times New Roman"/>
          <w:b/>
          <w:color w:val="222222"/>
          <w:sz w:val="28"/>
          <w:szCs w:val="28"/>
        </w:rPr>
      </w:pPr>
    </w:p>
    <w:sdt>
      <w:sdtPr>
        <w:id w:val="-1771229953"/>
        <w:docPartObj>
          <w:docPartGallery w:val="Table of Contents"/>
          <w:docPartUnique/>
        </w:docPartObj>
      </w:sdtPr>
      <w:sdtContent>
        <w:p w14:paraId="41978545" w14:textId="77777777" w:rsidR="00964FA7" w:rsidRDefault="00000000">
          <w:pPr>
            <w:widowControl w:val="0"/>
            <w:tabs>
              <w:tab w:val="right" w:pos="9360"/>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_heading=h.gjdgxs \h </w:instrText>
          </w:r>
          <w:r>
            <w:fldChar w:fldCharType="separate"/>
          </w:r>
          <w:r>
            <w:rPr>
              <w:rFonts w:ascii="Times New Roman" w:eastAsia="Times New Roman" w:hAnsi="Times New Roman" w:cs="Times New Roman"/>
              <w:sz w:val="24"/>
              <w:szCs w:val="24"/>
            </w:rPr>
            <w:t>3</w:t>
          </w:r>
          <w:r>
            <w:fldChar w:fldCharType="end"/>
          </w:r>
        </w:p>
        <w:p w14:paraId="6CE06EB9" w14:textId="77777777" w:rsidR="00964FA7" w:rsidRDefault="00000000">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Gibbs Reflective Model</w:t>
            </w:r>
            <w:r>
              <w:rPr>
                <w:rFonts w:ascii="Times New Roman" w:eastAsia="Times New Roman" w:hAnsi="Times New Roman" w:cs="Times New Roman"/>
                <w:color w:val="000000"/>
                <w:sz w:val="24"/>
                <w:szCs w:val="24"/>
              </w:rPr>
              <w:tab/>
            </w:r>
          </w:hyperlink>
          <w:r>
            <w:fldChar w:fldCharType="begin"/>
          </w:r>
          <w:r>
            <w:instrText xml:space="preserve"> PAGEREF _heading=h.30j0zll \h </w:instrText>
          </w:r>
          <w:r>
            <w:fldChar w:fldCharType="separate"/>
          </w:r>
          <w:r>
            <w:rPr>
              <w:rFonts w:ascii="Times New Roman" w:eastAsia="Times New Roman" w:hAnsi="Times New Roman" w:cs="Times New Roman"/>
              <w:sz w:val="24"/>
              <w:szCs w:val="24"/>
            </w:rPr>
            <w:t>3</w:t>
          </w:r>
          <w:r>
            <w:fldChar w:fldCharType="end"/>
          </w:r>
        </w:p>
        <w:p w14:paraId="7904940F" w14:textId="77777777" w:rsidR="00964FA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Description</w:t>
            </w:r>
            <w:r>
              <w:rPr>
                <w:rFonts w:ascii="Times New Roman" w:eastAsia="Times New Roman" w:hAnsi="Times New Roman" w:cs="Times New Roman"/>
                <w:color w:val="000000"/>
                <w:sz w:val="24"/>
                <w:szCs w:val="24"/>
              </w:rPr>
              <w:tab/>
            </w:r>
          </w:hyperlink>
          <w:r>
            <w:fldChar w:fldCharType="begin"/>
          </w:r>
          <w:r>
            <w:instrText xml:space="preserve"> PAGEREF _heading=h.1fob9te \h </w:instrText>
          </w:r>
          <w:r>
            <w:fldChar w:fldCharType="separate"/>
          </w:r>
          <w:r>
            <w:rPr>
              <w:rFonts w:ascii="Times New Roman" w:eastAsia="Times New Roman" w:hAnsi="Times New Roman" w:cs="Times New Roman"/>
              <w:sz w:val="24"/>
              <w:szCs w:val="24"/>
            </w:rPr>
            <w:t>3</w:t>
          </w:r>
          <w:r>
            <w:fldChar w:fldCharType="end"/>
          </w:r>
        </w:p>
        <w:p w14:paraId="3FB0F02C" w14:textId="77777777" w:rsidR="00964FA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Feelings</w:t>
            </w:r>
            <w:r>
              <w:rPr>
                <w:rFonts w:ascii="Times New Roman" w:eastAsia="Times New Roman" w:hAnsi="Times New Roman" w:cs="Times New Roman"/>
                <w:color w:val="000000"/>
                <w:sz w:val="24"/>
                <w:szCs w:val="24"/>
              </w:rPr>
              <w:tab/>
            </w:r>
          </w:hyperlink>
          <w:r>
            <w:fldChar w:fldCharType="begin"/>
          </w:r>
          <w:r>
            <w:instrText xml:space="preserve"> PAGEREF _heading=h.3znysh7 \h </w:instrText>
          </w:r>
          <w:r>
            <w:fldChar w:fldCharType="separate"/>
          </w:r>
          <w:r>
            <w:rPr>
              <w:rFonts w:ascii="Times New Roman" w:eastAsia="Times New Roman" w:hAnsi="Times New Roman" w:cs="Times New Roman"/>
              <w:sz w:val="24"/>
              <w:szCs w:val="24"/>
            </w:rPr>
            <w:t>4</w:t>
          </w:r>
          <w:r>
            <w:fldChar w:fldCharType="end"/>
          </w:r>
        </w:p>
        <w:p w14:paraId="01FA910B" w14:textId="77777777" w:rsidR="00964FA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Evaluation</w:t>
            </w:r>
            <w:r>
              <w:rPr>
                <w:rFonts w:ascii="Times New Roman" w:eastAsia="Times New Roman" w:hAnsi="Times New Roman" w:cs="Times New Roman"/>
                <w:color w:val="000000"/>
                <w:sz w:val="24"/>
                <w:szCs w:val="24"/>
              </w:rPr>
              <w:tab/>
            </w:r>
          </w:hyperlink>
          <w:r>
            <w:fldChar w:fldCharType="begin"/>
          </w:r>
          <w:r>
            <w:instrText xml:space="preserve"> PAGEREF _heading=h.2et92p0 \h </w:instrText>
          </w:r>
          <w:r>
            <w:fldChar w:fldCharType="separate"/>
          </w:r>
          <w:r>
            <w:rPr>
              <w:rFonts w:ascii="Times New Roman" w:eastAsia="Times New Roman" w:hAnsi="Times New Roman" w:cs="Times New Roman"/>
              <w:sz w:val="24"/>
              <w:szCs w:val="24"/>
            </w:rPr>
            <w:t>4</w:t>
          </w:r>
          <w:r>
            <w:fldChar w:fldCharType="end"/>
          </w:r>
        </w:p>
        <w:p w14:paraId="049B0A4C" w14:textId="77777777" w:rsidR="00964FA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Analysis</w:t>
            </w:r>
            <w:r>
              <w:rPr>
                <w:rFonts w:ascii="Times New Roman" w:eastAsia="Times New Roman" w:hAnsi="Times New Roman" w:cs="Times New Roman"/>
                <w:color w:val="000000"/>
                <w:sz w:val="24"/>
                <w:szCs w:val="24"/>
              </w:rPr>
              <w:tab/>
            </w:r>
          </w:hyperlink>
          <w:r>
            <w:fldChar w:fldCharType="begin"/>
          </w:r>
          <w:r>
            <w:instrText xml:space="preserve"> PAGEREF _heading=h.tyjcwt \h </w:instrText>
          </w:r>
          <w:r>
            <w:fldChar w:fldCharType="separate"/>
          </w:r>
          <w:r>
            <w:rPr>
              <w:rFonts w:ascii="Times New Roman" w:eastAsia="Times New Roman" w:hAnsi="Times New Roman" w:cs="Times New Roman"/>
              <w:sz w:val="24"/>
              <w:szCs w:val="24"/>
            </w:rPr>
            <w:t>5</w:t>
          </w:r>
          <w:r>
            <w:fldChar w:fldCharType="end"/>
          </w:r>
        </w:p>
        <w:p w14:paraId="4AE6BB09" w14:textId="77777777" w:rsidR="00964FA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_heading=h.3dy6vkm \h </w:instrText>
          </w:r>
          <w:r>
            <w:fldChar w:fldCharType="separate"/>
          </w:r>
          <w:r>
            <w:rPr>
              <w:rFonts w:ascii="Times New Roman" w:eastAsia="Times New Roman" w:hAnsi="Times New Roman" w:cs="Times New Roman"/>
              <w:sz w:val="24"/>
              <w:szCs w:val="24"/>
            </w:rPr>
            <w:t>5</w:t>
          </w:r>
          <w:r>
            <w:fldChar w:fldCharType="end"/>
          </w:r>
        </w:p>
        <w:p w14:paraId="10A2264C" w14:textId="77777777" w:rsidR="00964FA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Action plan</w:t>
            </w:r>
            <w:r>
              <w:rPr>
                <w:rFonts w:ascii="Times New Roman" w:eastAsia="Times New Roman" w:hAnsi="Times New Roman" w:cs="Times New Roman"/>
                <w:color w:val="000000"/>
                <w:sz w:val="24"/>
                <w:szCs w:val="24"/>
              </w:rPr>
              <w:tab/>
            </w:r>
          </w:hyperlink>
          <w:r>
            <w:fldChar w:fldCharType="begin"/>
          </w:r>
          <w:r>
            <w:instrText xml:space="preserve"> PAGEREF _heading=h.1t3h5sf \h </w:instrText>
          </w:r>
          <w:r>
            <w:fldChar w:fldCharType="separate"/>
          </w:r>
          <w:r>
            <w:rPr>
              <w:rFonts w:ascii="Times New Roman" w:eastAsia="Times New Roman" w:hAnsi="Times New Roman" w:cs="Times New Roman"/>
              <w:sz w:val="24"/>
              <w:szCs w:val="24"/>
            </w:rPr>
            <w:t>6</w:t>
          </w:r>
          <w:r>
            <w:fldChar w:fldCharType="end"/>
          </w:r>
        </w:p>
        <w:p w14:paraId="37A3FA97" w14:textId="77777777" w:rsidR="00964FA7" w:rsidRDefault="00000000">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_heading=h.4d34og8 \h </w:instrText>
          </w:r>
          <w:r>
            <w:fldChar w:fldCharType="separate"/>
          </w:r>
          <w:r>
            <w:rPr>
              <w:rFonts w:ascii="Times New Roman" w:eastAsia="Times New Roman" w:hAnsi="Times New Roman" w:cs="Times New Roman"/>
              <w:sz w:val="24"/>
              <w:szCs w:val="24"/>
            </w:rPr>
            <w:t>7</w:t>
          </w:r>
          <w:r>
            <w:fldChar w:fldCharType="end"/>
          </w:r>
        </w:p>
        <w:p w14:paraId="28D1498D" w14:textId="77777777" w:rsidR="00964FA7" w:rsidRDefault="00000000">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_heading=h.17dp8vu \h </w:instrText>
          </w:r>
          <w:r>
            <w:fldChar w:fldCharType="separate"/>
          </w:r>
          <w:r>
            <w:rPr>
              <w:rFonts w:ascii="Times New Roman" w:eastAsia="Times New Roman" w:hAnsi="Times New Roman" w:cs="Times New Roman"/>
              <w:sz w:val="24"/>
              <w:szCs w:val="24"/>
            </w:rPr>
            <w:t>8</w:t>
          </w:r>
          <w:r>
            <w:fldChar w:fldCharType="end"/>
          </w:r>
          <w:r>
            <w:fldChar w:fldCharType="end"/>
          </w:r>
        </w:p>
      </w:sdtContent>
    </w:sdt>
    <w:p w14:paraId="7FFF5FC4" w14:textId="77777777" w:rsidR="00964FA7" w:rsidRDefault="00000000">
      <w:pPr>
        <w:spacing w:line="360" w:lineRule="auto"/>
        <w:rPr>
          <w:rFonts w:ascii="Times New Roman" w:eastAsia="Times New Roman" w:hAnsi="Times New Roman" w:cs="Times New Roman"/>
          <w:b/>
          <w:color w:val="222222"/>
          <w:sz w:val="28"/>
          <w:szCs w:val="28"/>
        </w:rPr>
      </w:pPr>
      <w:r>
        <w:br w:type="page"/>
      </w:r>
    </w:p>
    <w:p w14:paraId="0309CF3A" w14:textId="77777777" w:rsidR="00964FA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0" w:name="_heading=h.gjdgxs" w:colFirst="0" w:colLast="0"/>
      <w:bookmarkEnd w:id="0"/>
      <w:r>
        <w:rPr>
          <w:rFonts w:ascii="Times New Roman" w:eastAsia="Times New Roman" w:hAnsi="Times New Roman" w:cs="Times New Roman"/>
          <w:b/>
          <w:color w:val="222222"/>
          <w:sz w:val="28"/>
          <w:szCs w:val="28"/>
        </w:rPr>
        <w:lastRenderedPageBreak/>
        <w:t>Introduction</w:t>
      </w:r>
    </w:p>
    <w:p w14:paraId="2A5FA2A3" w14:textId="13088335" w:rsidR="00964F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I will reflect on My practical Placement Experience at Holiday Inn Kenilworth where I was overseeing the Guest Operations. Applying Gibbs Reflective Model, it will discuss the ideas, emotions, assessment, critical judgment, </w:t>
      </w:r>
      <w:r w:rsidR="00020484">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action plan, to identify and discuss the phenomenon that has helped or hindered learning and development in hospitality management. In my position, being the Manager of guest service with Holiday Inn in Kenilworth, my responsibilities entail directing the proper running of all the features that contribute to guest services. This encompasses tasks such as staff management, guest satisfaction, overseeing executive strategies and the achievement of high organizational standards in the hospitality sector.</w:t>
      </w:r>
    </w:p>
    <w:p w14:paraId="31EF1465" w14:textId="77777777" w:rsidR="00964FA7" w:rsidRDefault="00964FA7"/>
    <w:p w14:paraId="3BEE349E" w14:textId="77777777" w:rsidR="00964FA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1" w:name="_heading=h.30j0zll" w:colFirst="0" w:colLast="0"/>
      <w:bookmarkEnd w:id="1"/>
      <w:r>
        <w:rPr>
          <w:rFonts w:ascii="Times New Roman" w:eastAsia="Times New Roman" w:hAnsi="Times New Roman" w:cs="Times New Roman"/>
          <w:b/>
          <w:color w:val="222222"/>
          <w:sz w:val="28"/>
          <w:szCs w:val="28"/>
        </w:rPr>
        <w:t>Gibbs Reflective Model</w:t>
      </w:r>
    </w:p>
    <w:p w14:paraId="3C6567A4" w14:textId="77777777" w:rsidR="00964FA7" w:rsidRDefault="00964FA7"/>
    <w:p w14:paraId="1945DB0B" w14:textId="77777777" w:rsidR="00964FA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2" w:name="_heading=h.1fob9te" w:colFirst="0" w:colLast="0"/>
      <w:bookmarkEnd w:id="2"/>
      <w:r>
        <w:rPr>
          <w:rFonts w:ascii="Times New Roman" w:eastAsia="Times New Roman" w:hAnsi="Times New Roman" w:cs="Times New Roman"/>
          <w:b/>
          <w:color w:val="040C28"/>
          <w:sz w:val="26"/>
          <w:szCs w:val="26"/>
        </w:rPr>
        <w:t>Description</w:t>
      </w:r>
    </w:p>
    <w:p w14:paraId="27F0EE05" w14:textId="0D159453" w:rsidR="00964F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position at Holiday Inn Kenilworth as a Guest supervisory position has been quite enlightening. The social benefits of the supervisory role were particularly enlightening as it offered an understanding of how guest expectations can be managed and meaningful vocational skills are acquired in that capacity. During my shadowing session, I saw the supervisor well accomplished when dealing with subordinates in the kitchen and in the ability to organize the delivery of meals promptly. According to </w:t>
      </w:r>
      <w:r>
        <w:rPr>
          <w:rFonts w:ascii="Times New Roman" w:eastAsia="Times New Roman" w:hAnsi="Times New Roman" w:cs="Times New Roman"/>
          <w:color w:val="222222"/>
          <w:sz w:val="24"/>
          <w:szCs w:val="24"/>
          <w:highlight w:val="white"/>
        </w:rPr>
        <w:t xml:space="preserve">Papageorgiadis, Wang and Konara (2020), </w:t>
      </w:r>
      <w:r>
        <w:rPr>
          <w:rFonts w:ascii="Times New Roman" w:eastAsia="Times New Roman" w:hAnsi="Times New Roman" w:cs="Times New Roman"/>
          <w:sz w:val="24"/>
          <w:szCs w:val="24"/>
        </w:rPr>
        <w:t xml:space="preserve">this marked a realization of communication skills and the significant importance of being able to handle several tasks at once. I discovered that to be efficient, you have to stay very focused in line with meeting the needs of the </w:t>
      </w:r>
      <w:r w:rsidR="00020484">
        <w:rPr>
          <w:rFonts w:ascii="Times New Roman" w:eastAsia="Times New Roman" w:hAnsi="Times New Roman" w:cs="Times New Roman"/>
          <w:sz w:val="24"/>
          <w:szCs w:val="24"/>
        </w:rPr>
        <w:t>guests’</w:t>
      </w:r>
      <w:r>
        <w:rPr>
          <w:rFonts w:ascii="Times New Roman" w:eastAsia="Times New Roman" w:hAnsi="Times New Roman" w:cs="Times New Roman"/>
          <w:sz w:val="24"/>
          <w:szCs w:val="24"/>
        </w:rPr>
        <w:t xml:space="preserve"> concerning orders or their preferences for diets. The specific scenario that I found to be most informative and applicable to my work was the supervisor’s problem-solving and conflict management. It became obvious that observing how they adapted to situations that could not be predicted, like staff calling in sick or a guest complaint, refined the art of keeping one’s nerves and using problem-solving skills (</w:t>
      </w:r>
      <w:r>
        <w:rPr>
          <w:rFonts w:ascii="Times New Roman" w:eastAsia="Times New Roman" w:hAnsi="Times New Roman" w:cs="Times New Roman"/>
          <w:color w:val="222222"/>
          <w:sz w:val="24"/>
          <w:szCs w:val="24"/>
          <w:highlight w:val="white"/>
        </w:rPr>
        <w:t>Anusha Siddiqui, Lamri and Gagaoua, 2022)</w:t>
      </w:r>
      <w:r>
        <w:rPr>
          <w:rFonts w:ascii="Times New Roman" w:eastAsia="Times New Roman" w:hAnsi="Times New Roman" w:cs="Times New Roman"/>
          <w:sz w:val="24"/>
          <w:szCs w:val="24"/>
        </w:rPr>
        <w:t xml:space="preserve">. I am happy to state that this has made me aware of the technical skills needed in food and beverage such as stock management, assignment of employees and health standards. It has also emphasized other issues that are related to involving teamwork and leadership in enhancing guest satisfaction. In summary, it has been quite insightful to shadow the supervisor in the course of performing his duties and </w:t>
      </w:r>
      <w:r>
        <w:rPr>
          <w:rFonts w:ascii="Times New Roman" w:eastAsia="Times New Roman" w:hAnsi="Times New Roman" w:cs="Times New Roman"/>
          <w:sz w:val="24"/>
          <w:szCs w:val="24"/>
        </w:rPr>
        <w:lastRenderedPageBreak/>
        <w:t>responsibilities as it has in some way equipped me in one way or the other to perform future tasks in managing hospitality establishments.</w:t>
      </w:r>
    </w:p>
    <w:p w14:paraId="60E7F20F" w14:textId="77777777" w:rsidR="00964FA7" w:rsidRDefault="00964FA7"/>
    <w:p w14:paraId="3D3E04CA" w14:textId="77777777" w:rsidR="00964FA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3" w:name="_heading=h.3znysh7" w:colFirst="0" w:colLast="0"/>
      <w:bookmarkEnd w:id="3"/>
      <w:r>
        <w:rPr>
          <w:rFonts w:ascii="Times New Roman" w:eastAsia="Times New Roman" w:hAnsi="Times New Roman" w:cs="Times New Roman"/>
          <w:b/>
          <w:color w:val="040C28"/>
          <w:sz w:val="26"/>
          <w:szCs w:val="26"/>
        </w:rPr>
        <w:t>Feelings</w:t>
      </w:r>
    </w:p>
    <w:p w14:paraId="0F4A7CF9" w14:textId="77777777" w:rsidR="00964F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Self-development in my placement at Holiday Inn Kenilworth I have realized there is substantive change in personal and vocational development. This placement experience, together with my industrial experience and academia, has highly benefited me in the ways that shaped my communication skills, teamwork and task management. First, I felt nervous when interacting with the guests; however, as I progressed through stages of training, I noticed that I became confident and comfortable addressing various guests and comprehending that it is necessary to act kindly and express respect when dealing with people. Working in guest operations honed my teamwork skills, as collaboration is crucial in a fast-paced environment. I was able to learn that it is possible to trust colleagues, how best to assign tasks within a team or group and how to ensure time is well utilized. According to </w:t>
      </w:r>
      <w:r>
        <w:rPr>
          <w:rFonts w:ascii="Times New Roman" w:eastAsia="Times New Roman" w:hAnsi="Times New Roman" w:cs="Times New Roman"/>
          <w:color w:val="222222"/>
          <w:sz w:val="24"/>
          <w:szCs w:val="24"/>
          <w:highlight w:val="white"/>
        </w:rPr>
        <w:t>Qiu, Choy and Luo (2022), this can make individuals</w:t>
      </w:r>
      <w:r>
        <w:rPr>
          <w:rFonts w:ascii="Times New Roman" w:eastAsia="Times New Roman" w:hAnsi="Times New Roman" w:cs="Times New Roman"/>
          <w:sz w:val="24"/>
          <w:szCs w:val="24"/>
        </w:rPr>
        <w:t xml:space="preserve"> better problem-solver and more adaptable because of the kind of work we do in that place with the guests. This placement has been very helpful in polishing my professional conduct, helping me create a realistic context for the use of theory and learning, and developing an understanding of the complexity of guest services.</w:t>
      </w:r>
    </w:p>
    <w:p w14:paraId="37A909CA" w14:textId="77777777" w:rsidR="00964FA7" w:rsidRDefault="00964FA7"/>
    <w:p w14:paraId="6AE96019" w14:textId="77777777" w:rsidR="00964FA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4" w:name="_heading=h.2et92p0" w:colFirst="0" w:colLast="0"/>
      <w:bookmarkEnd w:id="4"/>
      <w:r>
        <w:rPr>
          <w:rFonts w:ascii="Times New Roman" w:eastAsia="Times New Roman" w:hAnsi="Times New Roman" w:cs="Times New Roman"/>
          <w:b/>
          <w:color w:val="040C28"/>
          <w:sz w:val="26"/>
          <w:szCs w:val="26"/>
        </w:rPr>
        <w:t>Evaluation</w:t>
      </w:r>
    </w:p>
    <w:p w14:paraId="1618977F" w14:textId="5159FE61" w:rsidR="00964F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appreciate work-related abilities in addition to technical know-how in the field of hotel administration, which is why I oversee the guest operations at the Holiday Inn Kenilworth. </w:t>
      </w:r>
      <w:r>
        <w:rPr>
          <w:rFonts w:ascii="Times New Roman" w:eastAsia="Times New Roman" w:hAnsi="Times New Roman" w:cs="Times New Roman"/>
          <w:b/>
          <w:i/>
          <w:sz w:val="24"/>
          <w:szCs w:val="24"/>
        </w:rPr>
        <w:t xml:space="preserve">Frederick Taylor’s Scientific Management theory </w:t>
      </w:r>
      <w:r>
        <w:rPr>
          <w:rFonts w:ascii="Times New Roman" w:eastAsia="Times New Roman" w:hAnsi="Times New Roman" w:cs="Times New Roman"/>
          <w:sz w:val="24"/>
          <w:szCs w:val="24"/>
        </w:rPr>
        <w:t xml:space="preserve">fits in with this in a way that it is a primer on efficiency and optimization with the use of systematic methods. It’s important and I’ve had personal experiences through various shadowing opportunities where work-based competencies such </w:t>
      </w:r>
      <w:r w:rsidR="00020484">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communication, teamwork, and problem-solving come into play. One is comprehensible and unambiguous to meet the staff's needs to communicate the work or tasks effectively at the workplace, and the other is cooperative work which guarantees collaborative cooperation and collaboration among the staff (</w:t>
      </w:r>
      <w:r>
        <w:rPr>
          <w:rFonts w:ascii="Times New Roman" w:eastAsia="Times New Roman" w:hAnsi="Times New Roman" w:cs="Times New Roman"/>
          <w:color w:val="222222"/>
          <w:sz w:val="24"/>
          <w:szCs w:val="24"/>
          <w:highlight w:val="white"/>
        </w:rPr>
        <w:t>Aydin, Uray and Silahtaroglu, 2021)</w:t>
      </w:r>
      <w:r>
        <w:rPr>
          <w:rFonts w:ascii="Times New Roman" w:eastAsia="Times New Roman" w:hAnsi="Times New Roman" w:cs="Times New Roman"/>
          <w:sz w:val="24"/>
          <w:szCs w:val="24"/>
        </w:rPr>
        <w:t xml:space="preserve">. For instance, the efficient coordination with other departments such as the kitchen during a busy period of dining time made sure that orders got delivered at the right time thus displaying high satisfaction from customers. In the words of </w:t>
      </w:r>
      <w:r>
        <w:rPr>
          <w:rFonts w:ascii="Times New Roman" w:eastAsia="Times New Roman" w:hAnsi="Times New Roman" w:cs="Times New Roman"/>
          <w:color w:val="222222"/>
          <w:sz w:val="24"/>
          <w:szCs w:val="24"/>
          <w:highlight w:val="white"/>
        </w:rPr>
        <w:t xml:space="preserve">Raab, Ertz and Salem (2022), efficient management can help foster quick and </w:t>
      </w:r>
      <w:r>
        <w:rPr>
          <w:rFonts w:ascii="Times New Roman" w:eastAsia="Times New Roman" w:hAnsi="Times New Roman" w:cs="Times New Roman"/>
          <w:color w:val="222222"/>
          <w:sz w:val="24"/>
          <w:szCs w:val="24"/>
          <w:highlight w:val="white"/>
        </w:rPr>
        <w:lastRenderedPageBreak/>
        <w:t xml:space="preserve">dependable service. </w:t>
      </w:r>
      <w:r>
        <w:rPr>
          <w:rFonts w:ascii="Times New Roman" w:eastAsia="Times New Roman" w:hAnsi="Times New Roman" w:cs="Times New Roman"/>
          <w:sz w:val="24"/>
          <w:szCs w:val="24"/>
        </w:rPr>
        <w:t>Along with the skill and experience, it is also necessary to acquire technical knowledge about the guest business plan such as knowledge about inventory control management and the governmental food hygiene laws (</w:t>
      </w:r>
      <w:r>
        <w:rPr>
          <w:rFonts w:ascii="Times New Roman" w:eastAsia="Times New Roman" w:hAnsi="Times New Roman" w:cs="Times New Roman"/>
          <w:color w:val="222222"/>
          <w:sz w:val="24"/>
          <w:szCs w:val="24"/>
          <w:highlight w:val="white"/>
        </w:rPr>
        <w:t>Saji, Goswami and Du, 2022)</w:t>
      </w:r>
      <w:r>
        <w:rPr>
          <w:rFonts w:ascii="Times New Roman" w:eastAsia="Times New Roman" w:hAnsi="Times New Roman" w:cs="Times New Roman"/>
          <w:sz w:val="24"/>
          <w:szCs w:val="24"/>
        </w:rPr>
        <w:t>. Organizing such skills improves management and checks legal requirements on the use of resources. For instance, the integration of HACCP principles in food processing serves as proof that risk factors that lead to food hazards in preparation are brought under control. Taylor’s theory stresses the combinative of work-based skills and technical content knowledge as the key aspects of effective organizations, especially important in the administration of hotels which ensures efficiency and customer satisfaction.</w:t>
      </w:r>
    </w:p>
    <w:p w14:paraId="487892B7" w14:textId="77777777" w:rsidR="00964FA7" w:rsidRDefault="00964FA7"/>
    <w:p w14:paraId="54A15D6E" w14:textId="77777777" w:rsidR="00964FA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5" w:name="_heading=h.tyjcwt" w:colFirst="0" w:colLast="0"/>
      <w:bookmarkEnd w:id="5"/>
      <w:r>
        <w:rPr>
          <w:rFonts w:ascii="Times New Roman" w:eastAsia="Times New Roman" w:hAnsi="Times New Roman" w:cs="Times New Roman"/>
          <w:b/>
          <w:color w:val="040C28"/>
          <w:sz w:val="26"/>
          <w:szCs w:val="26"/>
        </w:rPr>
        <w:t>Analysis</w:t>
      </w:r>
    </w:p>
    <w:p w14:paraId="4D8A34D4" w14:textId="77777777" w:rsidR="00964F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now a manager of the Holiday Inn Kenilworth’s guest division this has given me time to ponder over several facets of hotel work. Some of the obstacles involve sustaining the quality of service offered and meeting the demand during specific high-density periods. This problem had a great influence on the operations, the guests’ experience and the performance of the department (</w:t>
      </w:r>
      <w:r>
        <w:rPr>
          <w:rFonts w:ascii="Times New Roman" w:eastAsia="Times New Roman" w:hAnsi="Times New Roman" w:cs="Times New Roman"/>
          <w:color w:val="222222"/>
          <w:sz w:val="24"/>
          <w:szCs w:val="24"/>
          <w:highlight w:val="white"/>
        </w:rPr>
        <w:t>Tan, Taddeo and Floridi, 2021)</w:t>
      </w:r>
      <w:r>
        <w:rPr>
          <w:rFonts w:ascii="Times New Roman" w:eastAsia="Times New Roman" w:hAnsi="Times New Roman" w:cs="Times New Roman"/>
          <w:sz w:val="24"/>
          <w:szCs w:val="24"/>
        </w:rPr>
        <w:t>. While this working strategy may take advantage of the peak hours for business operations, it was disadvantageous on most occasions due to pressure that increased among the staff, which sometimes made them negate standard appropriate work culture and professionalism (</w:t>
      </w:r>
      <w:r>
        <w:rPr>
          <w:rFonts w:ascii="Times New Roman" w:eastAsia="Times New Roman" w:hAnsi="Times New Roman" w:cs="Times New Roman"/>
          <w:color w:val="222222"/>
          <w:sz w:val="24"/>
          <w:szCs w:val="24"/>
          <w:highlight w:val="white"/>
        </w:rPr>
        <w:t>Deng, Ji and Wang, 2020)</w:t>
      </w:r>
      <w:r>
        <w:rPr>
          <w:rFonts w:ascii="Times New Roman" w:eastAsia="Times New Roman" w:hAnsi="Times New Roman" w:cs="Times New Roman"/>
          <w:sz w:val="24"/>
          <w:szCs w:val="24"/>
        </w:rPr>
        <w:t>. This, in turn, influenced the satisfaction of guests and their loyalty to the business or organisation in question. Understanding this reality, I added tactics like cross-training the other employees and optimizing the organizational processes to be uncomplicated during a high-demand period. Moreover, emphasizing collaboration, the efficient communication helped the team reduce the adverse effects of these challenges. From this kind of situation, one can learn how to be more proactive in finding solutions and how to be flexible in this competitive, fast-growing field of service industry. Towards the future, I will continue with the goal of optimizing specific processes to make guest satisfaction better and also to make my department work better.</w:t>
      </w:r>
    </w:p>
    <w:p w14:paraId="4A198A1F" w14:textId="77777777" w:rsidR="00964FA7" w:rsidRDefault="00964FA7"/>
    <w:p w14:paraId="50D4B0AF" w14:textId="77777777" w:rsidR="00964FA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6" w:name="_heading=h.3dy6vkm" w:colFirst="0" w:colLast="0"/>
      <w:bookmarkEnd w:id="6"/>
      <w:r>
        <w:rPr>
          <w:rFonts w:ascii="Times New Roman" w:eastAsia="Times New Roman" w:hAnsi="Times New Roman" w:cs="Times New Roman"/>
          <w:b/>
          <w:color w:val="040C28"/>
          <w:sz w:val="26"/>
          <w:szCs w:val="26"/>
        </w:rPr>
        <w:t xml:space="preserve">Conclusion </w:t>
      </w:r>
    </w:p>
    <w:p w14:paraId="0A8B1939" w14:textId="77777777" w:rsidR="00964F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been able to learn different considerations that need to be made in the operationalization of food and beverage systems. Practical experience has helped me to develop soft organizational skills, improve my professional proficiency, and develop a greater understanding of the industry’s </w:t>
      </w:r>
      <w:r>
        <w:rPr>
          <w:rFonts w:ascii="Times New Roman" w:eastAsia="Times New Roman" w:hAnsi="Times New Roman" w:cs="Times New Roman"/>
          <w:sz w:val="24"/>
          <w:szCs w:val="24"/>
        </w:rPr>
        <w:lastRenderedPageBreak/>
        <w:t>service expectations. Such shadowing enabled me to see first-hand how different operations run and will be a valuable asset towards individual career choices in the hospitality industry (</w:t>
      </w:r>
      <w:r>
        <w:rPr>
          <w:rFonts w:ascii="Times New Roman" w:eastAsia="Times New Roman" w:hAnsi="Times New Roman" w:cs="Times New Roman"/>
          <w:color w:val="222222"/>
          <w:sz w:val="24"/>
          <w:szCs w:val="24"/>
          <w:highlight w:val="white"/>
        </w:rPr>
        <w:t>Harrison, van Hoek and Aitken, 2019)</w:t>
      </w:r>
      <w:r>
        <w:rPr>
          <w:rFonts w:ascii="Times New Roman" w:eastAsia="Times New Roman" w:hAnsi="Times New Roman" w:cs="Times New Roman"/>
          <w:sz w:val="24"/>
          <w:szCs w:val="24"/>
        </w:rPr>
        <w:t>. Upon consideration of such an experience, I realize the need to enhance the values that help in the development of one’s personality and career. It has only strengthened my love for guest service and further shows me the importance of growth at work. In turn, I could explicitly use theories in addressing these challenges as well as making realistic changes to approach the problems to be encountered. Taken altogether, this shadowing activity has been greatly of help and thus can be credited for preparing me for a successful career in the hotel guest service line.</w:t>
      </w:r>
    </w:p>
    <w:p w14:paraId="1553458C" w14:textId="77777777" w:rsidR="00964FA7" w:rsidRDefault="00964FA7"/>
    <w:p w14:paraId="369FDB49" w14:textId="77777777" w:rsidR="00964FA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7" w:name="_heading=h.1t3h5sf" w:colFirst="0" w:colLast="0"/>
      <w:bookmarkEnd w:id="7"/>
      <w:r>
        <w:rPr>
          <w:rFonts w:ascii="Times New Roman" w:eastAsia="Times New Roman" w:hAnsi="Times New Roman" w:cs="Times New Roman"/>
          <w:b/>
          <w:color w:val="040C28"/>
          <w:sz w:val="26"/>
          <w:szCs w:val="26"/>
        </w:rPr>
        <w:t>Action plan</w:t>
      </w:r>
    </w:p>
    <w:p w14:paraId="2DAC47AD" w14:textId="59501A00" w:rsidR="00964F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move up I will pay special attention to enhancing communication skills within the guest and members of the team with an interest in making service delivery more efficient. Further, I will engage myself in group tasks and implement techniques that would enable me to understand what others would wish to achieve in teamwork. It will also be essential to </w:t>
      </w:r>
      <w:r w:rsidR="00020484">
        <w:rPr>
          <w:rFonts w:ascii="Times New Roman" w:eastAsia="Times New Roman" w:hAnsi="Times New Roman" w:cs="Times New Roman"/>
          <w:sz w:val="24"/>
          <w:szCs w:val="24"/>
        </w:rPr>
        <w:t>priorities</w:t>
      </w:r>
      <w:r>
        <w:rPr>
          <w:rFonts w:ascii="Times New Roman" w:eastAsia="Times New Roman" w:hAnsi="Times New Roman" w:cs="Times New Roman"/>
          <w:sz w:val="24"/>
          <w:szCs w:val="24"/>
        </w:rPr>
        <w:t xml:space="preserve"> work more effectively, improve </w:t>
      </w:r>
      <w:r w:rsidR="00020484">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new processes, and exhibit professional abilities (Hempel, Colepicolo, and Zambotti-Villela, 2023). To enhance my experience in the field, I will obtain necessary training and licenses that </w:t>
      </w:r>
      <w:r w:rsidR="00020484">
        <w:rPr>
          <w:rFonts w:ascii="Times New Roman" w:eastAsia="Times New Roman" w:hAnsi="Times New Roman" w:cs="Times New Roman"/>
          <w:sz w:val="24"/>
          <w:szCs w:val="24"/>
        </w:rPr>
        <w:t>include</w:t>
      </w:r>
      <w:r>
        <w:rPr>
          <w:rFonts w:ascii="Times New Roman" w:eastAsia="Times New Roman" w:hAnsi="Times New Roman" w:cs="Times New Roman"/>
          <w:sz w:val="24"/>
          <w:szCs w:val="24"/>
        </w:rPr>
        <w:t xml:space="preserve"> extensive customer services and hospitality management degree programs. Although they are quantifiable objectives that entail decreasing the time that guests have to wait and enhancing the positive feedback scores, I envision a way of linking these objectives to my personal development and carrying them out as a vocation. This will in turn improve my ability as well as the level of my experience in the hospitality sector.</w:t>
      </w:r>
    </w:p>
    <w:p w14:paraId="45468E9D" w14:textId="77777777" w:rsidR="00964FA7" w:rsidRDefault="00964FA7">
      <w:pPr>
        <w:jc w:val="center"/>
      </w:pP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964FA7" w14:paraId="522CBEFF" w14:textId="77777777">
        <w:trPr>
          <w:jc w:val="center"/>
        </w:trPr>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3EDA03E9" w14:textId="77777777" w:rsidR="00964FA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Goal</w:t>
            </w:r>
          </w:p>
        </w:tc>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4CD4EA8B" w14:textId="77777777" w:rsidR="00964FA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Specific</w:t>
            </w:r>
          </w:p>
        </w:tc>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1F36BBBA" w14:textId="77777777" w:rsidR="00964FA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Measurable</w:t>
            </w:r>
          </w:p>
        </w:tc>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11CC9142" w14:textId="77777777" w:rsidR="00964FA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Achievable</w:t>
            </w:r>
          </w:p>
        </w:tc>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6FED5DC7" w14:textId="77777777" w:rsidR="00964FA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Relevant</w:t>
            </w:r>
          </w:p>
        </w:tc>
        <w:tc>
          <w:tcPr>
            <w:tcW w:w="1560" w:type="dxa"/>
            <w:tcBorders>
              <w:top w:val="single" w:sz="5" w:space="0" w:color="0D0D0D"/>
              <w:left w:val="single" w:sz="5" w:space="0" w:color="0D0D0D"/>
              <w:bottom w:val="single" w:sz="5" w:space="0" w:color="0D0D0D"/>
              <w:right w:val="single" w:sz="5" w:space="0" w:color="0D0D0D"/>
            </w:tcBorders>
            <w:shd w:val="clear" w:color="auto" w:fill="C9DAF8"/>
            <w:tcMar>
              <w:top w:w="100" w:type="dxa"/>
              <w:left w:w="100" w:type="dxa"/>
              <w:bottom w:w="100" w:type="dxa"/>
              <w:right w:w="100" w:type="dxa"/>
            </w:tcMar>
            <w:vAlign w:val="bottom"/>
          </w:tcPr>
          <w:p w14:paraId="00337C1B" w14:textId="77777777" w:rsidR="00964FA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Time-bound</w:t>
            </w:r>
          </w:p>
        </w:tc>
      </w:tr>
      <w:tr w:rsidR="00964FA7" w14:paraId="767FC80A" w14:textId="77777777">
        <w:trPr>
          <w:jc w:val="center"/>
        </w:trPr>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9A81668"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Enhance communication skills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0704682"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Attend workshops and apply techniques in daily tasks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E4DC1F1"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Monitor guest feedback scores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81616CA"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Yes, through available resources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2750DDD"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Essential for guest satisfaction</w:t>
            </w:r>
          </w:p>
        </w:tc>
        <w:tc>
          <w:tcPr>
            <w:tcW w:w="156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7FA19FE3"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Within 3 months</w:t>
            </w:r>
          </w:p>
        </w:tc>
      </w:tr>
      <w:tr w:rsidR="00964FA7" w14:paraId="793DF707" w14:textId="77777777">
        <w:trPr>
          <w:jc w:val="center"/>
        </w:trPr>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F2A1C26"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Improve task management</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D86A2AA"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 xml:space="preserve">Implement new organizational </w:t>
            </w:r>
            <w:r>
              <w:rPr>
                <w:rFonts w:ascii="Times New Roman" w:eastAsia="Times New Roman" w:hAnsi="Times New Roman" w:cs="Times New Roman"/>
                <w:color w:val="0D0D0D"/>
                <w:sz w:val="20"/>
                <w:szCs w:val="20"/>
              </w:rPr>
              <w:lastRenderedPageBreak/>
              <w:t>tools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11B2AD4"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lastRenderedPageBreak/>
              <w:t xml:space="preserve">Track task completion </w:t>
            </w:r>
            <w:r>
              <w:rPr>
                <w:rFonts w:ascii="Times New Roman" w:eastAsia="Times New Roman" w:hAnsi="Times New Roman" w:cs="Times New Roman"/>
                <w:color w:val="0D0D0D"/>
                <w:sz w:val="20"/>
                <w:szCs w:val="20"/>
              </w:rPr>
              <w:lastRenderedPageBreak/>
              <w:t>times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A46BD0A"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lastRenderedPageBreak/>
              <w:t xml:space="preserve">Yes, with practice and </w:t>
            </w:r>
            <w:r>
              <w:rPr>
                <w:rFonts w:ascii="Times New Roman" w:eastAsia="Times New Roman" w:hAnsi="Times New Roman" w:cs="Times New Roman"/>
                <w:color w:val="0D0D0D"/>
                <w:sz w:val="20"/>
                <w:szCs w:val="20"/>
              </w:rPr>
              <w:lastRenderedPageBreak/>
              <w:t>tools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6CF010C"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lastRenderedPageBreak/>
              <w:t xml:space="preserve">Crucial for efficient </w:t>
            </w:r>
            <w:r>
              <w:rPr>
                <w:rFonts w:ascii="Times New Roman" w:eastAsia="Times New Roman" w:hAnsi="Times New Roman" w:cs="Times New Roman"/>
                <w:color w:val="0D0D0D"/>
                <w:sz w:val="20"/>
                <w:szCs w:val="20"/>
              </w:rPr>
              <w:lastRenderedPageBreak/>
              <w:t>operations</w:t>
            </w:r>
          </w:p>
        </w:tc>
        <w:tc>
          <w:tcPr>
            <w:tcW w:w="156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7E681015"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lastRenderedPageBreak/>
              <w:t>Within 2 months</w:t>
            </w:r>
          </w:p>
        </w:tc>
      </w:tr>
      <w:tr w:rsidR="00964FA7" w14:paraId="66D7FBB6" w14:textId="77777777">
        <w:trPr>
          <w:jc w:val="center"/>
        </w:trPr>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93ABC0E"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Boost personal skills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D4D504F"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Enroll in advanced customer service courses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A0EBDC4"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Complete courses with certification</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292E498"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Yes, through online platforms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8584D45"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The key for career advancement</w:t>
            </w:r>
          </w:p>
        </w:tc>
        <w:tc>
          <w:tcPr>
            <w:tcW w:w="156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4E9936CB"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Within 6 months</w:t>
            </w:r>
          </w:p>
        </w:tc>
      </w:tr>
      <w:tr w:rsidR="00964FA7" w14:paraId="2398A407" w14:textId="77777777">
        <w:trPr>
          <w:jc w:val="center"/>
        </w:trPr>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6E05986"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Foster teamwork</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7D72C70"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Participate in team-building activities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4D0BED2"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Gather feedback from team members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7355AFA"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Yes, through scheduled activities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4EFF6BE"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Important for a cohesive team</w:t>
            </w:r>
          </w:p>
        </w:tc>
        <w:tc>
          <w:tcPr>
            <w:tcW w:w="156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34D9D3A1" w14:textId="77777777" w:rsidR="00964FA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Within 4 months</w:t>
            </w:r>
          </w:p>
        </w:tc>
      </w:tr>
    </w:tbl>
    <w:p w14:paraId="31D96088" w14:textId="77777777" w:rsidR="00964FA7" w:rsidRDefault="00964FA7">
      <w:pPr>
        <w:jc w:val="center"/>
      </w:pPr>
    </w:p>
    <w:p w14:paraId="7B591FE3" w14:textId="77777777" w:rsidR="00964FA7" w:rsidRDefault="00964FA7"/>
    <w:p w14:paraId="2529498B" w14:textId="77777777" w:rsidR="00964FA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8" w:name="_heading=h.4d34og8" w:colFirst="0" w:colLast="0"/>
      <w:bookmarkEnd w:id="8"/>
      <w:r>
        <w:rPr>
          <w:rFonts w:ascii="Times New Roman" w:eastAsia="Times New Roman" w:hAnsi="Times New Roman" w:cs="Times New Roman"/>
          <w:b/>
          <w:color w:val="222222"/>
          <w:sz w:val="28"/>
          <w:szCs w:val="28"/>
        </w:rPr>
        <w:t>Conclusion</w:t>
      </w:r>
    </w:p>
    <w:p w14:paraId="3BF7198F" w14:textId="77777777" w:rsidR="00964F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Reflecting on the experience at Holiday Inn Kenilworth has been one of my outstanding portfolios with a significant impact on personal and professional development managing the Guest Operations. With the skills I’ve acquired through practical experiences and knowledge with the help of theories, I have understood the fact that I am dedicated to enhancing my knowledge and achieving career progression in the hospitality management field.</w:t>
      </w:r>
    </w:p>
    <w:p w14:paraId="119C6868" w14:textId="77777777" w:rsidR="00964FA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9" w:name="_heading=h.2s8eyo1" w:colFirst="0" w:colLast="0"/>
      <w:bookmarkEnd w:id="9"/>
      <w:r>
        <w:br w:type="page"/>
      </w:r>
    </w:p>
    <w:p w14:paraId="385E0F03" w14:textId="77777777" w:rsidR="00964FA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10" w:name="_heading=h.17dp8vu" w:colFirst="0" w:colLast="0"/>
      <w:bookmarkEnd w:id="10"/>
      <w:r>
        <w:rPr>
          <w:rFonts w:ascii="Times New Roman" w:eastAsia="Times New Roman" w:hAnsi="Times New Roman" w:cs="Times New Roman"/>
          <w:b/>
          <w:color w:val="222222"/>
          <w:sz w:val="28"/>
          <w:szCs w:val="28"/>
        </w:rPr>
        <w:lastRenderedPageBreak/>
        <w:t>References</w:t>
      </w:r>
    </w:p>
    <w:p w14:paraId="0B72A688" w14:textId="77777777" w:rsidR="00964FA7"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Anusha Siddiqui, S., Bahmid, N.A., Mahmud, C.M., Boukid, F., Lamri, M. and Gagaoua, M., 2022. Consumer acceptability of plant-, seaweed-, and insect-based foods as alternatives to meat: A critical compilation of a decade of research. </w:t>
      </w:r>
      <w:r>
        <w:rPr>
          <w:rFonts w:ascii="Times New Roman" w:eastAsia="Times New Roman" w:hAnsi="Times New Roman" w:cs="Times New Roman"/>
          <w:i/>
          <w:color w:val="222222"/>
          <w:sz w:val="24"/>
          <w:szCs w:val="24"/>
          <w:highlight w:val="white"/>
        </w:rPr>
        <w:t>Critical reviews in food science and nutrition</w:t>
      </w:r>
      <w:r>
        <w:rPr>
          <w:rFonts w:ascii="Times New Roman" w:eastAsia="Times New Roman" w:hAnsi="Times New Roman" w:cs="Times New Roman"/>
          <w:color w:val="222222"/>
          <w:sz w:val="24"/>
          <w:szCs w:val="24"/>
          <w:highlight w:val="white"/>
        </w:rPr>
        <w:t>, pp.1-22. Available at:</w:t>
      </w:r>
      <w:hyperlink r:id="rId8">
        <w:r>
          <w:rPr>
            <w:rFonts w:ascii="Times New Roman" w:eastAsia="Times New Roman" w:hAnsi="Times New Roman" w:cs="Times New Roman"/>
            <w:color w:val="222222"/>
            <w:sz w:val="24"/>
            <w:szCs w:val="24"/>
            <w:highlight w:val="white"/>
          </w:rPr>
          <w:t xml:space="preserve"> </w:t>
        </w:r>
      </w:hyperlink>
      <w:hyperlink r:id="rId9">
        <w:r>
          <w:rPr>
            <w:rFonts w:ascii="Times New Roman" w:eastAsia="Times New Roman" w:hAnsi="Times New Roman" w:cs="Times New Roman"/>
            <w:color w:val="1155CC"/>
            <w:sz w:val="24"/>
            <w:szCs w:val="24"/>
            <w:highlight w:val="white"/>
            <w:u w:val="single"/>
          </w:rPr>
          <w:t>https://doi.org/10.1080/10408398.2022.2036096</w:t>
        </w:r>
      </w:hyperlink>
      <w:r>
        <w:rPr>
          <w:rFonts w:ascii="Times New Roman" w:eastAsia="Times New Roman" w:hAnsi="Times New Roman" w:cs="Times New Roman"/>
          <w:color w:val="222222"/>
          <w:sz w:val="24"/>
          <w:szCs w:val="24"/>
          <w:highlight w:val="white"/>
        </w:rPr>
        <w:t xml:space="preserve"> (Accessed 21 May 2024)</w:t>
      </w:r>
    </w:p>
    <w:p w14:paraId="486B6AF9" w14:textId="77777777" w:rsidR="00964FA7"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Aydin, G., Uray, N. and Silahtaroglu, G., (2021). How to engage consumers through effective social media use—Guidelines for consumer goods companies from an emerging market. </w:t>
      </w:r>
      <w:r>
        <w:rPr>
          <w:rFonts w:ascii="Times New Roman" w:eastAsia="Times New Roman" w:hAnsi="Times New Roman" w:cs="Times New Roman"/>
          <w:i/>
          <w:color w:val="222222"/>
          <w:sz w:val="24"/>
          <w:szCs w:val="24"/>
          <w:highlight w:val="white"/>
        </w:rPr>
        <w:t>Journal of Theoretical and Applied Electronic Commerce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(4), pp.768-790. Available at: </w:t>
      </w:r>
      <w:hyperlink r:id="rId10">
        <w:r>
          <w:rPr>
            <w:rFonts w:ascii="Times New Roman" w:eastAsia="Times New Roman" w:hAnsi="Times New Roman" w:cs="Times New Roman"/>
            <w:color w:val="222222"/>
            <w:sz w:val="24"/>
            <w:szCs w:val="24"/>
            <w:highlight w:val="white"/>
          </w:rPr>
          <w:t xml:space="preserve">  </w:t>
        </w:r>
      </w:hyperlink>
      <w:hyperlink r:id="rId11">
        <w:r>
          <w:rPr>
            <w:rFonts w:ascii="Times New Roman" w:eastAsia="Times New Roman" w:hAnsi="Times New Roman" w:cs="Times New Roman"/>
            <w:color w:val="1155CC"/>
            <w:sz w:val="24"/>
            <w:szCs w:val="24"/>
            <w:highlight w:val="white"/>
            <w:u w:val="single"/>
          </w:rPr>
          <w:t>https://</w:t>
        </w:r>
      </w:hyperlink>
      <w:hyperlink r:id="rId12">
        <w:r>
          <w:rPr>
            <w:rFonts w:ascii="Times New Roman" w:eastAsia="Times New Roman" w:hAnsi="Times New Roman" w:cs="Times New Roman"/>
            <w:color w:val="1155CC"/>
            <w:sz w:val="24"/>
            <w:szCs w:val="24"/>
            <w:highlight w:val="white"/>
            <w:u w:val="single"/>
          </w:rPr>
          <w:t>www.doi.org</w:t>
        </w:r>
      </w:hyperlink>
      <w:hyperlink r:id="rId13">
        <w:r>
          <w:rPr>
            <w:rFonts w:ascii="Times New Roman" w:eastAsia="Times New Roman" w:hAnsi="Times New Roman" w:cs="Times New Roman"/>
            <w:color w:val="1155CC"/>
            <w:sz w:val="24"/>
            <w:szCs w:val="24"/>
            <w:highlight w:val="white"/>
            <w:u w:val="single"/>
          </w:rPr>
          <w:t>/972948</w:t>
        </w:r>
      </w:hyperlink>
      <w:r>
        <w:rPr>
          <w:rFonts w:ascii="Times New Roman" w:eastAsia="Times New Roman" w:hAnsi="Times New Roman" w:cs="Times New Roman"/>
          <w:color w:val="222222"/>
          <w:sz w:val="24"/>
          <w:szCs w:val="24"/>
          <w:highlight w:val="white"/>
        </w:rPr>
        <w:t xml:space="preserve">  (Accessed 21 May 2024)</w:t>
      </w:r>
    </w:p>
    <w:p w14:paraId="5BF3BBCE" w14:textId="77777777" w:rsidR="00964FA7"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Deng, Q., Hine, M., Ji, S. and Wang, Y., (2020). Investigating the impacts of brand social media posts’ linguistic styles on consumer engagement. Available at: </w:t>
      </w:r>
      <w:hyperlink r:id="rId14">
        <w:r>
          <w:rPr>
            <w:rFonts w:ascii="Times New Roman" w:eastAsia="Times New Roman" w:hAnsi="Times New Roman" w:cs="Times New Roman"/>
            <w:color w:val="222222"/>
            <w:sz w:val="24"/>
            <w:szCs w:val="24"/>
            <w:highlight w:val="white"/>
          </w:rPr>
          <w:t xml:space="preserve"> </w:t>
        </w:r>
      </w:hyperlink>
      <w:hyperlink r:id="rId15">
        <w:r>
          <w:rPr>
            <w:rFonts w:ascii="Times New Roman" w:eastAsia="Times New Roman" w:hAnsi="Times New Roman" w:cs="Times New Roman"/>
            <w:color w:val="1155CC"/>
            <w:sz w:val="24"/>
            <w:szCs w:val="24"/>
            <w:highlight w:val="white"/>
            <w:u w:val="single"/>
          </w:rPr>
          <w:t>https://</w:t>
        </w:r>
      </w:hyperlink>
      <w:hyperlink r:id="rId16">
        <w:r>
          <w:rPr>
            <w:rFonts w:ascii="Times New Roman" w:eastAsia="Times New Roman" w:hAnsi="Times New Roman" w:cs="Times New Roman"/>
            <w:color w:val="1155CC"/>
            <w:sz w:val="24"/>
            <w:szCs w:val="24"/>
            <w:highlight w:val="white"/>
            <w:u w:val="single"/>
          </w:rPr>
          <w:t>www.doi.org</w:t>
        </w:r>
      </w:hyperlink>
      <w:hyperlink r:id="rId17">
        <w:r>
          <w:rPr>
            <w:rFonts w:ascii="Times New Roman" w:eastAsia="Times New Roman" w:hAnsi="Times New Roman" w:cs="Times New Roman"/>
            <w:color w:val="1155CC"/>
            <w:sz w:val="24"/>
            <w:szCs w:val="24"/>
            <w:highlight w:val="white"/>
            <w:u w:val="single"/>
          </w:rPr>
          <w:t>/0718-1876/16/4/44</w:t>
        </w:r>
      </w:hyperlink>
      <w:r>
        <w:rPr>
          <w:rFonts w:ascii="Times New Roman" w:eastAsia="Times New Roman" w:hAnsi="Times New Roman" w:cs="Times New Roman"/>
          <w:color w:val="222222"/>
          <w:sz w:val="24"/>
          <w:szCs w:val="24"/>
          <w:highlight w:val="white"/>
        </w:rPr>
        <w:t xml:space="preserve"> (Accessed 21 May 2024)</w:t>
      </w:r>
    </w:p>
    <w:p w14:paraId="3078B683" w14:textId="77777777" w:rsidR="00964FA7"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Harrison, A., Skipworth, H., van Hoek, R.I. and Aitken, J., (2019). </w:t>
      </w:r>
      <w:r>
        <w:rPr>
          <w:rFonts w:ascii="Times New Roman" w:eastAsia="Times New Roman" w:hAnsi="Times New Roman" w:cs="Times New Roman"/>
          <w:i/>
          <w:color w:val="222222"/>
          <w:sz w:val="24"/>
          <w:szCs w:val="24"/>
          <w:highlight w:val="white"/>
        </w:rPr>
        <w:t>Logistics management and strategy: competing through the supply chain</w:t>
      </w:r>
      <w:r>
        <w:rPr>
          <w:rFonts w:ascii="Times New Roman" w:eastAsia="Times New Roman" w:hAnsi="Times New Roman" w:cs="Times New Roman"/>
          <w:color w:val="222222"/>
          <w:sz w:val="24"/>
          <w:szCs w:val="24"/>
          <w:highlight w:val="white"/>
        </w:rPr>
        <w:t>. Pearson UK. Available at:</w:t>
      </w:r>
      <w:hyperlink r:id="rId18">
        <w:r>
          <w:rPr>
            <w:rFonts w:ascii="Times New Roman" w:eastAsia="Times New Roman" w:hAnsi="Times New Roman" w:cs="Times New Roman"/>
            <w:color w:val="222222"/>
            <w:sz w:val="24"/>
            <w:szCs w:val="24"/>
            <w:highlight w:val="white"/>
          </w:rPr>
          <w:t xml:space="preserve"> </w:t>
        </w:r>
      </w:hyperlink>
      <w:hyperlink r:id="rId19">
        <w:r>
          <w:rPr>
            <w:rFonts w:ascii="Times New Roman" w:eastAsia="Times New Roman" w:hAnsi="Times New Roman" w:cs="Times New Roman"/>
            <w:color w:val="1155CC"/>
            <w:sz w:val="24"/>
            <w:szCs w:val="24"/>
            <w:highlight w:val="white"/>
            <w:u w:val="single"/>
          </w:rPr>
          <w:t>https://</w:t>
        </w:r>
      </w:hyperlink>
      <w:hyperlink r:id="rId20">
        <w:r>
          <w:rPr>
            <w:rFonts w:ascii="Times New Roman" w:eastAsia="Times New Roman" w:hAnsi="Times New Roman" w:cs="Times New Roman"/>
            <w:color w:val="1155CC"/>
            <w:sz w:val="24"/>
            <w:szCs w:val="24"/>
            <w:highlight w:val="white"/>
            <w:u w:val="single"/>
          </w:rPr>
          <w:t>www.doi.org</w:t>
        </w:r>
      </w:hyperlink>
      <w:hyperlink r:id="rId21">
        <w:r>
          <w:rPr>
            <w:rFonts w:ascii="Times New Roman" w:eastAsia="Times New Roman" w:hAnsi="Times New Roman" w:cs="Times New Roman"/>
            <w:color w:val="1155CC"/>
            <w:sz w:val="24"/>
            <w:szCs w:val="24"/>
            <w:highlight w:val="white"/>
            <w:u w:val="single"/>
          </w:rPr>
          <w:t>/3739858239</w:t>
        </w:r>
      </w:hyperlink>
      <w:r>
        <w:rPr>
          <w:rFonts w:ascii="Times New Roman" w:eastAsia="Times New Roman" w:hAnsi="Times New Roman" w:cs="Times New Roman"/>
          <w:color w:val="222222"/>
          <w:sz w:val="24"/>
          <w:szCs w:val="24"/>
          <w:highlight w:val="white"/>
        </w:rPr>
        <w:t xml:space="preserve"> (Accessed 21 May 2024)</w:t>
      </w:r>
    </w:p>
    <w:p w14:paraId="21FE8FEA" w14:textId="77777777" w:rsidR="00964FA7" w:rsidRDefault="00000000">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E101A"/>
          <w:sz w:val="24"/>
          <w:szCs w:val="24"/>
          <w:highlight w:val="white"/>
        </w:rPr>
        <w:t xml:space="preserve">Hempel, M.D.S.S., Colepicolo, P. and Zambotti-Villela, L., 2023. Macroalgae Biorefinery for the Cosmetic Industry: Basic Concept, Green Technology, and Safety Guidelines. </w:t>
      </w:r>
      <w:r>
        <w:rPr>
          <w:rFonts w:ascii="Times New Roman" w:eastAsia="Times New Roman" w:hAnsi="Times New Roman" w:cs="Times New Roman"/>
          <w:i/>
          <w:color w:val="0E101A"/>
          <w:sz w:val="24"/>
          <w:szCs w:val="24"/>
          <w:highlight w:val="white"/>
        </w:rPr>
        <w:t>Phycology</w:t>
      </w:r>
      <w:r>
        <w:rPr>
          <w:rFonts w:ascii="Times New Roman" w:eastAsia="Times New Roman" w:hAnsi="Times New Roman" w:cs="Times New Roman"/>
          <w:color w:val="0E101A"/>
          <w:sz w:val="24"/>
          <w:szCs w:val="24"/>
          <w:highlight w:val="white"/>
        </w:rPr>
        <w:t xml:space="preserve">, </w:t>
      </w:r>
      <w:r>
        <w:rPr>
          <w:rFonts w:ascii="Times New Roman" w:eastAsia="Times New Roman" w:hAnsi="Times New Roman" w:cs="Times New Roman"/>
          <w:i/>
          <w:color w:val="0E101A"/>
          <w:sz w:val="24"/>
          <w:szCs w:val="24"/>
          <w:highlight w:val="white"/>
        </w:rPr>
        <w:t>3</w:t>
      </w:r>
      <w:r>
        <w:rPr>
          <w:rFonts w:ascii="Times New Roman" w:eastAsia="Times New Roman" w:hAnsi="Times New Roman" w:cs="Times New Roman"/>
          <w:color w:val="0E101A"/>
          <w:sz w:val="24"/>
          <w:szCs w:val="24"/>
          <w:highlight w:val="white"/>
        </w:rPr>
        <w:t>(1), pp.211-241. Available at:</w:t>
      </w:r>
      <w:hyperlink r:id="rId22">
        <w:r>
          <w:rPr>
            <w:rFonts w:ascii="Times New Roman" w:eastAsia="Times New Roman" w:hAnsi="Times New Roman" w:cs="Times New Roman"/>
            <w:color w:val="0E101A"/>
            <w:sz w:val="24"/>
            <w:szCs w:val="24"/>
            <w:highlight w:val="white"/>
          </w:rPr>
          <w:t xml:space="preserve"> </w:t>
        </w:r>
      </w:hyperlink>
      <w:hyperlink r:id="rId23">
        <w:r>
          <w:rPr>
            <w:rFonts w:ascii="Times New Roman" w:eastAsia="Times New Roman" w:hAnsi="Times New Roman" w:cs="Times New Roman"/>
            <w:color w:val="1155CC"/>
            <w:sz w:val="24"/>
            <w:szCs w:val="24"/>
            <w:highlight w:val="white"/>
            <w:u w:val="single"/>
          </w:rPr>
          <w:t>https://doi.org/10.3390/phycology3010014</w:t>
        </w:r>
      </w:hyperlink>
      <w:r>
        <w:rPr>
          <w:rFonts w:ascii="Times New Roman" w:eastAsia="Times New Roman" w:hAnsi="Times New Roman" w:cs="Times New Roman"/>
          <w:color w:val="0E101A"/>
          <w:sz w:val="24"/>
          <w:szCs w:val="24"/>
          <w:highlight w:val="white"/>
        </w:rPr>
        <w:t xml:space="preserve"> </w:t>
      </w:r>
      <w:r>
        <w:rPr>
          <w:rFonts w:ascii="Times New Roman" w:eastAsia="Times New Roman" w:hAnsi="Times New Roman" w:cs="Times New Roman"/>
          <w:color w:val="222222"/>
          <w:sz w:val="24"/>
          <w:szCs w:val="24"/>
          <w:highlight w:val="white"/>
        </w:rPr>
        <w:t>(Accessed 21 May 2024)</w:t>
      </w:r>
    </w:p>
    <w:p w14:paraId="3DE3D30F" w14:textId="77777777" w:rsidR="00964FA7" w:rsidRDefault="00000000">
      <w:pPr>
        <w:spacing w:before="240"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222222"/>
          <w:sz w:val="24"/>
          <w:szCs w:val="24"/>
          <w:highlight w:val="white"/>
        </w:rPr>
        <w:t xml:space="preserve">Papageorgiadis, N., McDonald, F., Wang, C. and Konara, P., 2020. The characteristics of intellectual property rights regimes: How formal and informal institutions affect outward FDI location. </w:t>
      </w:r>
      <w:r>
        <w:rPr>
          <w:rFonts w:ascii="Times New Roman" w:eastAsia="Times New Roman" w:hAnsi="Times New Roman" w:cs="Times New Roman"/>
          <w:i/>
          <w:color w:val="222222"/>
          <w:sz w:val="24"/>
          <w:szCs w:val="24"/>
          <w:highlight w:val="white"/>
        </w:rPr>
        <w:t>International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 p.101620. Available at:</w:t>
      </w:r>
      <w:hyperlink r:id="rId24">
        <w:r>
          <w:rPr>
            <w:rFonts w:ascii="Times New Roman" w:eastAsia="Times New Roman" w:hAnsi="Times New Roman" w:cs="Times New Roman"/>
            <w:color w:val="222222"/>
            <w:sz w:val="24"/>
            <w:szCs w:val="24"/>
            <w:highlight w:val="white"/>
          </w:rPr>
          <w:t xml:space="preserve"> </w:t>
        </w:r>
      </w:hyperlink>
      <w:hyperlink r:id="rId25">
        <w:r>
          <w:rPr>
            <w:rFonts w:ascii="Times New Roman" w:eastAsia="Times New Roman" w:hAnsi="Times New Roman" w:cs="Times New Roman"/>
            <w:color w:val="1155CC"/>
            <w:sz w:val="24"/>
            <w:szCs w:val="24"/>
            <w:highlight w:val="white"/>
            <w:u w:val="single"/>
          </w:rPr>
          <w:t>https://doi.org/10.1016/j.ibusrev.2019.101620</w:t>
        </w:r>
      </w:hyperlink>
      <w:r>
        <w:rPr>
          <w:rFonts w:ascii="Times New Roman" w:eastAsia="Times New Roman" w:hAnsi="Times New Roman" w:cs="Times New Roman"/>
          <w:color w:val="222222"/>
          <w:sz w:val="24"/>
          <w:szCs w:val="24"/>
          <w:highlight w:val="white"/>
        </w:rPr>
        <w:t xml:space="preserve">  (Accessed 21 May 2024)</w:t>
      </w:r>
    </w:p>
    <w:p w14:paraId="6824B220" w14:textId="77777777" w:rsidR="00964FA7"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Qiu, T., Choy, S.B. and Luo, B., 2022. Is small beautiful? Links between agricultural mechanisation services and the productivity of different-sized farms. </w:t>
      </w:r>
      <w:r>
        <w:rPr>
          <w:rFonts w:ascii="Times New Roman" w:eastAsia="Times New Roman" w:hAnsi="Times New Roman" w:cs="Times New Roman"/>
          <w:i/>
          <w:color w:val="222222"/>
          <w:sz w:val="24"/>
          <w:szCs w:val="24"/>
          <w:highlight w:val="white"/>
        </w:rPr>
        <w:t>Applied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54</w:t>
      </w:r>
      <w:r>
        <w:rPr>
          <w:rFonts w:ascii="Times New Roman" w:eastAsia="Times New Roman" w:hAnsi="Times New Roman" w:cs="Times New Roman"/>
          <w:color w:val="222222"/>
          <w:sz w:val="24"/>
          <w:szCs w:val="24"/>
          <w:highlight w:val="white"/>
        </w:rPr>
        <w:t>(4), pp.430-442.</w:t>
      </w:r>
      <w:r>
        <w:rPr>
          <w:rFonts w:ascii="Times New Roman" w:eastAsia="Times New Roman" w:hAnsi="Times New Roman" w:cs="Times New Roman"/>
          <w:color w:val="222222"/>
          <w:sz w:val="24"/>
          <w:szCs w:val="24"/>
        </w:rPr>
        <w:t>Available at:</w:t>
      </w:r>
      <w:hyperlink r:id="rId26">
        <w:r>
          <w:rPr>
            <w:rFonts w:ascii="Times New Roman" w:eastAsia="Times New Roman" w:hAnsi="Times New Roman" w:cs="Times New Roman"/>
            <w:color w:val="222222"/>
            <w:sz w:val="24"/>
            <w:szCs w:val="24"/>
          </w:rPr>
          <w:t xml:space="preserve"> </w:t>
        </w:r>
      </w:hyperlink>
      <w:hyperlink r:id="rId27">
        <w:r>
          <w:rPr>
            <w:rFonts w:ascii="Times New Roman" w:eastAsia="Times New Roman" w:hAnsi="Times New Roman" w:cs="Times New Roman"/>
            <w:color w:val="1155CC"/>
            <w:sz w:val="24"/>
            <w:szCs w:val="24"/>
            <w:u w:val="single"/>
          </w:rPr>
          <w:t>https://doi.org/10.1080/00036846.2021.1963411</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highlight w:val="white"/>
        </w:rPr>
        <w:t>(Accessed 21 May 2024)</w:t>
      </w:r>
    </w:p>
    <w:p w14:paraId="62D260FF" w14:textId="77777777" w:rsidR="00964FA7"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Raab, K., Wagner, R., Ertz, M. and Salem, M., 2022. When marketing discourages consumption: demarketing of single-use plastics for city tourism in Ottawa, Canada. </w:t>
      </w:r>
      <w:r>
        <w:rPr>
          <w:rFonts w:ascii="Times New Roman" w:eastAsia="Times New Roman" w:hAnsi="Times New Roman" w:cs="Times New Roman"/>
          <w:i/>
          <w:color w:val="222222"/>
          <w:sz w:val="24"/>
          <w:szCs w:val="24"/>
          <w:highlight w:val="white"/>
        </w:rPr>
        <w:t>Journal of Ecotourism</w:t>
      </w:r>
      <w:r>
        <w:rPr>
          <w:rFonts w:ascii="Times New Roman" w:eastAsia="Times New Roman" w:hAnsi="Times New Roman" w:cs="Times New Roman"/>
          <w:color w:val="222222"/>
          <w:sz w:val="24"/>
          <w:szCs w:val="24"/>
          <w:highlight w:val="white"/>
        </w:rPr>
        <w:t>, pp.1-31.</w:t>
      </w:r>
      <w:r>
        <w:rPr>
          <w:rFonts w:ascii="Times New Roman" w:eastAsia="Times New Roman" w:hAnsi="Times New Roman" w:cs="Times New Roman"/>
          <w:color w:val="222222"/>
          <w:sz w:val="24"/>
          <w:szCs w:val="24"/>
        </w:rPr>
        <w:t>Available at:</w:t>
      </w:r>
      <w:hyperlink r:id="rId28">
        <w:r>
          <w:rPr>
            <w:rFonts w:ascii="Times New Roman" w:eastAsia="Times New Roman" w:hAnsi="Times New Roman" w:cs="Times New Roman"/>
            <w:color w:val="222222"/>
            <w:sz w:val="24"/>
            <w:szCs w:val="24"/>
          </w:rPr>
          <w:t xml:space="preserve"> </w:t>
        </w:r>
      </w:hyperlink>
      <w:hyperlink r:id="rId29">
        <w:r>
          <w:rPr>
            <w:rFonts w:ascii="Times New Roman" w:eastAsia="Times New Roman" w:hAnsi="Times New Roman" w:cs="Times New Roman"/>
            <w:color w:val="1155CC"/>
            <w:sz w:val="24"/>
            <w:szCs w:val="24"/>
            <w:u w:val="single"/>
          </w:rPr>
          <w:t>https://doi.org/10.1080/14724049.2022.2028794</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highlight w:val="white"/>
        </w:rPr>
        <w:t>(Accessed 21 May 2024)</w:t>
      </w:r>
    </w:p>
    <w:p w14:paraId="3BDFFBA4" w14:textId="77777777" w:rsidR="00964FA7"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Saji, S., Hebden, A., Goswami, P. and Du, C., 2022. A brief review of the development of the alginate extraction process and its sustainability.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(9), p.5181. Available at:</w:t>
      </w:r>
      <w:hyperlink r:id="rId30">
        <w:r>
          <w:rPr>
            <w:rFonts w:ascii="Times New Roman" w:eastAsia="Times New Roman" w:hAnsi="Times New Roman" w:cs="Times New Roman"/>
            <w:color w:val="222222"/>
            <w:sz w:val="24"/>
            <w:szCs w:val="24"/>
            <w:highlight w:val="white"/>
          </w:rPr>
          <w:t xml:space="preserve"> </w:t>
        </w:r>
      </w:hyperlink>
      <w:hyperlink r:id="rId31">
        <w:r>
          <w:rPr>
            <w:rFonts w:ascii="Times New Roman" w:eastAsia="Times New Roman" w:hAnsi="Times New Roman" w:cs="Times New Roman"/>
            <w:color w:val="1155CC"/>
            <w:sz w:val="24"/>
            <w:szCs w:val="24"/>
            <w:highlight w:val="white"/>
            <w:u w:val="single"/>
          </w:rPr>
          <w:t>https://doi.org/10.3390/su14095181</w:t>
        </w:r>
      </w:hyperlink>
      <w:r>
        <w:rPr>
          <w:rFonts w:ascii="Times New Roman" w:eastAsia="Times New Roman" w:hAnsi="Times New Roman" w:cs="Times New Roman"/>
          <w:color w:val="222222"/>
          <w:sz w:val="24"/>
          <w:szCs w:val="24"/>
          <w:highlight w:val="white"/>
        </w:rPr>
        <w:t xml:space="preserve"> (Accessed 21 May 2024)</w:t>
      </w:r>
    </w:p>
    <w:p w14:paraId="1AC596BA" w14:textId="77777777" w:rsidR="00964FA7" w:rsidRDefault="00000000">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 Z.M., Aggarwal, N., Cowls, J., Morley, J., Taddeo, M. and Floridi, L., 2021. The ethical debate about the gig economy: A review and critical analysis. </w:t>
      </w:r>
      <w:r>
        <w:rPr>
          <w:rFonts w:ascii="Times New Roman" w:eastAsia="Times New Roman" w:hAnsi="Times New Roman" w:cs="Times New Roman"/>
          <w:i/>
          <w:color w:val="222222"/>
          <w:sz w:val="24"/>
          <w:szCs w:val="24"/>
          <w:highlight w:val="white"/>
        </w:rPr>
        <w:t>Technology in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65</w:t>
      </w:r>
      <w:r>
        <w:rPr>
          <w:rFonts w:ascii="Times New Roman" w:eastAsia="Times New Roman" w:hAnsi="Times New Roman" w:cs="Times New Roman"/>
          <w:color w:val="222222"/>
          <w:sz w:val="24"/>
          <w:szCs w:val="24"/>
          <w:highlight w:val="white"/>
        </w:rPr>
        <w:t>, p.101594. Available at:</w:t>
      </w:r>
      <w:hyperlink r:id="rId32">
        <w:r>
          <w:rPr>
            <w:rFonts w:ascii="Times New Roman" w:eastAsia="Times New Roman" w:hAnsi="Times New Roman" w:cs="Times New Roman"/>
            <w:color w:val="222222"/>
            <w:sz w:val="24"/>
            <w:szCs w:val="24"/>
            <w:highlight w:val="white"/>
          </w:rPr>
          <w:t xml:space="preserve"> </w:t>
        </w:r>
      </w:hyperlink>
      <w:hyperlink r:id="rId33">
        <w:r>
          <w:rPr>
            <w:rFonts w:ascii="Times New Roman" w:eastAsia="Times New Roman" w:hAnsi="Times New Roman" w:cs="Times New Roman"/>
            <w:color w:val="1155CC"/>
            <w:sz w:val="24"/>
            <w:szCs w:val="24"/>
            <w:highlight w:val="white"/>
            <w:u w:val="single"/>
          </w:rPr>
          <w:t>https://doi.org/10.1016/j.techsoc.2021.101594</w:t>
        </w:r>
      </w:hyperlink>
      <w:r>
        <w:rPr>
          <w:rFonts w:ascii="Times New Roman" w:eastAsia="Times New Roman" w:hAnsi="Times New Roman" w:cs="Times New Roman"/>
          <w:color w:val="222222"/>
          <w:sz w:val="24"/>
          <w:szCs w:val="24"/>
          <w:highlight w:val="white"/>
        </w:rPr>
        <w:t xml:space="preserve"> (Accessed 21 May 2024)</w:t>
      </w:r>
    </w:p>
    <w:sectPr w:rsidR="00964FA7">
      <w:footerReference w:type="default" r:id="rId3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78FB1" w14:textId="77777777" w:rsidR="00A97FE4" w:rsidRDefault="00A97FE4">
      <w:pPr>
        <w:spacing w:line="240" w:lineRule="auto"/>
      </w:pPr>
      <w:r>
        <w:separator/>
      </w:r>
    </w:p>
  </w:endnote>
  <w:endnote w:type="continuationSeparator" w:id="0">
    <w:p w14:paraId="3CE35682" w14:textId="77777777" w:rsidR="00A97FE4" w:rsidRDefault="00A97F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2523A" w14:textId="77777777" w:rsidR="00964FA7" w:rsidRDefault="00000000">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6641E3">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3DE56" w14:textId="77777777" w:rsidR="00A97FE4" w:rsidRDefault="00A97FE4">
      <w:pPr>
        <w:spacing w:line="240" w:lineRule="auto"/>
      </w:pPr>
      <w:r>
        <w:separator/>
      </w:r>
    </w:p>
  </w:footnote>
  <w:footnote w:type="continuationSeparator" w:id="0">
    <w:p w14:paraId="191C993D" w14:textId="77777777" w:rsidR="00A97FE4" w:rsidRDefault="00A97F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4FA7"/>
    <w:rsid w:val="00020484"/>
    <w:rsid w:val="006641E3"/>
    <w:rsid w:val="00964FA7"/>
    <w:rsid w:val="00A97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AE106"/>
  <w15:docId w15:val="{12DABD0B-5066-48C8-9FA2-34E956154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10408398.2022.2036096" TargetMode="External"/><Relationship Id="rId13" Type="http://schemas.openxmlformats.org/officeDocument/2006/relationships/hyperlink" Target="https://www.mdpi.com/972948" TargetMode="External"/><Relationship Id="rId18" Type="http://schemas.openxmlformats.org/officeDocument/2006/relationships/hyperlink" Target="https://books.google.com/books?hl=en&amp;lr=&amp;id=RegsEAAAQBAJ&amp;oi=fnd&amp;pg=PT13&amp;dq=Marketing+strategy+in+the+fmcg+sector+in+uk&amp;ots=MXczBdt-iH&amp;sig=hbtXzKySWgQLbwXUsIgO3oXg7d8" TargetMode="External"/><Relationship Id="rId26" Type="http://schemas.openxmlformats.org/officeDocument/2006/relationships/hyperlink" Target="https://doi.org/10.1080/00036846.2021.1963411" TargetMode="External"/><Relationship Id="rId3" Type="http://schemas.openxmlformats.org/officeDocument/2006/relationships/settings" Target="settings.xml"/><Relationship Id="rId21" Type="http://schemas.openxmlformats.org/officeDocument/2006/relationships/hyperlink" Target="https://books.google.com/books?hl=en&amp;lr=&amp;id=RegsEAAAQBAJ&amp;oi=fnd&amp;pg=PT13&amp;dq=Marketing+strategy+in+the+fmcg+sector+in+uk&amp;ots=MXczBdt-iH&amp;sig=hbtXzKySWgQLbwXUsIgO3oXg7d8"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emerald.com/insight/content/doi/10.1108/IJRDM-11-2016-0211/full/html" TargetMode="External"/><Relationship Id="rId17" Type="http://schemas.openxmlformats.org/officeDocument/2006/relationships/hyperlink" Target="https://www.mdpi.com/0718-1876/16/4/44" TargetMode="External"/><Relationship Id="rId25" Type="http://schemas.openxmlformats.org/officeDocument/2006/relationships/hyperlink" Target="https://doi.org/10.1016/j.ibusrev.2019.101620" TargetMode="External"/><Relationship Id="rId33" Type="http://schemas.openxmlformats.org/officeDocument/2006/relationships/hyperlink" Target="https://doi.org/10.1016/j.techsoc.2021.101594" TargetMode="External"/><Relationship Id="rId2" Type="http://schemas.openxmlformats.org/officeDocument/2006/relationships/styles" Target="styles.xml"/><Relationship Id="rId16" Type="http://schemas.openxmlformats.org/officeDocument/2006/relationships/hyperlink" Target="https://www.emerald.com/insight/content/doi/10.1108/IJRDM-11-2016-0211/full/html" TargetMode="External"/><Relationship Id="rId20" Type="http://schemas.openxmlformats.org/officeDocument/2006/relationships/hyperlink" Target="https://www.emerald.com/insight/content/doi/10.1108/IJRDM-11-2016-0211/full/html" TargetMode="External"/><Relationship Id="rId29" Type="http://schemas.openxmlformats.org/officeDocument/2006/relationships/hyperlink" Target="https://doi.org/10.1080/14724049.2022.202879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972948" TargetMode="External"/><Relationship Id="rId24" Type="http://schemas.openxmlformats.org/officeDocument/2006/relationships/hyperlink" Target="https://doi.org/10.1016/j.ibusrev.2019.101620" TargetMode="External"/><Relationship Id="rId32" Type="http://schemas.openxmlformats.org/officeDocument/2006/relationships/hyperlink" Target="https://doi.org/10.1016/j.techsoc.2021.101594" TargetMode="External"/><Relationship Id="rId5" Type="http://schemas.openxmlformats.org/officeDocument/2006/relationships/footnotes" Target="footnotes.xml"/><Relationship Id="rId15" Type="http://schemas.openxmlformats.org/officeDocument/2006/relationships/hyperlink" Target="https://www.mdpi.com/0718-1876/16/4/44" TargetMode="External"/><Relationship Id="rId23" Type="http://schemas.openxmlformats.org/officeDocument/2006/relationships/hyperlink" Target="https://doi.org/10.3390/phycology3010014" TargetMode="External"/><Relationship Id="rId28" Type="http://schemas.openxmlformats.org/officeDocument/2006/relationships/hyperlink" Target="https://doi.org/10.1080/14724049.2022.2028794" TargetMode="External"/><Relationship Id="rId36" Type="http://schemas.openxmlformats.org/officeDocument/2006/relationships/theme" Target="theme/theme1.xml"/><Relationship Id="rId10" Type="http://schemas.openxmlformats.org/officeDocument/2006/relationships/hyperlink" Target="https://www.mdpi.com/972948" TargetMode="External"/><Relationship Id="rId19" Type="http://schemas.openxmlformats.org/officeDocument/2006/relationships/hyperlink" Target="https://books.google.com/books?hl=en&amp;lr=&amp;id=RegsEAAAQBAJ&amp;oi=fnd&amp;pg=PT13&amp;dq=Marketing+strategy+in+the+fmcg+sector+in+uk&amp;ots=MXczBdt-iH&amp;sig=hbtXzKySWgQLbwXUsIgO3oXg7d8" TargetMode="External"/><Relationship Id="rId31" Type="http://schemas.openxmlformats.org/officeDocument/2006/relationships/hyperlink" Target="https://doi.org/10.3390/su14095181" TargetMode="External"/><Relationship Id="rId4" Type="http://schemas.openxmlformats.org/officeDocument/2006/relationships/webSettings" Target="webSettings.xml"/><Relationship Id="rId9" Type="http://schemas.openxmlformats.org/officeDocument/2006/relationships/hyperlink" Target="https://doi.org/10.1080/10408398.2022.2036096" TargetMode="External"/><Relationship Id="rId14" Type="http://schemas.openxmlformats.org/officeDocument/2006/relationships/hyperlink" Target="https://www.mdpi.com/0718-1876/16/4/44" TargetMode="External"/><Relationship Id="rId22" Type="http://schemas.openxmlformats.org/officeDocument/2006/relationships/hyperlink" Target="https://doi.org/10.3390/phycology3010014" TargetMode="External"/><Relationship Id="rId27" Type="http://schemas.openxmlformats.org/officeDocument/2006/relationships/hyperlink" Target="https://doi.org/10.1080/00036846.2021.1963411" TargetMode="External"/><Relationship Id="rId30" Type="http://schemas.openxmlformats.org/officeDocument/2006/relationships/hyperlink" Target="https://doi.org/10.3390/su14095181"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FX+2/ZGblM5urO8eY8h7GUBTIw==">CgMxLjAyCGguZ2pkZ3hzMgloLjMwajB6bGwyCWguMWZvYjl0ZTIJaC4zem55c2g3MgloLjJldDkycDAyCGgudHlqY3d0MgloLjNkeTZ2a20yCWguMXQzaDVzZjIJaC40ZDM0b2c4MgloLjJzOGV5bzEyCWguMTdkcDh2dTgAciExXzlnNzdWUEJDSHo3cUt5Z3ZKRHBseV9keGg5RHVEYk8=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2475</Words>
  <Characters>14108</Characters>
  <Application>Microsoft Office Word</Application>
  <DocSecurity>0</DocSecurity>
  <Lines>117</Lines>
  <Paragraphs>33</Paragraphs>
  <ScaleCrop>false</ScaleCrop>
  <Company/>
  <LinksUpToDate>false</LinksUpToDate>
  <CharactersWithSpaces>16550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3</cp:revision>
  <dcterms:created xsi:type="dcterms:W3CDTF">2024-06-03T18:16:00Z</dcterms:created>
  <dcterms:modified xsi:type="dcterms:W3CDTF">2024-06-03T18:18:00Z</dcterms:modified>
</cp:coreProperties>
</file>