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eastAsia="zh-CN"/>
          <w14:ligatures w14:val="standardContextual"/>
        </w:rPr>
        <w:id w:val="459547944"/>
        <w:docPartObj>
          <w:docPartGallery w:val="Cover Pages"/>
          <w:docPartUnique/>
        </w:docPartObj>
      </w:sdtPr>
      <w:sdtEndPr/>
      <w:sdtContent>
        <w:p w14:paraId="482102BA" w14:textId="77777777" w:rsidR="006E3075" w:rsidRPr="00496BD7" w:rsidRDefault="006E3075" w:rsidP="00DB27A2">
          <w:pPr>
            <w:jc w:val="center"/>
            <w:rPr>
              <w:sz w:val="24"/>
              <w:szCs w:val="24"/>
            </w:rPr>
          </w:pPr>
          <w:r>
            <w:rPr>
              <w:noProof/>
              <w:sz w:val="24"/>
              <w:szCs w:val="24"/>
            </w:rPr>
            <mc:AlternateContent>
              <mc:Choice Requires="wpg">
                <w:drawing>
                  <wp:anchor distT="0" distB="0" distL="114300" distR="114300" simplePos="0" relativeHeight="251658242"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76AECC" w14:textId="0C1CB2BC" w:rsidR="004E3F95" w:rsidRPr="004E3F95" w:rsidRDefault="004E3F95" w:rsidP="004E3F95">
                                  <w:pPr>
                                    <w:jc w:val="right"/>
                                    <w:rPr>
                                      <w:sz w:val="24"/>
                                      <w:szCs w:val="24"/>
                                      <w:lang w:val="uk-UA"/>
                                    </w:rPr>
                                  </w:pPr>
                                  <w:r w:rsidRPr="004E3F95">
                                    <w:rPr>
                                      <w:sz w:val="24"/>
                                      <w:szCs w:val="24"/>
                                      <w:lang w:val="uk-UA"/>
                                    </w:rPr>
                                    <w:t>10.08.2026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3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4876AECC" w14:textId="0C1CB2BC" w:rsidR="004E3F95" w:rsidRPr="004E3F95" w:rsidRDefault="004E3F95" w:rsidP="004E3F95">
                            <w:pPr>
                              <w:jc w:val="right"/>
                              <w:rPr>
                                <w:sz w:val="24"/>
                                <w:szCs w:val="24"/>
                                <w:lang w:val="uk-UA"/>
                              </w:rPr>
                            </w:pPr>
                            <w:r w:rsidRPr="004E3F95">
                              <w:rPr>
                                <w:sz w:val="24"/>
                                <w:szCs w:val="24"/>
                                <w:lang w:val="uk-UA"/>
                              </w:rPr>
                              <w:t>10.08.2026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sz w:val="24"/>
              <w:szCs w:val="24"/>
            </w:rPr>
            <mc:AlternateContent>
              <mc:Choice Requires="wps">
                <w:drawing>
                  <wp:anchor distT="0" distB="0" distL="114300" distR="114300" simplePos="0" relativeHeight="251658243"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63D6F4" w14:textId="77777777" w:rsidR="006E3075" w:rsidRDefault="006E3075">
                                <w:pPr>
                                  <w:rPr>
                                    <w:color w:val="156082" w:themeColor="accent1"/>
                                    <w:sz w:val="26"/>
                                    <w:szCs w:val="26"/>
                                  </w:rPr>
                                </w:pPr>
                                <w:r>
                                  <w:rPr>
                                    <w:color w:val="156082" w:themeColor="accent1"/>
                                    <w:sz w:val="26"/>
                                    <w:szCs w:val="26"/>
                                  </w:rPr>
                                  <w:t>University of Wales Trinity Saint David</w:t>
                                </w:r>
                              </w:p>
                              <w:p w14:paraId="373A24BD" w14:textId="77777777" w:rsidR="006E3075" w:rsidRDefault="007E0D43">
                                <w:pPr>
                                  <w:rPr>
                                    <w:color w:val="595959" w:themeColor="text1" w:themeTint="A6"/>
                                    <w:sz w:val="20"/>
                                    <w:szCs w:val="20"/>
                                  </w:rPr>
                                </w:pPr>
                                <w:sdt>
                                  <w:sdtPr>
                                    <w:rPr>
                                      <w:caps/>
                                      <w:color w:val="595959" w:themeColor="text1" w:themeTint="A6"/>
                                      <w:sz w:val="20"/>
                                      <w:szCs w:val="20"/>
                                    </w:rPr>
                                    <w:alias w:val="Company"/>
                                    <w:tag w:val=""/>
                                    <w:id w:val="1558814826"/>
                                    <w:text/>
                                  </w:sdtPr>
                                  <w:sdtEndPr/>
                                  <w:sdtContent>
                                    <w:r w:rsidR="006E3075">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3;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E63D6F4" w14:textId="77777777" w:rsidR="006E3075" w:rsidRDefault="006E3075">
                          <w:pPr>
                            <w:rPr>
                              <w:color w:val="156082" w:themeColor="accent1"/>
                              <w:sz w:val="26"/>
                              <w:szCs w:val="26"/>
                            </w:rPr>
                          </w:pPr>
                          <w:r>
                            <w:rPr>
                              <w:color w:val="156082" w:themeColor="accent1"/>
                              <w:sz w:val="26"/>
                              <w:szCs w:val="26"/>
                            </w:rPr>
                            <w:t>University of Wales Trinity Saint David</w:t>
                          </w:r>
                        </w:p>
                        <w:p w14:paraId="373A24BD" w14:textId="77777777" w:rsidR="006E3075" w:rsidRDefault="007E0D43">
                          <w:pPr>
                            <w:rPr>
                              <w:color w:val="595959" w:themeColor="text1" w:themeTint="A6"/>
                              <w:sz w:val="20"/>
                              <w:szCs w:val="20"/>
                            </w:rPr>
                          </w:pPr>
                          <w:sdt>
                            <w:sdtPr>
                              <w:rPr>
                                <w:caps/>
                                <w:color w:val="595959" w:themeColor="text1" w:themeTint="A6"/>
                                <w:sz w:val="20"/>
                                <w:szCs w:val="20"/>
                              </w:rPr>
                              <w:alias w:val="Company"/>
                              <w:tag w:val=""/>
                              <w:id w:val="1558814826"/>
                              <w:text/>
                            </w:sdtPr>
                            <w:sdtEndPr/>
                            <w:sdtContent>
                              <w:r w:rsidR="006E3075">
                                <w:rPr>
                                  <w:caps/>
                                  <w:color w:val="595959" w:themeColor="text1" w:themeTint="A6"/>
                                  <w:sz w:val="20"/>
                                  <w:szCs w:val="20"/>
                                </w:rPr>
                                <w:t>London campus</w:t>
                              </w:r>
                            </w:sdtContent>
                          </w:sdt>
                        </w:p>
                      </w:txbxContent>
                    </v:textbox>
                    <w10:wrap anchorx="page" anchory="page"/>
                  </v:shape>
                </w:pict>
              </mc:Fallback>
            </mc:AlternateContent>
          </w:r>
        </w:p>
        <w:p w14:paraId="35727954" w14:textId="20547F96" w:rsidR="006E3075" w:rsidRDefault="004E3F95" w:rsidP="00CF28D1">
          <w:pPr>
            <w:pStyle w:val="ListParagraph"/>
            <w:sectPr w:rsidR="006E3075" w:rsidSect="0099288C">
              <w:headerReference w:type="even" r:id="rId11"/>
              <w:headerReference w:type="default" r:id="rId12"/>
              <w:footerReference w:type="even" r:id="rId13"/>
              <w:footerReference w:type="default" r:id="rId14"/>
              <w:headerReference w:type="first" r:id="rId15"/>
              <w:footerReference w:type="first" r:id="rId16"/>
              <w:pgSz w:w="11906" w:h="16838"/>
              <w:pgMar w:top="1134" w:right="1134" w:bottom="1134" w:left="1134" w:header="709" w:footer="709" w:gutter="0"/>
              <w:pgNumType w:start="1"/>
              <w:cols w:space="720"/>
              <w:docGrid w:linePitch="360"/>
            </w:sectPr>
          </w:pPr>
          <w:r>
            <w:rPr>
              <w:noProof/>
            </w:rPr>
            <mc:AlternateContent>
              <mc:Choice Requires="wps">
                <w:drawing>
                  <wp:anchor distT="0" distB="0" distL="114300" distR="114300" simplePos="0" relativeHeight="251658241" behindDoc="0" locked="0" layoutInCell="1" allowOverlap="1" wp14:anchorId="4969FA37" wp14:editId="71DFB58F">
                    <wp:simplePos x="0" y="0"/>
                    <wp:positionH relativeFrom="margin">
                      <wp:posOffset>2060149</wp:posOffset>
                    </wp:positionH>
                    <wp:positionV relativeFrom="page">
                      <wp:posOffset>1868170</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B1FC0" w14:textId="77777777" w:rsidR="006E3075" w:rsidRPr="00170BB1" w:rsidRDefault="006E3075" w:rsidP="00170BB1">
                                <w:pPr>
                                  <w:spacing w:before="120"/>
                                  <w:rPr>
                                    <w:rFonts w:asciiTheme="majorHAnsi" w:eastAsiaTheme="majorEastAsia" w:hAnsiTheme="majorHAnsi" w:cstheme="majorBidi"/>
                                    <w:b/>
                                    <w:bCs/>
                                    <w:color w:val="262626" w:themeColor="text1" w:themeTint="D9"/>
                                    <w:sz w:val="56"/>
                                    <w:szCs w:val="56"/>
                                    <w:lang w:val="uk-UA" w:eastAsia="en-US"/>
                                  </w:rPr>
                                </w:pPr>
                                <w:r>
                                  <w:rPr>
                                    <w:rFonts w:asciiTheme="majorHAnsi" w:eastAsiaTheme="majorEastAsia" w:hAnsiTheme="majorHAnsi" w:cstheme="majorBidi"/>
                                    <w:b/>
                                    <w:bCs/>
                                    <w:color w:val="262626" w:themeColor="text1" w:themeTint="D9"/>
                                    <w:sz w:val="36"/>
                                    <w:szCs w:val="36"/>
                                    <w:lang w:eastAsia="en-US"/>
                                  </w:rPr>
                                  <w:t xml:space="preserve">A Cybersecurity Strategy for </w:t>
                                </w:r>
                                <w:proofErr w:type="spellStart"/>
                                <w:r>
                                  <w:rPr>
                                    <w:rFonts w:asciiTheme="majorHAnsi" w:eastAsiaTheme="majorEastAsia" w:hAnsiTheme="majorHAnsi" w:cstheme="majorBidi"/>
                                    <w:b/>
                                    <w:bCs/>
                                    <w:color w:val="262626" w:themeColor="text1" w:themeTint="D9"/>
                                    <w:sz w:val="36"/>
                                    <w:szCs w:val="36"/>
                                    <w:lang w:eastAsia="en-US"/>
                                  </w:rPr>
                                  <w:t>SteelForm</w:t>
                                </w:r>
                                <w:proofErr w:type="spellEnd"/>
                                <w:r>
                                  <w:rPr>
                                    <w:rFonts w:asciiTheme="majorHAnsi" w:eastAsiaTheme="majorEastAsia" w:hAnsiTheme="majorHAnsi" w:cstheme="majorBidi"/>
                                    <w:b/>
                                    <w:bCs/>
                                    <w:color w:val="262626" w:themeColor="text1" w:themeTint="D9"/>
                                    <w:sz w:val="36"/>
                                    <w:szCs w:val="36"/>
                                    <w:lang w:eastAsia="en-US"/>
                                  </w:rPr>
                                  <w:t xml:space="preserve"> Manufacturing Ltd (SFM)</w:t>
                                </w:r>
                              </w:p>
                              <w:p w14:paraId="745DF911" w14:textId="77777777" w:rsidR="006E3075" w:rsidRDefault="006E307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162.2pt;margin-top:147.1pt;width:300pt;height:69.7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" filled="f" stroked="f" strokeweight=".5pt">
                    <v:textbox inset="0,0,0,0">
                      <w:txbxContent>
                        <w:p w14:paraId="5FDB1FC0" w14:textId="77777777" w:rsidR="006E3075" w:rsidRPr="00170BB1" w:rsidRDefault="006E3075" w:rsidP="00170BB1">
                          <w:pPr>
                            <w:spacing w:before="120"/>
                            <w:rPr>
                              <w:rFonts w:asciiTheme="majorHAnsi" w:eastAsiaTheme="majorEastAsia" w:hAnsiTheme="majorHAnsi" w:cstheme="majorBidi"/>
                              <w:b/>
                              <w:bCs/>
                              <w:color w:val="262626" w:themeColor="text1" w:themeTint="D9"/>
                              <w:sz w:val="56"/>
                              <w:szCs w:val="56"/>
                              <w:lang w:val="uk-UA" w:eastAsia="en-US"/>
                            </w:rPr>
                          </w:pPr>
                          <w:r>
                            <w:rPr>
                              <w:rFonts w:asciiTheme="majorHAnsi" w:eastAsiaTheme="majorEastAsia" w:hAnsiTheme="majorHAnsi" w:cstheme="majorBidi"/>
                              <w:b/>
                              <w:bCs/>
                              <w:color w:val="262626" w:themeColor="text1" w:themeTint="D9"/>
                              <w:sz w:val="36"/>
                              <w:szCs w:val="36"/>
                              <w:lang w:eastAsia="en-US"/>
                            </w:rPr>
                            <w:t xml:space="preserve">A Cybersecurity Strategy for </w:t>
                          </w:r>
                          <w:proofErr w:type="spellStart"/>
                          <w:r>
                            <w:rPr>
                              <w:rFonts w:asciiTheme="majorHAnsi" w:eastAsiaTheme="majorEastAsia" w:hAnsiTheme="majorHAnsi" w:cstheme="majorBidi"/>
                              <w:b/>
                              <w:bCs/>
                              <w:color w:val="262626" w:themeColor="text1" w:themeTint="D9"/>
                              <w:sz w:val="36"/>
                              <w:szCs w:val="36"/>
                              <w:lang w:eastAsia="en-US"/>
                            </w:rPr>
                            <w:t>SteelForm</w:t>
                          </w:r>
                          <w:proofErr w:type="spellEnd"/>
                          <w:r>
                            <w:rPr>
                              <w:rFonts w:asciiTheme="majorHAnsi" w:eastAsiaTheme="majorEastAsia" w:hAnsiTheme="majorHAnsi" w:cstheme="majorBidi"/>
                              <w:b/>
                              <w:bCs/>
                              <w:color w:val="262626" w:themeColor="text1" w:themeTint="D9"/>
                              <w:sz w:val="36"/>
                              <w:szCs w:val="36"/>
                              <w:lang w:eastAsia="en-US"/>
                            </w:rPr>
                            <w:t xml:space="preserve"> Manufacturing Ltd (SFM)</w:t>
                          </w:r>
                        </w:p>
                        <w:p w14:paraId="745DF911" w14:textId="77777777" w:rsidR="006E3075" w:rsidRDefault="006E3075">
                          <w:pPr>
                            <w:spacing w:before="120"/>
                            <w:rPr>
                              <w:color w:val="404040" w:themeColor="text1" w:themeTint="BF"/>
                              <w:sz w:val="36"/>
                              <w:szCs w:val="36"/>
                            </w:rPr>
                          </w:pPr>
                        </w:p>
                      </w:txbxContent>
                    </v:textbox>
                    <w10:wrap anchorx="margin" anchory="page"/>
                  </v:shape>
                </w:pict>
              </mc:Fallback>
            </mc:AlternateContent>
          </w:r>
          <w:r w:rsidR="006E3075">
            <w:rPr>
              <w:noProof/>
            </w:rPr>
            <mc:AlternateContent>
              <mc:Choice Requires="wps">
                <w:drawing>
                  <wp:anchor distT="45720" distB="45720" distL="114300" distR="114300" simplePos="0" relativeHeight="251658244" behindDoc="0" locked="0" layoutInCell="1" allowOverlap="1" wp14:anchorId="13A70B6E" wp14:editId="29361EAC">
                    <wp:simplePos x="0" y="0"/>
                    <wp:positionH relativeFrom="column">
                      <wp:posOffset>2902939</wp:posOffset>
                    </wp:positionH>
                    <wp:positionV relativeFrom="paragraph">
                      <wp:posOffset>3362647</wp:posOffset>
                    </wp:positionV>
                    <wp:extent cx="3556000" cy="2792095"/>
                    <wp:effectExtent l="0" t="0" r="2540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792095"/>
                            </a:xfrm>
                            <a:prstGeom prst="rect">
                              <a:avLst/>
                            </a:prstGeom>
                            <a:solidFill>
                              <a:srgbClr val="FFFFFF"/>
                            </a:solidFill>
                            <a:ln w="9525">
                              <a:solidFill>
                                <a:srgbClr val="000000"/>
                              </a:solidFill>
                              <a:miter lim="800000"/>
                              <a:headEnd/>
                              <a:tailEnd/>
                            </a:ln>
                          </wps:spPr>
                          <wps:txbx>
                            <w:txbxContent>
                              <w:p w14:paraId="36D7EE36" w14:textId="77777777" w:rsidR="006E3075" w:rsidRPr="00170BB1" w:rsidRDefault="006E3075">
                                <w:pPr>
                                  <w:rPr>
                                    <w:sz w:val="28"/>
                                    <w:szCs w:val="28"/>
                                    <w:lang w:val="uk-UA"/>
                                  </w:rPr>
                                </w:pPr>
                                <w:r>
                                  <w:rPr>
                                    <w:rFonts w:ascii="Abadi ExtraLight" w:hAnsi="Abadi ExtraLight"/>
                                    <w:sz w:val="28"/>
                                    <w:szCs w:val="28"/>
                                  </w:rPr>
                                  <w:t>Module Name: Network and Cybersecurity Essentials</w:t>
                                </w:r>
                              </w:p>
                              <w:p w14:paraId="14DA704D" w14:textId="77777777" w:rsidR="006E3075" w:rsidRPr="00170BB1" w:rsidRDefault="006E3075">
                                <w:pPr>
                                  <w:rPr>
                                    <w:sz w:val="28"/>
                                    <w:szCs w:val="28"/>
                                    <w:lang w:val="uk-UA"/>
                                  </w:rPr>
                                </w:pPr>
                                <w:r>
                                  <w:rPr>
                                    <w:rFonts w:ascii="Abadi ExtraLight" w:hAnsi="Abadi ExtraLight"/>
                                    <w:sz w:val="28"/>
                                    <w:szCs w:val="28"/>
                                  </w:rPr>
                                  <w:t>Module Code: ACCA4024_LON</w:t>
                                </w:r>
                              </w:p>
                              <w:p w14:paraId="1B12F5EB" w14:textId="77777777" w:rsidR="006E3075" w:rsidRPr="00170BB1" w:rsidRDefault="006E3075">
                                <w:pPr>
                                  <w:rPr>
                                    <w:sz w:val="28"/>
                                    <w:szCs w:val="28"/>
                                    <w:lang w:val="uk-UA"/>
                                  </w:rPr>
                                </w:pPr>
                              </w:p>
                              <w:p w14:paraId="4170F7D6" w14:textId="77777777" w:rsidR="006E3075" w:rsidRPr="00170BB1" w:rsidRDefault="006E3075">
                                <w:pPr>
                                  <w:rPr>
                                    <w:rFonts w:ascii="Abadi ExtraLight" w:hAnsi="Abadi ExtraLight"/>
                                    <w:sz w:val="28"/>
                                    <w:szCs w:val="28"/>
                                  </w:rPr>
                                </w:pPr>
                                <w:r>
                                  <w:rPr>
                                    <w:rFonts w:ascii="Abadi ExtraLight" w:hAnsi="Abadi ExtraLight"/>
                                    <w:sz w:val="28"/>
                                    <w:szCs w:val="28"/>
                                  </w:rPr>
                                  <w:t>Student Name: Yaroslav Tsyrul</w:t>
                                </w:r>
                              </w:p>
                              <w:p w14:paraId="25E0A0D0" w14:textId="77777777" w:rsidR="006E3075" w:rsidRPr="00170BB1" w:rsidRDefault="006E3075">
                                <w:pPr>
                                  <w:rPr>
                                    <w:rFonts w:ascii="Abadi ExtraLight" w:hAnsi="Abadi ExtraLight"/>
                                    <w:sz w:val="28"/>
                                    <w:szCs w:val="28"/>
                                  </w:rPr>
                                </w:pPr>
                                <w:r>
                                  <w:rPr>
                                    <w:rFonts w:ascii="Abadi ExtraLight" w:hAnsi="Abadi ExtraLight"/>
                                    <w:sz w:val="28"/>
                                    <w:szCs w:val="28"/>
                                  </w:rPr>
                                  <w:t>Student ID: 2511421</w:t>
                                </w:r>
                              </w:p>
                              <w:p w14:paraId="35861DC3" w14:textId="77777777" w:rsidR="006E3075" w:rsidRPr="00170BB1" w:rsidRDefault="006E3075">
                                <w:pPr>
                                  <w:rPr>
                                    <w:rFonts w:ascii="Abadi ExtraLight" w:hAnsi="Abadi ExtraLight"/>
                                    <w:sz w:val="28"/>
                                    <w:szCs w:val="28"/>
                                  </w:rPr>
                                </w:pPr>
                                <w:r>
                                  <w:rPr>
                                    <w:rFonts w:ascii="Abadi ExtraLight" w:hAnsi="Abadi ExtraLight"/>
                                    <w:sz w:val="28"/>
                                    <w:szCs w:val="28"/>
                                  </w:rPr>
                                  <w:t>Group: 4</w:t>
                                </w:r>
                              </w:p>
                              <w:p w14:paraId="75307F47" w14:textId="77777777" w:rsidR="006E3075" w:rsidRPr="00170BB1" w:rsidRDefault="006E3075">
                                <w:pPr>
                                  <w:rPr>
                                    <w:rFonts w:ascii="Abadi ExtraLight" w:hAnsi="Abadi ExtraLight"/>
                                    <w:sz w:val="28"/>
                                    <w:szCs w:val="28"/>
                                  </w:rPr>
                                </w:pPr>
                              </w:p>
                              <w:p w14:paraId="608FC4E5" w14:textId="77777777" w:rsidR="006E3075" w:rsidRPr="00205E81" w:rsidRDefault="006E3075" w:rsidP="00205E81">
                                <w:pPr>
                                  <w:rPr>
                                    <w:rFonts w:ascii="Abadi ExtraLight" w:hAnsi="Abadi ExtraLight"/>
                                    <w:sz w:val="28"/>
                                    <w:szCs w:val="28"/>
                                  </w:rPr>
                                </w:pPr>
                                <w:r>
                                  <w:rPr>
                                    <w:rFonts w:ascii="Abadi ExtraLight" w:hAnsi="Abadi ExtraLight"/>
                                    <w:sz w:val="28"/>
                                    <w:szCs w:val="28"/>
                                  </w:rPr>
                                  <w:t xml:space="preserve">Lecturer’s Name: </w:t>
                                </w:r>
                                <w:r w:rsidRPr="00205E81">
                                  <w:rPr>
                                    <w:rFonts w:ascii="Abadi ExtraLight" w:hAnsi="Abadi ExtraLight"/>
                                    <w:sz w:val="28"/>
                                    <w:szCs w:val="28"/>
                                  </w:rPr>
                                  <w:t>Dr Anum Paracha</w:t>
                                </w:r>
                              </w:p>
                              <w:p w14:paraId="06817A02" w14:textId="77777777" w:rsidR="006E3075" w:rsidRDefault="006E3075"/>
                              <w:p w14:paraId="30325906" w14:textId="77777777" w:rsidR="006E3075" w:rsidRDefault="006E30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margin-left:228.6pt;margin-top:264.8pt;width:280pt;height:219.8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">
                    <v:textbox>
                      <w:txbxContent>
                        <w:p w14:paraId="36D7EE36" w14:textId="77777777" w:rsidR="006E3075" w:rsidRPr="00170BB1" w:rsidRDefault="006E3075">
                          <w:pPr>
                            <w:rPr>
                              <w:sz w:val="28"/>
                              <w:szCs w:val="28"/>
                              <w:lang w:val="uk-UA"/>
                            </w:rPr>
                          </w:pPr>
                          <w:r>
                            <w:rPr>
                              <w:rFonts w:ascii="Abadi ExtraLight" w:hAnsi="Abadi ExtraLight"/>
                              <w:sz w:val="28"/>
                              <w:szCs w:val="28"/>
                            </w:rPr>
                            <w:t>Module Name: Network and Cybersecurity Essentials</w:t>
                          </w:r>
                        </w:p>
                        <w:p w14:paraId="14DA704D" w14:textId="77777777" w:rsidR="006E3075" w:rsidRPr="00170BB1" w:rsidRDefault="006E3075">
                          <w:pPr>
                            <w:rPr>
                              <w:sz w:val="28"/>
                              <w:szCs w:val="28"/>
                              <w:lang w:val="uk-UA"/>
                            </w:rPr>
                          </w:pPr>
                          <w:r>
                            <w:rPr>
                              <w:rFonts w:ascii="Abadi ExtraLight" w:hAnsi="Abadi ExtraLight"/>
                              <w:sz w:val="28"/>
                              <w:szCs w:val="28"/>
                            </w:rPr>
                            <w:t>Module Code: ACCA4024_LON</w:t>
                          </w:r>
                        </w:p>
                        <w:p w14:paraId="1B12F5EB" w14:textId="77777777" w:rsidR="006E3075" w:rsidRPr="00170BB1" w:rsidRDefault="006E3075">
                          <w:pPr>
                            <w:rPr>
                              <w:sz w:val="28"/>
                              <w:szCs w:val="28"/>
                              <w:lang w:val="uk-UA"/>
                            </w:rPr>
                          </w:pPr>
                        </w:p>
                        <w:p w14:paraId="4170F7D6" w14:textId="77777777" w:rsidR="006E3075" w:rsidRPr="00170BB1" w:rsidRDefault="006E3075">
                          <w:pPr>
                            <w:rPr>
                              <w:rFonts w:ascii="Abadi ExtraLight" w:hAnsi="Abadi ExtraLight"/>
                              <w:sz w:val="28"/>
                              <w:szCs w:val="28"/>
                            </w:rPr>
                          </w:pPr>
                          <w:r>
                            <w:rPr>
                              <w:rFonts w:ascii="Abadi ExtraLight" w:hAnsi="Abadi ExtraLight"/>
                              <w:sz w:val="28"/>
                              <w:szCs w:val="28"/>
                            </w:rPr>
                            <w:t>Student Name: Yaroslav Tsyrul</w:t>
                          </w:r>
                        </w:p>
                        <w:p w14:paraId="25E0A0D0" w14:textId="77777777" w:rsidR="006E3075" w:rsidRPr="00170BB1" w:rsidRDefault="006E3075">
                          <w:pPr>
                            <w:rPr>
                              <w:rFonts w:ascii="Abadi ExtraLight" w:hAnsi="Abadi ExtraLight"/>
                              <w:sz w:val="28"/>
                              <w:szCs w:val="28"/>
                            </w:rPr>
                          </w:pPr>
                          <w:r>
                            <w:rPr>
                              <w:rFonts w:ascii="Abadi ExtraLight" w:hAnsi="Abadi ExtraLight"/>
                              <w:sz w:val="28"/>
                              <w:szCs w:val="28"/>
                            </w:rPr>
                            <w:t>Student ID: 2511421</w:t>
                          </w:r>
                        </w:p>
                        <w:p w14:paraId="35861DC3" w14:textId="77777777" w:rsidR="006E3075" w:rsidRPr="00170BB1" w:rsidRDefault="006E3075">
                          <w:pPr>
                            <w:rPr>
                              <w:rFonts w:ascii="Abadi ExtraLight" w:hAnsi="Abadi ExtraLight"/>
                              <w:sz w:val="28"/>
                              <w:szCs w:val="28"/>
                            </w:rPr>
                          </w:pPr>
                          <w:r>
                            <w:rPr>
                              <w:rFonts w:ascii="Abadi ExtraLight" w:hAnsi="Abadi ExtraLight"/>
                              <w:sz w:val="28"/>
                              <w:szCs w:val="28"/>
                            </w:rPr>
                            <w:t>Group: 4</w:t>
                          </w:r>
                        </w:p>
                        <w:p w14:paraId="75307F47" w14:textId="77777777" w:rsidR="006E3075" w:rsidRPr="00170BB1" w:rsidRDefault="006E3075">
                          <w:pPr>
                            <w:rPr>
                              <w:rFonts w:ascii="Abadi ExtraLight" w:hAnsi="Abadi ExtraLight"/>
                              <w:sz w:val="28"/>
                              <w:szCs w:val="28"/>
                            </w:rPr>
                          </w:pPr>
                        </w:p>
                        <w:p w14:paraId="608FC4E5" w14:textId="77777777" w:rsidR="006E3075" w:rsidRPr="00205E81" w:rsidRDefault="006E3075" w:rsidP="00205E81">
                          <w:pPr>
                            <w:rPr>
                              <w:rFonts w:ascii="Abadi ExtraLight" w:hAnsi="Abadi ExtraLight"/>
                              <w:sz w:val="28"/>
                              <w:szCs w:val="28"/>
                            </w:rPr>
                          </w:pPr>
                          <w:r>
                            <w:rPr>
                              <w:rFonts w:ascii="Abadi ExtraLight" w:hAnsi="Abadi ExtraLight"/>
                              <w:sz w:val="28"/>
                              <w:szCs w:val="28"/>
                            </w:rPr>
                            <w:t xml:space="preserve">Lecturer’s Name: </w:t>
                          </w:r>
                          <w:r w:rsidRPr="00205E81">
                            <w:rPr>
                              <w:rFonts w:ascii="Abadi ExtraLight" w:hAnsi="Abadi ExtraLight"/>
                              <w:sz w:val="28"/>
                              <w:szCs w:val="28"/>
                            </w:rPr>
                            <w:t>Dr Anum Paracha</w:t>
                          </w:r>
                        </w:p>
                        <w:p w14:paraId="06817A02" w14:textId="77777777" w:rsidR="006E3075" w:rsidRDefault="006E3075"/>
                        <w:p w14:paraId="30325906" w14:textId="77777777" w:rsidR="006E3075" w:rsidRDefault="006E3075"/>
                      </w:txbxContent>
                    </v:textbox>
                    <w10:wrap type="square"/>
                  </v:shape>
                </w:pict>
              </mc:Fallback>
            </mc:AlternateContent>
          </w:r>
          <w:r w:rsidR="006E3075">
            <w:rPr>
              <w:noProof/>
            </w:rPr>
            <mc:AlternateContent>
              <mc:Choice Requires="wps">
                <w:drawing>
                  <wp:anchor distT="45720" distB="45720" distL="114300" distR="114300" simplePos="0" relativeHeight="251658240" behindDoc="0" locked="0" layoutInCell="1" allowOverlap="1" wp14:anchorId="2CA3D4BA" wp14:editId="2D7FF8A1">
                    <wp:simplePos x="0" y="0"/>
                    <wp:positionH relativeFrom="margin">
                      <wp:posOffset>3907670</wp:posOffset>
                    </wp:positionH>
                    <wp:positionV relativeFrom="paragraph">
                      <wp:posOffset>3631105</wp:posOffset>
                    </wp:positionV>
                    <wp:extent cx="484816" cy="391590"/>
                    <wp:effectExtent l="0" t="0" r="10795" b="2794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816" cy="391590"/>
                            </a:xfrm>
                            <a:prstGeom prst="rect">
                              <a:avLst/>
                            </a:prstGeom>
                            <a:solidFill>
                              <a:srgbClr val="FFFFFF"/>
                            </a:solidFill>
                            <a:ln w="9525">
                              <a:solidFill>
                                <a:srgbClr val="000000"/>
                              </a:solidFill>
                              <a:miter lim="800000"/>
                              <a:headEnd/>
                              <a:tailEnd/>
                            </a:ln>
                          </wps:spPr>
                          <wps:txbx>
                            <w:txbxContent>
                              <w:p w14:paraId="400207C8" w14:textId="77777777" w:rsidR="006E3075" w:rsidRPr="00673589" w:rsidRDefault="006E3075">
                                <w:pPr>
                                  <w:rPr>
                                    <w:rFonts w:ascii="Abadi ExtraLight" w:hAnsi="Abadi ExtraLight"/>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_x0000_s1058" type="#_x0000_t202" style="position:absolute;margin-left:307.7pt;margin-top:285.9pt;width:38.15pt;height:30.8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">
                    <v:textbox>
                      <w:txbxContent>
                        <w:p w14:paraId="400207C8" w14:textId="77777777" w:rsidR="006E3075" w:rsidRPr="00673589" w:rsidRDefault="006E3075">
                          <w:pPr>
                            <w:rPr>
                              <w:rFonts w:ascii="Abadi ExtraLight" w:hAnsi="Abadi ExtraLight"/>
                              <w:b/>
                              <w:bCs/>
                              <w:sz w:val="28"/>
                              <w:szCs w:val="28"/>
                            </w:rPr>
                          </w:pPr>
                        </w:p>
                      </w:txbxContent>
                    </v:textbox>
                    <w10:wrap type="square" anchorx="margin"/>
                  </v:shape>
                </w:pict>
              </mc:Fallback>
            </mc:AlternateContent>
          </w:r>
        </w:p>
        <w:sdt>
          <w:sdtPr>
            <w:rPr>
              <w:rFonts w:ascii="Calibri" w:eastAsia="Calibri" w:hAnsi="Calibri" w:cs="Calibri"/>
              <w:color w:val="auto"/>
              <w:sz w:val="21"/>
              <w:szCs w:val="21"/>
              <w:lang w:val="en-GB" w:eastAsia="en-GB"/>
            </w:rPr>
            <w:id w:val="1368654511"/>
            <w:docPartObj>
              <w:docPartGallery w:val="Table of Contents"/>
              <w:docPartUnique/>
            </w:docPartObj>
          </w:sdtPr>
          <w:sdtEndPr>
            <w:rPr>
              <w:b/>
              <w:bCs/>
              <w:noProof/>
            </w:rPr>
          </w:sdtEndPr>
          <w:sdtContent>
            <w:p w14:paraId="0F2431A9" w14:textId="2C16F75C" w:rsidR="004E3F95" w:rsidRDefault="004E3F95">
              <w:pPr>
                <w:pStyle w:val="TOCHeading"/>
              </w:pPr>
              <w:r>
                <w:t>Contents</w:t>
              </w:r>
            </w:p>
            <w:p w14:paraId="65A81A5A" w14:textId="5CEBFDF4" w:rsidR="004E3F95" w:rsidRPr="004E3F95" w:rsidRDefault="004E3F95">
              <w:pPr>
                <w:pStyle w:val="TOC1"/>
                <w:tabs>
                  <w:tab w:val="right" w:leader="dot" w:pos="9530"/>
                </w:tabs>
                <w:rPr>
                  <w:noProof/>
                  <w:sz w:val="24"/>
                  <w:szCs w:val="24"/>
                </w:rPr>
              </w:pPr>
              <w:r>
                <w:fldChar w:fldCharType="begin"/>
              </w:r>
              <w:r>
                <w:instrText xml:space="preserve"> TOC \o "1-3" \h \z \u </w:instrText>
              </w:r>
              <w:r>
                <w:fldChar w:fldCharType="separate"/>
              </w:r>
              <w:hyperlink w:anchor="_Toc237302600" w:history="1">
                <w:r w:rsidRPr="004E3F95">
                  <w:rPr>
                    <w:rStyle w:val="Hyperlink"/>
                    <w:noProof/>
                    <w:sz w:val="24"/>
                    <w:szCs w:val="24"/>
                  </w:rPr>
                  <w:t>Abstract</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_Toc237302600 \h </w:instrText>
                </w:r>
                <w:r w:rsidRPr="004E3F95">
                  <w:rPr>
                    <w:noProof/>
                    <w:webHidden/>
                    <w:sz w:val="24"/>
                    <w:szCs w:val="24"/>
                  </w:rPr>
                </w:r>
                <w:r w:rsidRPr="004E3F95">
                  <w:rPr>
                    <w:noProof/>
                    <w:webHidden/>
                    <w:sz w:val="24"/>
                    <w:szCs w:val="24"/>
                  </w:rPr>
                  <w:fldChar w:fldCharType="separate"/>
                </w:r>
                <w:r w:rsidRPr="004E3F95">
                  <w:rPr>
                    <w:noProof/>
                    <w:webHidden/>
                    <w:sz w:val="24"/>
                    <w:szCs w:val="24"/>
                  </w:rPr>
                  <w:t>2</w:t>
                </w:r>
                <w:r w:rsidRPr="004E3F95">
                  <w:rPr>
                    <w:noProof/>
                    <w:webHidden/>
                    <w:sz w:val="24"/>
                    <w:szCs w:val="24"/>
                  </w:rPr>
                  <w:fldChar w:fldCharType="end"/>
                </w:r>
              </w:hyperlink>
            </w:p>
            <w:p w14:paraId="7D07E89A" w14:textId="44688147" w:rsidR="004E3F95" w:rsidRPr="004E3F95" w:rsidRDefault="004E3F95">
              <w:pPr>
                <w:pStyle w:val="TOC1"/>
                <w:tabs>
                  <w:tab w:val="right" w:leader="dot" w:pos="9530"/>
                </w:tabs>
                <w:rPr>
                  <w:noProof/>
                  <w:sz w:val="24"/>
                  <w:szCs w:val="24"/>
                </w:rPr>
              </w:pPr>
              <w:hyperlink w:anchor="_Toc237302601" w:history="1">
                <w:r w:rsidRPr="004E3F95">
                  <w:rPr>
                    <w:rStyle w:val="Hyperlink"/>
                    <w:noProof/>
                    <w:sz w:val="24"/>
                    <w:szCs w:val="24"/>
                  </w:rPr>
                  <w:t>1. Introduction</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_Toc237302601 \h </w:instrText>
                </w:r>
                <w:r w:rsidRPr="004E3F95">
                  <w:rPr>
                    <w:noProof/>
                    <w:webHidden/>
                    <w:sz w:val="24"/>
                    <w:szCs w:val="24"/>
                  </w:rPr>
                </w:r>
                <w:r w:rsidRPr="004E3F95">
                  <w:rPr>
                    <w:noProof/>
                    <w:webHidden/>
                    <w:sz w:val="24"/>
                    <w:szCs w:val="24"/>
                  </w:rPr>
                  <w:fldChar w:fldCharType="separate"/>
                </w:r>
                <w:r w:rsidRPr="004E3F95">
                  <w:rPr>
                    <w:noProof/>
                    <w:webHidden/>
                    <w:sz w:val="24"/>
                    <w:szCs w:val="24"/>
                  </w:rPr>
                  <w:t>2</w:t>
                </w:r>
                <w:r w:rsidRPr="004E3F95">
                  <w:rPr>
                    <w:noProof/>
                    <w:webHidden/>
                    <w:sz w:val="24"/>
                    <w:szCs w:val="24"/>
                  </w:rPr>
                  <w:fldChar w:fldCharType="end"/>
                </w:r>
              </w:hyperlink>
            </w:p>
            <w:p w14:paraId="33734A17" w14:textId="0B2CAE89" w:rsidR="004E3F95" w:rsidRPr="004E3F95" w:rsidRDefault="004E3F95">
              <w:pPr>
                <w:pStyle w:val="TOC1"/>
                <w:tabs>
                  <w:tab w:val="right" w:leader="dot" w:pos="9530"/>
                </w:tabs>
                <w:rPr>
                  <w:noProof/>
                  <w:sz w:val="24"/>
                  <w:szCs w:val="24"/>
                </w:rPr>
              </w:pPr>
              <w:hyperlink w:anchor="_Toc237302602" w:history="1">
                <w:r w:rsidRPr="004E3F95">
                  <w:rPr>
                    <w:rStyle w:val="Hyperlink"/>
                    <w:noProof/>
                    <w:sz w:val="24"/>
                    <w:szCs w:val="24"/>
                  </w:rPr>
                  <w:t>2. Organisational Context</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_Toc237302602 \h </w:instrText>
                </w:r>
                <w:r w:rsidRPr="004E3F95">
                  <w:rPr>
                    <w:noProof/>
                    <w:webHidden/>
                    <w:sz w:val="24"/>
                    <w:szCs w:val="24"/>
                  </w:rPr>
                </w:r>
                <w:r w:rsidRPr="004E3F95">
                  <w:rPr>
                    <w:noProof/>
                    <w:webHidden/>
                    <w:sz w:val="24"/>
                    <w:szCs w:val="24"/>
                  </w:rPr>
                  <w:fldChar w:fldCharType="separate"/>
                </w:r>
                <w:r w:rsidRPr="004E3F95">
                  <w:rPr>
                    <w:noProof/>
                    <w:webHidden/>
                    <w:sz w:val="24"/>
                    <w:szCs w:val="24"/>
                  </w:rPr>
                  <w:t>2</w:t>
                </w:r>
                <w:r w:rsidRPr="004E3F95">
                  <w:rPr>
                    <w:noProof/>
                    <w:webHidden/>
                    <w:sz w:val="24"/>
                    <w:szCs w:val="24"/>
                  </w:rPr>
                  <w:fldChar w:fldCharType="end"/>
                </w:r>
              </w:hyperlink>
            </w:p>
            <w:p w14:paraId="68EE2ECB" w14:textId="7B4CBA59" w:rsidR="004E3F95" w:rsidRPr="004E3F95" w:rsidRDefault="004E3F95">
              <w:pPr>
                <w:pStyle w:val="TOC1"/>
                <w:tabs>
                  <w:tab w:val="right" w:leader="dot" w:pos="9530"/>
                </w:tabs>
                <w:rPr>
                  <w:noProof/>
                  <w:sz w:val="24"/>
                  <w:szCs w:val="24"/>
                </w:rPr>
              </w:pPr>
              <w:hyperlink w:anchor="_Toc237302603" w:history="1">
                <w:r w:rsidRPr="004E3F95">
                  <w:rPr>
                    <w:rStyle w:val="Hyperlink"/>
                    <w:noProof/>
                    <w:sz w:val="24"/>
                    <w:szCs w:val="24"/>
                  </w:rPr>
                  <w:t>3. Cyber Threat Landscape</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_Toc237302603 \h </w:instrText>
                </w:r>
                <w:r w:rsidRPr="004E3F95">
                  <w:rPr>
                    <w:noProof/>
                    <w:webHidden/>
                    <w:sz w:val="24"/>
                    <w:szCs w:val="24"/>
                  </w:rPr>
                </w:r>
                <w:r w:rsidRPr="004E3F95">
                  <w:rPr>
                    <w:noProof/>
                    <w:webHidden/>
                    <w:sz w:val="24"/>
                    <w:szCs w:val="24"/>
                  </w:rPr>
                  <w:fldChar w:fldCharType="separate"/>
                </w:r>
                <w:r w:rsidRPr="004E3F95">
                  <w:rPr>
                    <w:noProof/>
                    <w:webHidden/>
                    <w:sz w:val="24"/>
                    <w:szCs w:val="24"/>
                  </w:rPr>
                  <w:t>2</w:t>
                </w:r>
                <w:r w:rsidRPr="004E3F95">
                  <w:rPr>
                    <w:noProof/>
                    <w:webHidden/>
                    <w:sz w:val="24"/>
                    <w:szCs w:val="24"/>
                  </w:rPr>
                  <w:fldChar w:fldCharType="end"/>
                </w:r>
              </w:hyperlink>
            </w:p>
            <w:p w14:paraId="148604CE" w14:textId="13690B2A" w:rsidR="004E3F95" w:rsidRPr="004E3F95" w:rsidRDefault="004E3F95">
              <w:pPr>
                <w:pStyle w:val="TOC2"/>
                <w:tabs>
                  <w:tab w:val="right" w:leader="dot" w:pos="9530"/>
                </w:tabs>
                <w:rPr>
                  <w:noProof/>
                  <w:sz w:val="24"/>
                  <w:szCs w:val="24"/>
                </w:rPr>
              </w:pPr>
              <w:hyperlink w:anchor="_Toc237302604" w:history="1">
                <w:r w:rsidRPr="004E3F95">
                  <w:rPr>
                    <w:rStyle w:val="Hyperlink"/>
                    <w:noProof/>
                    <w:sz w:val="24"/>
                    <w:szCs w:val="24"/>
                  </w:rPr>
                  <w:t>3.1 Internal Threats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_Toc237302604 \h </w:instrText>
                </w:r>
                <w:r w:rsidRPr="004E3F95">
                  <w:rPr>
                    <w:noProof/>
                    <w:webHidden/>
                    <w:sz w:val="24"/>
                    <w:szCs w:val="24"/>
                  </w:rPr>
                </w:r>
                <w:r w:rsidRPr="004E3F95">
                  <w:rPr>
                    <w:noProof/>
                    <w:webHidden/>
                    <w:sz w:val="24"/>
                    <w:szCs w:val="24"/>
                  </w:rPr>
                  <w:fldChar w:fldCharType="separate"/>
                </w:r>
                <w:r w:rsidRPr="004E3F95">
                  <w:rPr>
                    <w:noProof/>
                    <w:webHidden/>
                    <w:sz w:val="24"/>
                    <w:szCs w:val="24"/>
                  </w:rPr>
                  <w:t>2</w:t>
                </w:r>
                <w:r w:rsidRPr="004E3F95">
                  <w:rPr>
                    <w:noProof/>
                    <w:webHidden/>
                    <w:sz w:val="24"/>
                    <w:szCs w:val="24"/>
                  </w:rPr>
                  <w:fldChar w:fldCharType="end"/>
                </w:r>
              </w:hyperlink>
            </w:p>
            <w:p w14:paraId="74730B41" w14:textId="40FA56E0" w:rsidR="004E3F95" w:rsidRPr="004E3F95" w:rsidRDefault="004E3F95">
              <w:pPr>
                <w:pStyle w:val="TOC2"/>
                <w:tabs>
                  <w:tab w:val="right" w:leader="dot" w:pos="9530"/>
                </w:tabs>
                <w:rPr>
                  <w:noProof/>
                  <w:sz w:val="24"/>
                  <w:szCs w:val="24"/>
                </w:rPr>
              </w:pPr>
              <w:hyperlink w:anchor="_Toc237302605" w:history="1">
                <w:r w:rsidRPr="004E3F95">
                  <w:rPr>
                    <w:rStyle w:val="Hyperlink"/>
                    <w:noProof/>
                    <w:sz w:val="24"/>
                    <w:szCs w:val="24"/>
                  </w:rPr>
                  <w:t>3.2 External Threats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_Toc237302605 \h </w:instrText>
                </w:r>
                <w:r w:rsidRPr="004E3F95">
                  <w:rPr>
                    <w:noProof/>
                    <w:webHidden/>
                    <w:sz w:val="24"/>
                    <w:szCs w:val="24"/>
                  </w:rPr>
                </w:r>
                <w:r w:rsidRPr="004E3F95">
                  <w:rPr>
                    <w:noProof/>
                    <w:webHidden/>
                    <w:sz w:val="24"/>
                    <w:szCs w:val="24"/>
                  </w:rPr>
                  <w:fldChar w:fldCharType="separate"/>
                </w:r>
                <w:r w:rsidRPr="004E3F95">
                  <w:rPr>
                    <w:noProof/>
                    <w:webHidden/>
                    <w:sz w:val="24"/>
                    <w:szCs w:val="24"/>
                  </w:rPr>
                  <w:t>3</w:t>
                </w:r>
                <w:r w:rsidRPr="004E3F95">
                  <w:rPr>
                    <w:noProof/>
                    <w:webHidden/>
                    <w:sz w:val="24"/>
                    <w:szCs w:val="24"/>
                  </w:rPr>
                  <w:fldChar w:fldCharType="end"/>
                </w:r>
              </w:hyperlink>
            </w:p>
            <w:p w14:paraId="7C83B432" w14:textId="60078755" w:rsidR="004E3F95" w:rsidRPr="004E3F95" w:rsidRDefault="004E3F95">
              <w:pPr>
                <w:pStyle w:val="TOC1"/>
                <w:tabs>
                  <w:tab w:val="right" w:leader="dot" w:pos="9530"/>
                </w:tabs>
                <w:rPr>
                  <w:noProof/>
                  <w:sz w:val="24"/>
                  <w:szCs w:val="24"/>
                </w:rPr>
              </w:pPr>
              <w:hyperlink w:anchor="_Toc237302606" w:history="1">
                <w:r w:rsidRPr="004E3F95">
                  <w:rPr>
                    <w:rStyle w:val="Hyperlink"/>
                    <w:noProof/>
                    <w:sz w:val="24"/>
                    <w:szCs w:val="24"/>
                  </w:rPr>
                  <w:t>4. Security Policy Framework</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_Toc237302606 \h </w:instrText>
                </w:r>
                <w:r w:rsidRPr="004E3F95">
                  <w:rPr>
                    <w:noProof/>
                    <w:webHidden/>
                    <w:sz w:val="24"/>
                    <w:szCs w:val="24"/>
                  </w:rPr>
                </w:r>
                <w:r w:rsidRPr="004E3F95">
                  <w:rPr>
                    <w:noProof/>
                    <w:webHidden/>
                    <w:sz w:val="24"/>
                    <w:szCs w:val="24"/>
                  </w:rPr>
                  <w:fldChar w:fldCharType="separate"/>
                </w:r>
                <w:r w:rsidRPr="004E3F95">
                  <w:rPr>
                    <w:noProof/>
                    <w:webHidden/>
                    <w:sz w:val="24"/>
                    <w:szCs w:val="24"/>
                  </w:rPr>
                  <w:t>3</w:t>
                </w:r>
                <w:r w:rsidRPr="004E3F95">
                  <w:rPr>
                    <w:noProof/>
                    <w:webHidden/>
                    <w:sz w:val="24"/>
                    <w:szCs w:val="24"/>
                  </w:rPr>
                  <w:fldChar w:fldCharType="end"/>
                </w:r>
              </w:hyperlink>
            </w:p>
            <w:p w14:paraId="63A4DE78" w14:textId="6CDBC68F" w:rsidR="004E3F95" w:rsidRPr="004E3F95" w:rsidRDefault="004E3F95">
              <w:pPr>
                <w:pStyle w:val="TOC1"/>
                <w:tabs>
                  <w:tab w:val="right" w:leader="dot" w:pos="9530"/>
                </w:tabs>
                <w:rPr>
                  <w:noProof/>
                  <w:sz w:val="24"/>
                  <w:szCs w:val="24"/>
                </w:rPr>
              </w:pPr>
              <w:hyperlink w:anchor="_Toc237302607" w:history="1">
                <w:r w:rsidRPr="004E3F95">
                  <w:rPr>
                    <w:rStyle w:val="Hyperlink"/>
                    <w:noProof/>
                    <w:sz w:val="24"/>
                    <w:szCs w:val="24"/>
                  </w:rPr>
                  <w:t>5. Mitigation Measures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_Toc237302607 \h </w:instrText>
                </w:r>
                <w:r w:rsidRPr="004E3F95">
                  <w:rPr>
                    <w:noProof/>
                    <w:webHidden/>
                    <w:sz w:val="24"/>
                    <w:szCs w:val="24"/>
                  </w:rPr>
                </w:r>
                <w:r w:rsidRPr="004E3F95">
                  <w:rPr>
                    <w:noProof/>
                    <w:webHidden/>
                    <w:sz w:val="24"/>
                    <w:szCs w:val="24"/>
                  </w:rPr>
                  <w:fldChar w:fldCharType="separate"/>
                </w:r>
                <w:r w:rsidRPr="004E3F95">
                  <w:rPr>
                    <w:noProof/>
                    <w:webHidden/>
                    <w:sz w:val="24"/>
                    <w:szCs w:val="24"/>
                  </w:rPr>
                  <w:t>5</w:t>
                </w:r>
                <w:r w:rsidRPr="004E3F95">
                  <w:rPr>
                    <w:noProof/>
                    <w:webHidden/>
                    <w:sz w:val="24"/>
                    <w:szCs w:val="24"/>
                  </w:rPr>
                  <w:fldChar w:fldCharType="end"/>
                </w:r>
              </w:hyperlink>
            </w:p>
            <w:p w14:paraId="46F7889F" w14:textId="01EAEC71" w:rsidR="004E3F95" w:rsidRPr="004E3F95" w:rsidRDefault="004E3F95">
              <w:pPr>
                <w:pStyle w:val="TOC1"/>
                <w:tabs>
                  <w:tab w:val="right" w:leader="dot" w:pos="9530"/>
                </w:tabs>
                <w:rPr>
                  <w:noProof/>
                  <w:sz w:val="24"/>
                  <w:szCs w:val="24"/>
                </w:rPr>
              </w:pPr>
              <w:hyperlink w:anchor="_Toc237302608" w:history="1">
                <w:r w:rsidRPr="004E3F95">
                  <w:rPr>
                    <w:rStyle w:val="Hyperlink"/>
                    <w:noProof/>
                    <w:sz w:val="24"/>
                    <w:szCs w:val="24"/>
                  </w:rPr>
                  <w:t>6. Threat, Risk and Mitigation Overview</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_Toc237302608 \h </w:instrText>
                </w:r>
                <w:r w:rsidRPr="004E3F95">
                  <w:rPr>
                    <w:noProof/>
                    <w:webHidden/>
                    <w:sz w:val="24"/>
                    <w:szCs w:val="24"/>
                  </w:rPr>
                </w:r>
                <w:r w:rsidRPr="004E3F95">
                  <w:rPr>
                    <w:noProof/>
                    <w:webHidden/>
                    <w:sz w:val="24"/>
                    <w:szCs w:val="24"/>
                  </w:rPr>
                  <w:fldChar w:fldCharType="separate"/>
                </w:r>
                <w:r w:rsidRPr="004E3F95">
                  <w:rPr>
                    <w:noProof/>
                    <w:webHidden/>
                    <w:sz w:val="24"/>
                    <w:szCs w:val="24"/>
                  </w:rPr>
                  <w:t>6</w:t>
                </w:r>
                <w:r w:rsidRPr="004E3F95">
                  <w:rPr>
                    <w:noProof/>
                    <w:webHidden/>
                    <w:sz w:val="24"/>
                    <w:szCs w:val="24"/>
                  </w:rPr>
                  <w:fldChar w:fldCharType="end"/>
                </w:r>
              </w:hyperlink>
            </w:p>
            <w:p w14:paraId="21410C3D" w14:textId="5E306EC8" w:rsidR="004E3F95" w:rsidRPr="004E3F95" w:rsidRDefault="004E3F95">
              <w:pPr>
                <w:pStyle w:val="TOC1"/>
                <w:tabs>
                  <w:tab w:val="right" w:leader="dot" w:pos="9530"/>
                </w:tabs>
                <w:rPr>
                  <w:noProof/>
                  <w:sz w:val="24"/>
                  <w:szCs w:val="24"/>
                </w:rPr>
              </w:pPr>
              <w:hyperlink w:anchor="_Toc237302609" w:history="1">
                <w:r w:rsidRPr="004E3F95">
                  <w:rPr>
                    <w:rStyle w:val="Hyperlink"/>
                    <w:noProof/>
                    <w:sz w:val="24"/>
                    <w:szCs w:val="24"/>
                  </w:rPr>
                  <w:t>7. Network Monitoring Plan</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_Toc237302609 \h </w:instrText>
                </w:r>
                <w:r w:rsidRPr="004E3F95">
                  <w:rPr>
                    <w:noProof/>
                    <w:webHidden/>
                    <w:sz w:val="24"/>
                    <w:szCs w:val="24"/>
                  </w:rPr>
                </w:r>
                <w:r w:rsidRPr="004E3F95">
                  <w:rPr>
                    <w:noProof/>
                    <w:webHidden/>
                    <w:sz w:val="24"/>
                    <w:szCs w:val="24"/>
                  </w:rPr>
                  <w:fldChar w:fldCharType="separate"/>
                </w:r>
                <w:r w:rsidRPr="004E3F95">
                  <w:rPr>
                    <w:noProof/>
                    <w:webHidden/>
                    <w:sz w:val="24"/>
                    <w:szCs w:val="24"/>
                  </w:rPr>
                  <w:t>6</w:t>
                </w:r>
                <w:r w:rsidRPr="004E3F95">
                  <w:rPr>
                    <w:noProof/>
                    <w:webHidden/>
                    <w:sz w:val="24"/>
                    <w:szCs w:val="24"/>
                  </w:rPr>
                  <w:fldChar w:fldCharType="end"/>
                </w:r>
              </w:hyperlink>
            </w:p>
            <w:p w14:paraId="577F36C8" w14:textId="1B810889" w:rsidR="004E3F95" w:rsidRPr="004E3F95" w:rsidRDefault="004E3F95">
              <w:pPr>
                <w:pStyle w:val="TOC1"/>
                <w:tabs>
                  <w:tab w:val="right" w:leader="dot" w:pos="9530"/>
                </w:tabs>
                <w:rPr>
                  <w:noProof/>
                  <w:sz w:val="24"/>
                  <w:szCs w:val="24"/>
                </w:rPr>
              </w:pPr>
              <w:hyperlink w:anchor="_Toc237302610" w:history="1">
                <w:r w:rsidRPr="004E3F95">
                  <w:rPr>
                    <w:rStyle w:val="Hyperlink"/>
                    <w:noProof/>
                    <w:sz w:val="24"/>
                    <w:szCs w:val="24"/>
                  </w:rPr>
                  <w:t>8. Incident Response Plan</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_Toc237302610 \h </w:instrText>
                </w:r>
                <w:r w:rsidRPr="004E3F95">
                  <w:rPr>
                    <w:noProof/>
                    <w:webHidden/>
                    <w:sz w:val="24"/>
                    <w:szCs w:val="24"/>
                  </w:rPr>
                </w:r>
                <w:r w:rsidRPr="004E3F95">
                  <w:rPr>
                    <w:noProof/>
                    <w:webHidden/>
                    <w:sz w:val="24"/>
                    <w:szCs w:val="24"/>
                  </w:rPr>
                  <w:fldChar w:fldCharType="separate"/>
                </w:r>
                <w:r w:rsidRPr="004E3F95">
                  <w:rPr>
                    <w:noProof/>
                    <w:webHidden/>
                    <w:sz w:val="24"/>
                    <w:szCs w:val="24"/>
                  </w:rPr>
                  <w:t>7</w:t>
                </w:r>
                <w:r w:rsidRPr="004E3F95">
                  <w:rPr>
                    <w:noProof/>
                    <w:webHidden/>
                    <w:sz w:val="24"/>
                    <w:szCs w:val="24"/>
                  </w:rPr>
                  <w:fldChar w:fldCharType="end"/>
                </w:r>
              </w:hyperlink>
            </w:p>
            <w:p w14:paraId="46658074" w14:textId="3B6F2A8A" w:rsidR="004E3F95" w:rsidRPr="004E3F95" w:rsidRDefault="004E3F95">
              <w:pPr>
                <w:pStyle w:val="TOC1"/>
                <w:tabs>
                  <w:tab w:val="right" w:leader="dot" w:pos="9530"/>
                </w:tabs>
                <w:rPr>
                  <w:noProof/>
                  <w:sz w:val="24"/>
                  <w:szCs w:val="24"/>
                </w:rPr>
              </w:pPr>
              <w:hyperlink w:anchor="_Toc237302611" w:history="1">
                <w:r w:rsidRPr="004E3F95">
                  <w:rPr>
                    <w:rStyle w:val="Hyperlink"/>
                    <w:noProof/>
                    <w:sz w:val="24"/>
                    <w:szCs w:val="24"/>
                  </w:rPr>
                  <w:t>9. Staff Training and Awareness Programme</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_Toc237302611 \h </w:instrText>
                </w:r>
                <w:r w:rsidRPr="004E3F95">
                  <w:rPr>
                    <w:noProof/>
                    <w:webHidden/>
                    <w:sz w:val="24"/>
                    <w:szCs w:val="24"/>
                  </w:rPr>
                </w:r>
                <w:r w:rsidRPr="004E3F95">
                  <w:rPr>
                    <w:noProof/>
                    <w:webHidden/>
                    <w:sz w:val="24"/>
                    <w:szCs w:val="24"/>
                  </w:rPr>
                  <w:fldChar w:fldCharType="separate"/>
                </w:r>
                <w:r w:rsidRPr="004E3F95">
                  <w:rPr>
                    <w:noProof/>
                    <w:webHidden/>
                    <w:sz w:val="24"/>
                    <w:szCs w:val="24"/>
                  </w:rPr>
                  <w:t>8</w:t>
                </w:r>
                <w:r w:rsidRPr="004E3F95">
                  <w:rPr>
                    <w:noProof/>
                    <w:webHidden/>
                    <w:sz w:val="24"/>
                    <w:szCs w:val="24"/>
                  </w:rPr>
                  <w:fldChar w:fldCharType="end"/>
                </w:r>
              </w:hyperlink>
            </w:p>
            <w:p w14:paraId="3EFDCE43" w14:textId="03AE3BE2" w:rsidR="004E3F95" w:rsidRPr="004E3F95" w:rsidRDefault="004E3F95">
              <w:pPr>
                <w:pStyle w:val="TOC1"/>
                <w:tabs>
                  <w:tab w:val="right" w:leader="dot" w:pos="9530"/>
                </w:tabs>
                <w:rPr>
                  <w:noProof/>
                  <w:sz w:val="24"/>
                  <w:szCs w:val="24"/>
                </w:rPr>
              </w:pPr>
              <w:hyperlink w:anchor="_Toc237302612" w:history="1">
                <w:r w:rsidRPr="004E3F95">
                  <w:rPr>
                    <w:rStyle w:val="Hyperlink"/>
                    <w:noProof/>
                    <w:sz w:val="24"/>
                    <w:szCs w:val="24"/>
                  </w:rPr>
                  <w:t>10. Application of Cybersecurity Frameworks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_Toc237302612 \h </w:instrText>
                </w:r>
                <w:r w:rsidRPr="004E3F95">
                  <w:rPr>
                    <w:noProof/>
                    <w:webHidden/>
                    <w:sz w:val="24"/>
                    <w:szCs w:val="24"/>
                  </w:rPr>
                </w:r>
                <w:r w:rsidRPr="004E3F95">
                  <w:rPr>
                    <w:noProof/>
                    <w:webHidden/>
                    <w:sz w:val="24"/>
                    <w:szCs w:val="24"/>
                  </w:rPr>
                  <w:fldChar w:fldCharType="separate"/>
                </w:r>
                <w:r w:rsidRPr="004E3F95">
                  <w:rPr>
                    <w:noProof/>
                    <w:webHidden/>
                    <w:sz w:val="24"/>
                    <w:szCs w:val="24"/>
                  </w:rPr>
                  <w:t>9</w:t>
                </w:r>
                <w:r w:rsidRPr="004E3F95">
                  <w:rPr>
                    <w:noProof/>
                    <w:webHidden/>
                    <w:sz w:val="24"/>
                    <w:szCs w:val="24"/>
                  </w:rPr>
                  <w:fldChar w:fldCharType="end"/>
                </w:r>
              </w:hyperlink>
            </w:p>
            <w:p w14:paraId="29DEBE4D" w14:textId="6CE0F71A" w:rsidR="004E3F95" w:rsidRPr="004E3F95" w:rsidRDefault="004E3F95">
              <w:pPr>
                <w:pStyle w:val="TOC1"/>
                <w:tabs>
                  <w:tab w:val="right" w:leader="dot" w:pos="9530"/>
                </w:tabs>
                <w:rPr>
                  <w:noProof/>
                  <w:sz w:val="24"/>
                  <w:szCs w:val="24"/>
                </w:rPr>
              </w:pPr>
              <w:hyperlink w:anchor="_Toc237302613" w:history="1">
                <w:r w:rsidRPr="004E3F95">
                  <w:rPr>
                    <w:rStyle w:val="Hyperlink"/>
                    <w:noProof/>
                    <w:sz w:val="24"/>
                    <w:szCs w:val="24"/>
                  </w:rPr>
                  <w:t>11. Conclusion and Recommendations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_Toc237302613 \h </w:instrText>
                </w:r>
                <w:r w:rsidRPr="004E3F95">
                  <w:rPr>
                    <w:noProof/>
                    <w:webHidden/>
                    <w:sz w:val="24"/>
                    <w:szCs w:val="24"/>
                  </w:rPr>
                </w:r>
                <w:r w:rsidRPr="004E3F95">
                  <w:rPr>
                    <w:noProof/>
                    <w:webHidden/>
                    <w:sz w:val="24"/>
                    <w:szCs w:val="24"/>
                  </w:rPr>
                  <w:fldChar w:fldCharType="separate"/>
                </w:r>
                <w:r w:rsidRPr="004E3F95">
                  <w:rPr>
                    <w:noProof/>
                    <w:webHidden/>
                    <w:sz w:val="24"/>
                    <w:szCs w:val="24"/>
                  </w:rPr>
                  <w:t>9</w:t>
                </w:r>
                <w:r w:rsidRPr="004E3F95">
                  <w:rPr>
                    <w:noProof/>
                    <w:webHidden/>
                    <w:sz w:val="24"/>
                    <w:szCs w:val="24"/>
                  </w:rPr>
                  <w:fldChar w:fldCharType="end"/>
                </w:r>
              </w:hyperlink>
            </w:p>
            <w:p w14:paraId="61376145" w14:textId="4C3B8989" w:rsidR="004E3F95" w:rsidRPr="004E3F95" w:rsidRDefault="004E3F95">
              <w:pPr>
                <w:pStyle w:val="TOC1"/>
                <w:tabs>
                  <w:tab w:val="right" w:leader="dot" w:pos="9530"/>
                </w:tabs>
                <w:rPr>
                  <w:noProof/>
                  <w:sz w:val="24"/>
                  <w:szCs w:val="24"/>
                </w:rPr>
              </w:pPr>
              <w:hyperlink w:anchor="_Toc237302614" w:history="1">
                <w:r w:rsidRPr="004E3F95">
                  <w:rPr>
                    <w:rStyle w:val="Hyperlink"/>
                    <w:noProof/>
                    <w:sz w:val="24"/>
                    <w:szCs w:val="24"/>
                  </w:rPr>
                  <w:t>References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_Toc237302614 \h </w:instrText>
                </w:r>
                <w:r w:rsidRPr="004E3F95">
                  <w:rPr>
                    <w:noProof/>
                    <w:webHidden/>
                    <w:sz w:val="24"/>
                    <w:szCs w:val="24"/>
                  </w:rPr>
                </w:r>
                <w:r w:rsidRPr="004E3F95">
                  <w:rPr>
                    <w:noProof/>
                    <w:webHidden/>
                    <w:sz w:val="24"/>
                    <w:szCs w:val="24"/>
                  </w:rPr>
                  <w:fldChar w:fldCharType="separate"/>
                </w:r>
                <w:r w:rsidRPr="004E3F95">
                  <w:rPr>
                    <w:noProof/>
                    <w:webHidden/>
                    <w:sz w:val="24"/>
                    <w:szCs w:val="24"/>
                  </w:rPr>
                  <w:t>9</w:t>
                </w:r>
                <w:r w:rsidRPr="004E3F95">
                  <w:rPr>
                    <w:noProof/>
                    <w:webHidden/>
                    <w:sz w:val="24"/>
                    <w:szCs w:val="24"/>
                  </w:rPr>
                  <w:fldChar w:fldCharType="end"/>
                </w:r>
              </w:hyperlink>
            </w:p>
            <w:p w14:paraId="249B70FB" w14:textId="6F602DEC" w:rsidR="004E3F95" w:rsidRDefault="004E3F95">
              <w:pPr>
                <w:pStyle w:val="TOC1"/>
                <w:tabs>
                  <w:tab w:val="right" w:leader="dot" w:pos="9530"/>
                </w:tabs>
                <w:rPr>
                  <w:noProof/>
                </w:rPr>
              </w:pPr>
              <w:hyperlink w:anchor="_Toc237302615" w:history="1">
                <w:r w:rsidRPr="004E3F95">
                  <w:rPr>
                    <w:rStyle w:val="Hyperlink"/>
                    <w:noProof/>
                    <w:sz w:val="24"/>
                    <w:szCs w:val="24"/>
                  </w:rPr>
                  <w:t>Appendix A — Board Presentation Slides</w:t>
                </w:r>
                <w:r w:rsidRPr="004E3F95">
                  <w:rPr>
                    <w:noProof/>
                    <w:webHidden/>
                    <w:sz w:val="24"/>
                    <w:szCs w:val="24"/>
                  </w:rPr>
                  <w:tab/>
                </w:r>
                <w:r w:rsidRPr="004E3F95">
                  <w:rPr>
                    <w:noProof/>
                    <w:webHidden/>
                    <w:sz w:val="24"/>
                    <w:szCs w:val="24"/>
                  </w:rPr>
                  <w:fldChar w:fldCharType="begin"/>
                </w:r>
                <w:r w:rsidRPr="004E3F95">
                  <w:rPr>
                    <w:noProof/>
                    <w:webHidden/>
                    <w:sz w:val="24"/>
                    <w:szCs w:val="24"/>
                  </w:rPr>
                  <w:instrText xml:space="preserve"> PAGEREF _Toc237302615 \h </w:instrText>
                </w:r>
                <w:r w:rsidRPr="004E3F95">
                  <w:rPr>
                    <w:noProof/>
                    <w:webHidden/>
                    <w:sz w:val="24"/>
                    <w:szCs w:val="24"/>
                  </w:rPr>
                </w:r>
                <w:r w:rsidRPr="004E3F95">
                  <w:rPr>
                    <w:noProof/>
                    <w:webHidden/>
                    <w:sz w:val="24"/>
                    <w:szCs w:val="24"/>
                  </w:rPr>
                  <w:fldChar w:fldCharType="separate"/>
                </w:r>
                <w:r w:rsidRPr="004E3F95">
                  <w:rPr>
                    <w:noProof/>
                    <w:webHidden/>
                    <w:sz w:val="24"/>
                    <w:szCs w:val="24"/>
                  </w:rPr>
                  <w:t>11</w:t>
                </w:r>
                <w:r w:rsidRPr="004E3F95">
                  <w:rPr>
                    <w:noProof/>
                    <w:webHidden/>
                    <w:sz w:val="24"/>
                    <w:szCs w:val="24"/>
                  </w:rPr>
                  <w:fldChar w:fldCharType="end"/>
                </w:r>
              </w:hyperlink>
            </w:p>
            <w:p w14:paraId="7A91DD9C" w14:textId="57CE9AD6" w:rsidR="004E3F95" w:rsidRDefault="004E3F95">
              <w:r>
                <w:rPr>
                  <w:b/>
                  <w:bCs/>
                  <w:noProof/>
                </w:rPr>
                <w:fldChar w:fldCharType="end"/>
              </w:r>
            </w:p>
          </w:sdtContent>
        </w:sdt>
        <w:p w14:paraId="03A56A9B" w14:textId="205C39D4" w:rsidR="004E3F95" w:rsidRDefault="004E3F95" w:rsidP="00CF28D1">
          <w:pPr>
            <w:pStyle w:val="ListParagraph"/>
          </w:pPr>
        </w:p>
        <w:p w14:paraId="0D233DE7" w14:textId="77777777" w:rsidR="004E3F95" w:rsidRDefault="004E3F95">
          <w:r>
            <w:br w:type="page"/>
          </w:r>
        </w:p>
        <w:p w14:paraId="390C1A5D" w14:textId="77777777" w:rsidR="006E3075" w:rsidRDefault="006E3075" w:rsidP="00CF28D1">
          <w:pPr>
            <w:pStyle w:val="ListParagraph"/>
          </w:pPr>
        </w:p>
        <w:p w14:paraId="7BF75CAD" w14:textId="77777777" w:rsidR="006E3075" w:rsidRPr="00496BD7" w:rsidRDefault="007E0D43" w:rsidP="00CF28D1">
          <w:pPr>
            <w:pStyle w:val="ListParagraph"/>
          </w:pPr>
        </w:p>
      </w:sdtContent>
    </w:sdt>
    <w:p w14:paraId="5BAB44AB" w14:textId="77777777" w:rsidR="00C07D9A" w:rsidRDefault="006E3075">
      <w:pPr>
        <w:pStyle w:val="Heading1"/>
      </w:pPr>
      <w:bookmarkStart w:id="0" w:name="_Toc237302600"/>
      <w:r>
        <w:t>Abstract</w:t>
      </w:r>
      <w:bookmarkEnd w:id="0"/>
    </w:p>
    <w:p w14:paraId="54763CA5" w14:textId="77777777" w:rsidR="00C07D9A" w:rsidRDefault="006E3075">
      <w:pPr>
        <w:spacing w:after="130" w:line="264" w:lineRule="auto"/>
        <w:jc w:val="both"/>
      </w:pPr>
      <w:proofErr w:type="spellStart"/>
      <w:r>
        <w:t>SteelForm</w:t>
      </w:r>
      <w:proofErr w:type="spellEnd"/>
      <w:r>
        <w:t xml:space="preserve"> Manufacturing Ltd (SFM) runs a connected production environment of IoT sensors, automated equipment, a cloud-based production management system and an internal production network. This connectivity has widened SFM's attack surface, and the company has already suffered malware infections, phishing emails and unauthorised access attempts. Written from the perspective of SFM's IT Security Manager, this report identifies SFM's internal and external cyber threats — what each is, how it could attack SFM, and its likely consequences — and proposes security policies aligned to ISO/IEC 27001:2022, NIST CSF 2.0 and UK GDPR, with mitigation measures mapped to each. A risk matrix, network monitoring plan, incident response plan with flowchart, and staff training programme are included. SFM's greatest exposure is ransomware and credential-based attack against a converging IT/OT environment; layered technical controls combined with governance, monitoring and staff awareness are recommended.</w:t>
      </w:r>
    </w:p>
    <w:p w14:paraId="57016EB1" w14:textId="77777777" w:rsidR="00C07D9A" w:rsidRDefault="006E3075">
      <w:pPr>
        <w:pStyle w:val="Heading1"/>
      </w:pPr>
      <w:bookmarkStart w:id="1" w:name="_Toc237302601"/>
      <w:r>
        <w:t>1. Introduction</w:t>
      </w:r>
      <w:bookmarkEnd w:id="1"/>
    </w:p>
    <w:p w14:paraId="6D005397" w14:textId="4266472F" w:rsidR="00C07D9A" w:rsidRDefault="006E3075">
      <w:pPr>
        <w:spacing w:after="130" w:line="264" w:lineRule="auto"/>
        <w:jc w:val="both"/>
      </w:pPr>
      <w:r>
        <w:t xml:space="preserve">Manufacturing is now the most heavily targeted sector for cybercrime worldwide, absorbing a disproportionate share of ransomware and operational-technology (OT) attacks as factories connect previously isolated equipment to corporate and cloud networks. Ransomware incidents against manufacturers rose sharply through 2025, with average demands exceeding one million dollars and attackers exploiting supply-chain relationships and unpatched OT </w:t>
      </w:r>
      <w:sdt>
        <w:sdtPr>
          <w:id w:val="-891112864"/>
          <w:citation/>
        </w:sdtPr>
        <w:sdtContent>
          <w:r w:rsidR="007651A7">
            <w:fldChar w:fldCharType="begin"/>
          </w:r>
          <w:r w:rsidR="007651A7">
            <w:rPr>
              <w:lang w:val="uk-UA"/>
            </w:rPr>
            <w:instrText xml:space="preserve"> CITATION Che26 \l 1058 </w:instrText>
          </w:r>
          <w:r w:rsidR="007651A7">
            <w:fldChar w:fldCharType="separate"/>
          </w:r>
          <w:r w:rsidR="00EE38F1" w:rsidRPr="00EE38F1">
            <w:rPr>
              <w:noProof/>
              <w:lang w:val="uk-UA"/>
            </w:rPr>
            <w:t>[1]</w:t>
          </w:r>
          <w:r w:rsidR="007651A7">
            <w:fldChar w:fldCharType="end"/>
          </w:r>
        </w:sdtContent>
      </w:sdt>
      <w:r w:rsidR="007651A7">
        <w:rPr>
          <w:lang w:val="uk-UA"/>
        </w:rPr>
        <w:t>,</w:t>
      </w:r>
      <w:sdt>
        <w:sdtPr>
          <w:id w:val="1134375622"/>
          <w:citation/>
        </w:sdtPr>
        <w:sdtContent>
          <w:r w:rsidR="007651A7">
            <w:fldChar w:fldCharType="begin"/>
          </w:r>
          <w:r w:rsidR="007651A7">
            <w:rPr>
              <w:lang w:val="uk-UA"/>
            </w:rPr>
            <w:instrText xml:space="preserve"> CITATION Res26 \l 1058 </w:instrText>
          </w:r>
          <w:r w:rsidR="007651A7">
            <w:fldChar w:fldCharType="separate"/>
          </w:r>
          <w:r w:rsidR="00EE38F1">
            <w:rPr>
              <w:noProof/>
              <w:lang w:val="uk-UA"/>
            </w:rPr>
            <w:t xml:space="preserve"> </w:t>
          </w:r>
          <w:r w:rsidR="00EE38F1" w:rsidRPr="00EE38F1">
            <w:rPr>
              <w:noProof/>
              <w:lang w:val="uk-UA"/>
            </w:rPr>
            <w:t>[2]</w:t>
          </w:r>
          <w:r w:rsidR="007651A7">
            <w:fldChar w:fldCharType="end"/>
          </w:r>
        </w:sdtContent>
      </w:sdt>
      <w:r>
        <w:t xml:space="preserve">. ENISA similarly reports OT now accounts for a substantial share of recorded incidents, driven by IT/OT convergence </w:t>
      </w:r>
      <w:sdt>
        <w:sdtPr>
          <w:id w:val="-2105418014"/>
          <w:citation/>
        </w:sdtPr>
        <w:sdtContent>
          <w:r w:rsidR="004B357E">
            <w:fldChar w:fldCharType="begin"/>
          </w:r>
          <w:r w:rsidR="004B357E">
            <w:rPr>
              <w:lang w:val="uk-UA"/>
            </w:rPr>
            <w:instrText xml:space="preserve"> CITATION Eur25 \l 1058 </w:instrText>
          </w:r>
          <w:r w:rsidR="004B357E">
            <w:fldChar w:fldCharType="separate"/>
          </w:r>
          <w:r w:rsidR="00EE38F1" w:rsidRPr="00EE38F1">
            <w:rPr>
              <w:noProof/>
              <w:lang w:val="uk-UA"/>
            </w:rPr>
            <w:t>[3]</w:t>
          </w:r>
          <w:r w:rsidR="004B357E">
            <w:fldChar w:fldCharType="end"/>
          </w:r>
        </w:sdtContent>
      </w:sdt>
      <w:r>
        <w:t>.</w:t>
      </w:r>
    </w:p>
    <w:p w14:paraId="4093B926" w14:textId="77777777" w:rsidR="00C07D9A" w:rsidRDefault="006E3075">
      <w:pPr>
        <w:spacing w:after="130" w:line="264" w:lineRule="auto"/>
        <w:jc w:val="both"/>
      </w:pPr>
      <w:r>
        <w:t>SFM reflects this exposure directly: IoT sensors, automated equipment, a cloud production system and a production network linking engineering, operations and business systems, with malware, phishing and unauthorised access already recorded. This report sets out a structured strategy — threat assessment, policies, mitigations, monitoring plan, incident response plan and staff training — and closes with recommendations for the Board.</w:t>
      </w:r>
    </w:p>
    <w:p w14:paraId="7E32B2DA" w14:textId="77777777" w:rsidR="00C07D9A" w:rsidRDefault="006E3075">
      <w:pPr>
        <w:pStyle w:val="Heading1"/>
      </w:pPr>
      <w:bookmarkStart w:id="2" w:name="_Toc237302602"/>
      <w:r>
        <w:t>2. Organisational Context</w:t>
      </w:r>
      <w:bookmarkEnd w:id="2"/>
    </w:p>
    <w:p w14:paraId="7A046368" w14:textId="7FDBF8BB" w:rsidR="00C07D9A" w:rsidRDefault="006E3075">
      <w:pPr>
        <w:spacing w:after="130" w:line="264" w:lineRule="auto"/>
        <w:jc w:val="both"/>
      </w:pPr>
      <w:r>
        <w:t xml:space="preserve">SFM's technology environment has four layers: (1) IoT sensors monitoring machine performance and throughput; (2) automated production equipment, including PLCs executing manufacturing instructions; (3) a cloud-based production management system scheduling orders, inventory and supplier/customer interfaces; and (4) a production network linking these to corporate IT. This convergence removes the traditional "air gap" that once isolated factory equipment, a structural risk widely reported in industrial cybersecurity research </w:t>
      </w:r>
      <w:sdt>
        <w:sdtPr>
          <w:id w:val="-1543890625"/>
          <w:citation/>
        </w:sdtPr>
        <w:sdtContent>
          <w:r w:rsidR="004B357E">
            <w:fldChar w:fldCharType="begin"/>
          </w:r>
          <w:r w:rsidR="004B357E">
            <w:rPr>
              <w:lang w:val="uk-UA"/>
            </w:rPr>
            <w:instrText xml:space="preserve"> CITATION Eur25 \l 1058 </w:instrText>
          </w:r>
          <w:r w:rsidR="004B357E">
            <w:fldChar w:fldCharType="separate"/>
          </w:r>
          <w:r w:rsidR="00EE38F1" w:rsidRPr="00EE38F1">
            <w:rPr>
              <w:noProof/>
              <w:lang w:val="uk-UA"/>
            </w:rPr>
            <w:t>[3]</w:t>
          </w:r>
          <w:r w:rsidR="004B357E">
            <w:fldChar w:fldCharType="end"/>
          </w:r>
        </w:sdtContent>
      </w:sdt>
      <w:r>
        <w:t>.</w:t>
      </w:r>
    </w:p>
    <w:p w14:paraId="156683B2" w14:textId="77777777" w:rsidR="00C07D9A" w:rsidRDefault="006E3075">
      <w:pPr>
        <w:pStyle w:val="Heading1"/>
      </w:pPr>
      <w:bookmarkStart w:id="3" w:name="_Toc237302603"/>
      <w:r>
        <w:t>3. Cyber Threat Landscape</w:t>
      </w:r>
      <w:bookmarkEnd w:id="3"/>
    </w:p>
    <w:p w14:paraId="18D70155" w14:textId="77777777" w:rsidR="00C07D9A" w:rsidRDefault="006E3075">
      <w:pPr>
        <w:spacing w:after="130" w:line="264" w:lineRule="auto"/>
        <w:jc w:val="both"/>
      </w:pPr>
      <w:r>
        <w:t>Threats to SFM are internal (originating inside the organisation) or external. For each, three things are set out: what it is, how it could attack SFM specifically, and its consequences. The two categories interact — phishing (external) often succeeds because of an employee mistake (internal).</w:t>
      </w:r>
    </w:p>
    <w:p w14:paraId="0B5AE02A" w14:textId="77777777" w:rsidR="00C07D9A" w:rsidRDefault="006E3075">
      <w:pPr>
        <w:pStyle w:val="Heading2"/>
      </w:pPr>
      <w:bookmarkStart w:id="4" w:name="_Toc237302604"/>
      <w:r>
        <w:t>3.1 Internal Threats</w:t>
      </w:r>
      <w:bookmarkEnd w:id="4"/>
    </w:p>
    <w:p w14:paraId="38566D45" w14:textId="77777777" w:rsidR="00C07D9A" w:rsidRDefault="006E3075">
      <w:pPr>
        <w:pStyle w:val="ListParagraph"/>
        <w:numPr>
          <w:ilvl w:val="0"/>
          <w:numId w:val="2"/>
        </w:numPr>
        <w:spacing w:after="70"/>
      </w:pPr>
      <w:r>
        <w:rPr>
          <w:b/>
          <w:bCs/>
        </w:rPr>
        <w:t xml:space="preserve">Malicious insiders — </w:t>
      </w:r>
      <w:r>
        <w:t>misuse of legitimate access. At SFM, someone with cloud-system or PLC access could copy designs or sabotage equipment. Consequence: IP theft, production sabotage, lost customer trust.</w:t>
      </w:r>
    </w:p>
    <w:p w14:paraId="66AACAE1" w14:textId="77777777" w:rsidR="00C07D9A" w:rsidRDefault="006E3075">
      <w:pPr>
        <w:pStyle w:val="ListParagraph"/>
        <w:numPr>
          <w:ilvl w:val="0"/>
          <w:numId w:val="2"/>
        </w:numPr>
        <w:spacing w:after="70"/>
      </w:pPr>
      <w:r>
        <w:rPr>
          <w:b/>
          <w:bCs/>
        </w:rPr>
        <w:t xml:space="preserve">Employee mistakes — </w:t>
      </w:r>
      <w:r>
        <w:t>unintentional errors such as misdirected emails or misconfigured cloud permissions. At SFM, an overly broad sharing setting could expose order data. Consequence: data exposure, possible GDPR breach notification.</w:t>
      </w:r>
    </w:p>
    <w:p w14:paraId="4135F946" w14:textId="77777777" w:rsidR="00C07D9A" w:rsidRDefault="006E3075">
      <w:pPr>
        <w:pStyle w:val="ListParagraph"/>
        <w:numPr>
          <w:ilvl w:val="0"/>
          <w:numId w:val="2"/>
        </w:numPr>
        <w:spacing w:after="70"/>
      </w:pPr>
      <w:r>
        <w:rPr>
          <w:b/>
          <w:bCs/>
        </w:rPr>
        <w:t xml:space="preserve">Weak passwords — </w:t>
      </w:r>
      <w:r>
        <w:t>easily guessed or reused credentials. At SFM, a weak PLC or portal password could be brute-</w:t>
      </w:r>
      <w:proofErr w:type="spellStart"/>
      <w:r>
        <w:t>forced</w:t>
      </w:r>
      <w:proofErr w:type="spellEnd"/>
      <w:r>
        <w:t xml:space="preserve"> or reused from another breach. Consequence: account takeover, cascading into wider access.</w:t>
      </w:r>
    </w:p>
    <w:p w14:paraId="4EA8BC9C" w14:textId="77777777" w:rsidR="00C07D9A" w:rsidRDefault="006E3075">
      <w:pPr>
        <w:pStyle w:val="ListParagraph"/>
        <w:numPr>
          <w:ilvl w:val="0"/>
          <w:numId w:val="2"/>
        </w:numPr>
        <w:spacing w:after="70"/>
      </w:pPr>
      <w:r>
        <w:rPr>
          <w:b/>
          <w:bCs/>
        </w:rPr>
        <w:t xml:space="preserve">Privilege misuse — </w:t>
      </w:r>
      <w:r>
        <w:t>accounts holding more access than needed. At SFM, an over-privileged operator account could alter configurations beyond the shop floor. Consequence: disproportionate damage from one account.</w:t>
      </w:r>
    </w:p>
    <w:p w14:paraId="3A587FC5" w14:textId="77777777" w:rsidR="00C07D9A" w:rsidRDefault="006E3075">
      <w:pPr>
        <w:pStyle w:val="ListParagraph"/>
        <w:numPr>
          <w:ilvl w:val="0"/>
          <w:numId w:val="2"/>
        </w:numPr>
        <w:spacing w:after="70"/>
      </w:pPr>
      <w:r>
        <w:rPr>
          <w:b/>
          <w:bCs/>
        </w:rPr>
        <w:t xml:space="preserve">Unauthorised USB devices — </w:t>
      </w:r>
      <w:r>
        <w:t>removable media bypassing perimeter defences. At SFM, a USB device plugged into a PLC terminal could introduce malware directly into OT. Consequence: malware inside production, potential halt of equipment.</w:t>
      </w:r>
    </w:p>
    <w:p w14:paraId="702A6CE6" w14:textId="77777777" w:rsidR="00C07D9A" w:rsidRDefault="006E3075">
      <w:pPr>
        <w:pStyle w:val="ListParagraph"/>
        <w:numPr>
          <w:ilvl w:val="0"/>
          <w:numId w:val="2"/>
        </w:numPr>
        <w:spacing w:after="70"/>
      </w:pPr>
      <w:r>
        <w:rPr>
          <w:b/>
          <w:bCs/>
        </w:rPr>
        <w:t xml:space="preserve">Poor access control — </w:t>
      </w:r>
      <w:r>
        <w:t>shared logins and inactive accounts left enabled. At SFM, a shared engineering login or an ex-employee's active account widens uncontrolled access. Consequence: untraceable misuse, wider breach impact.</w:t>
      </w:r>
    </w:p>
    <w:p w14:paraId="26A0A692" w14:textId="77777777" w:rsidR="00C07D9A" w:rsidRDefault="006E3075">
      <w:pPr>
        <w:pStyle w:val="Heading2"/>
      </w:pPr>
      <w:bookmarkStart w:id="5" w:name="_Toc237302605"/>
      <w:r>
        <w:t>3.2 External Threats</w:t>
      </w:r>
      <w:bookmarkEnd w:id="5"/>
    </w:p>
    <w:p w14:paraId="7C2301FB" w14:textId="2D1C2232" w:rsidR="00C07D9A" w:rsidRDefault="006E3075">
      <w:pPr>
        <w:pStyle w:val="ListParagraph"/>
        <w:numPr>
          <w:ilvl w:val="0"/>
          <w:numId w:val="2"/>
        </w:numPr>
        <w:spacing w:after="70"/>
      </w:pPr>
      <w:r>
        <w:rPr>
          <w:b/>
          <w:bCs/>
        </w:rPr>
        <w:t xml:space="preserve">Ransomware — </w:t>
      </w:r>
      <w:r>
        <w:t xml:space="preserve">malware that encrypts or exfiltrates data for payment. Manufacturing is the most-targeted sector, with attacks up over 50% year-on-year and demands over $1m </w:t>
      </w:r>
      <w:sdt>
        <w:sdtPr>
          <w:id w:val="-644896648"/>
          <w:citation/>
        </w:sdtPr>
        <w:sdtContent>
          <w:r w:rsidR="002E4B4F">
            <w:fldChar w:fldCharType="begin"/>
          </w:r>
          <w:r w:rsidR="002E4B4F">
            <w:rPr>
              <w:lang w:val="uk-UA"/>
            </w:rPr>
            <w:instrText xml:space="preserve"> CITATION Che26 \l 1058 </w:instrText>
          </w:r>
          <w:r w:rsidR="002E4B4F">
            <w:fldChar w:fldCharType="separate"/>
          </w:r>
          <w:r w:rsidR="00EE38F1" w:rsidRPr="00EE38F1">
            <w:rPr>
              <w:noProof/>
              <w:lang w:val="uk-UA"/>
            </w:rPr>
            <w:t>[1]</w:t>
          </w:r>
          <w:r w:rsidR="002E4B4F">
            <w:fldChar w:fldCharType="end"/>
          </w:r>
        </w:sdtContent>
      </w:sdt>
      <w:r w:rsidR="005701C7">
        <w:rPr>
          <w:lang w:val="uk-UA"/>
        </w:rPr>
        <w:t>,</w:t>
      </w:r>
      <w:sdt>
        <w:sdtPr>
          <w:id w:val="673617678"/>
          <w:citation/>
        </w:sdtPr>
        <w:sdtContent>
          <w:r w:rsidR="005701C7">
            <w:fldChar w:fldCharType="begin"/>
          </w:r>
          <w:r w:rsidR="005701C7">
            <w:rPr>
              <w:lang w:val="uk-UA"/>
            </w:rPr>
            <w:instrText xml:space="preserve"> CITATION Res26 \l 1058 </w:instrText>
          </w:r>
          <w:r w:rsidR="005701C7">
            <w:fldChar w:fldCharType="separate"/>
          </w:r>
          <w:r w:rsidR="00EE38F1">
            <w:rPr>
              <w:noProof/>
              <w:lang w:val="uk-UA"/>
            </w:rPr>
            <w:t xml:space="preserve"> </w:t>
          </w:r>
          <w:r w:rsidR="00EE38F1" w:rsidRPr="00EE38F1">
            <w:rPr>
              <w:noProof/>
              <w:lang w:val="uk-UA"/>
            </w:rPr>
            <w:t>[2]</w:t>
          </w:r>
          <w:r w:rsidR="005701C7">
            <w:fldChar w:fldCharType="end"/>
          </w:r>
        </w:sdtContent>
      </w:sdt>
      <w:r>
        <w:t xml:space="preserve">. At SFM, ransomware via phishing could encrypt the cloud system and engineering files together. Consequence: multi-day stoppage, data loss, extortion even without encryption </w:t>
      </w:r>
      <w:sdt>
        <w:sdtPr>
          <w:id w:val="1633597326"/>
          <w:citation/>
        </w:sdtPr>
        <w:sdtContent>
          <w:r w:rsidR="005701C7">
            <w:fldChar w:fldCharType="begin"/>
          </w:r>
          <w:r w:rsidR="005701C7">
            <w:rPr>
              <w:lang w:val="uk-UA"/>
            </w:rPr>
            <w:instrText xml:space="preserve"> CITATION Sop25 \l 1058 </w:instrText>
          </w:r>
          <w:r w:rsidR="005701C7">
            <w:fldChar w:fldCharType="separate"/>
          </w:r>
          <w:r w:rsidR="00EE38F1" w:rsidRPr="00EE38F1">
            <w:rPr>
              <w:noProof/>
              <w:lang w:val="uk-UA"/>
            </w:rPr>
            <w:t>[4]</w:t>
          </w:r>
          <w:r w:rsidR="005701C7">
            <w:fldChar w:fldCharType="end"/>
          </w:r>
        </w:sdtContent>
      </w:sdt>
      <w:r>
        <w:t>.</w:t>
      </w:r>
    </w:p>
    <w:p w14:paraId="660FFD4E" w14:textId="77777777" w:rsidR="00C07D9A" w:rsidRDefault="006E3075">
      <w:pPr>
        <w:pStyle w:val="ListParagraph"/>
        <w:numPr>
          <w:ilvl w:val="0"/>
          <w:numId w:val="2"/>
        </w:numPr>
        <w:spacing w:after="70"/>
      </w:pPr>
      <w:r>
        <w:rPr>
          <w:b/>
          <w:bCs/>
        </w:rPr>
        <w:t xml:space="preserve">Phishing — </w:t>
      </w:r>
      <w:r>
        <w:t>fraudulent messages impersonating suppliers or executives. At SFM, a fake-supplier email could prompt a fraudulent payment change. Consequence: credential theft, malware delivery, financial loss.</w:t>
      </w:r>
    </w:p>
    <w:p w14:paraId="0E7594BF" w14:textId="2919B8B4" w:rsidR="00C07D9A" w:rsidRDefault="006E3075">
      <w:pPr>
        <w:pStyle w:val="ListParagraph"/>
        <w:numPr>
          <w:ilvl w:val="0"/>
          <w:numId w:val="2"/>
        </w:numPr>
        <w:spacing w:after="70"/>
      </w:pPr>
      <w:r>
        <w:rPr>
          <w:b/>
          <w:bCs/>
        </w:rPr>
        <w:t xml:space="preserve">Malware — </w:t>
      </w:r>
      <w:r>
        <w:t xml:space="preserve">viruses, worms and trojans, including ICS-targeted variants </w:t>
      </w:r>
      <w:sdt>
        <w:sdtPr>
          <w:id w:val="112251767"/>
          <w:citation/>
        </w:sdtPr>
        <w:sdtContent>
          <w:r w:rsidR="0004106F">
            <w:fldChar w:fldCharType="begin"/>
          </w:r>
          <w:r w:rsidR="0004106F">
            <w:rPr>
              <w:lang w:val="uk-UA"/>
            </w:rPr>
            <w:instrText xml:space="preserve"> CITATION Eur25 \l 1058 </w:instrText>
          </w:r>
          <w:r w:rsidR="0004106F">
            <w:fldChar w:fldCharType="separate"/>
          </w:r>
          <w:r w:rsidR="00EE38F1" w:rsidRPr="00EE38F1">
            <w:rPr>
              <w:noProof/>
              <w:lang w:val="uk-UA"/>
            </w:rPr>
            <w:t>[3]</w:t>
          </w:r>
          <w:r w:rsidR="0004106F">
            <w:fldChar w:fldCharType="end"/>
          </w:r>
        </w:sdtContent>
      </w:sdt>
      <w:r w:rsidR="0004106F">
        <w:rPr>
          <w:lang w:val="uk-UA"/>
        </w:rPr>
        <w:t>,</w:t>
      </w:r>
      <w:sdt>
        <w:sdtPr>
          <w:id w:val="288785794"/>
          <w:citation/>
        </w:sdtPr>
        <w:sdtContent>
          <w:r w:rsidR="0004106F">
            <w:fldChar w:fldCharType="begin"/>
          </w:r>
          <w:r w:rsidR="0004106F">
            <w:rPr>
              <w:lang w:val="uk-UA"/>
            </w:rPr>
            <w:instrText xml:space="preserve"> CITATION Sop25 \l 1058 </w:instrText>
          </w:r>
          <w:r w:rsidR="0004106F">
            <w:fldChar w:fldCharType="separate"/>
          </w:r>
          <w:r w:rsidR="00EE38F1">
            <w:rPr>
              <w:noProof/>
              <w:lang w:val="uk-UA"/>
            </w:rPr>
            <w:t xml:space="preserve"> </w:t>
          </w:r>
          <w:r w:rsidR="00EE38F1" w:rsidRPr="00EE38F1">
            <w:rPr>
              <w:noProof/>
              <w:lang w:val="uk-UA"/>
            </w:rPr>
            <w:t>[4]</w:t>
          </w:r>
          <w:r w:rsidR="0004106F">
            <w:fldChar w:fldCharType="end"/>
          </w:r>
        </w:sdtContent>
      </w:sdt>
      <w:r>
        <w:t>. At SFM, malware could spread from a corporate laptop into production if segmentation is weak. Consequence: disrupted or corrupted production.</w:t>
      </w:r>
    </w:p>
    <w:p w14:paraId="4FD81D15" w14:textId="77777777" w:rsidR="00C07D9A" w:rsidRDefault="006E3075">
      <w:pPr>
        <w:pStyle w:val="ListParagraph"/>
        <w:numPr>
          <w:ilvl w:val="0"/>
          <w:numId w:val="2"/>
        </w:numPr>
        <w:spacing w:after="70"/>
      </w:pPr>
      <w:r>
        <w:rPr>
          <w:b/>
          <w:bCs/>
        </w:rPr>
        <w:t xml:space="preserve">Industrial espionage — </w:t>
      </w:r>
      <w:r>
        <w:t>theft of designs or process know-how by competitors or state-aligned actors. At SFM, the cloud system or file shares could be targeted for specifications. Consequence: lost competitive advantage, breached confidentiality agreements.</w:t>
      </w:r>
    </w:p>
    <w:p w14:paraId="30E08339" w14:textId="65489C76" w:rsidR="00C07D9A" w:rsidRDefault="006E3075">
      <w:pPr>
        <w:pStyle w:val="ListParagraph"/>
        <w:numPr>
          <w:ilvl w:val="0"/>
          <w:numId w:val="2"/>
        </w:numPr>
        <w:spacing w:after="70"/>
      </w:pPr>
      <w:r>
        <w:rPr>
          <w:b/>
          <w:bCs/>
        </w:rPr>
        <w:t xml:space="preserve">Supply-chain attacks — </w:t>
      </w:r>
      <w:r>
        <w:t xml:space="preserve">compromise of a vendor with trusted network access; such incidents roughly doubled in a year </w:t>
      </w:r>
      <w:sdt>
        <w:sdtPr>
          <w:id w:val="481516672"/>
          <w:citation/>
        </w:sdtPr>
        <w:sdtContent>
          <w:r w:rsidR="00275DC8">
            <w:fldChar w:fldCharType="begin"/>
          </w:r>
          <w:r w:rsidR="00275DC8">
            <w:rPr>
              <w:lang w:val="uk-UA"/>
            </w:rPr>
            <w:instrText xml:space="preserve"> CITATION Che26 \l 1058 </w:instrText>
          </w:r>
          <w:r w:rsidR="00275DC8">
            <w:fldChar w:fldCharType="separate"/>
          </w:r>
          <w:r w:rsidR="00EE38F1" w:rsidRPr="00EE38F1">
            <w:rPr>
              <w:noProof/>
              <w:lang w:val="uk-UA"/>
            </w:rPr>
            <w:t>[1]</w:t>
          </w:r>
          <w:r w:rsidR="00275DC8">
            <w:fldChar w:fldCharType="end"/>
          </w:r>
        </w:sdtContent>
      </w:sdt>
      <w:r w:rsidR="00275DC8">
        <w:rPr>
          <w:lang w:val="uk-UA"/>
        </w:rPr>
        <w:t>,</w:t>
      </w:r>
      <w:sdt>
        <w:sdtPr>
          <w:id w:val="-2094306552"/>
          <w:citation/>
        </w:sdtPr>
        <w:sdtContent>
          <w:r w:rsidR="00275DC8">
            <w:fldChar w:fldCharType="begin"/>
          </w:r>
          <w:r w:rsidR="00275DC8">
            <w:rPr>
              <w:lang w:val="uk-UA"/>
            </w:rPr>
            <w:instrText xml:space="preserve"> CITATION Res26 \l 1058 </w:instrText>
          </w:r>
          <w:r w:rsidR="00275DC8">
            <w:fldChar w:fldCharType="separate"/>
          </w:r>
          <w:r w:rsidR="00EE38F1">
            <w:rPr>
              <w:noProof/>
              <w:lang w:val="uk-UA"/>
            </w:rPr>
            <w:t xml:space="preserve"> </w:t>
          </w:r>
          <w:r w:rsidR="00EE38F1" w:rsidRPr="00EE38F1">
            <w:rPr>
              <w:noProof/>
              <w:lang w:val="uk-UA"/>
            </w:rPr>
            <w:t>[2]</w:t>
          </w:r>
          <w:r w:rsidR="00275DC8">
            <w:fldChar w:fldCharType="end"/>
          </w:r>
        </w:sdtContent>
      </w:sdt>
      <w:r>
        <w:t>. At SFM, a compromised supplier VPN account is a trusted route in. Consequence: a breach that bypasses SFM's own perimeter.</w:t>
      </w:r>
    </w:p>
    <w:p w14:paraId="3016FE52" w14:textId="77777777" w:rsidR="00C07D9A" w:rsidRDefault="006E3075">
      <w:pPr>
        <w:pStyle w:val="ListParagraph"/>
        <w:numPr>
          <w:ilvl w:val="0"/>
          <w:numId w:val="2"/>
        </w:numPr>
        <w:spacing w:after="70"/>
      </w:pPr>
      <w:r>
        <w:rPr>
          <w:b/>
          <w:bCs/>
        </w:rPr>
        <w:t xml:space="preserve">DDoS attacks — </w:t>
      </w:r>
      <w:r>
        <w:t>traffic floods causing unavailability. At SFM, a DDoS against the cloud system could block order processing. Consequence: halted intake and scheduling, delays to customers.</w:t>
      </w:r>
    </w:p>
    <w:p w14:paraId="7D2756BE" w14:textId="1056A3FF" w:rsidR="00C07D9A" w:rsidRDefault="006E3075">
      <w:pPr>
        <w:pStyle w:val="ListParagraph"/>
        <w:numPr>
          <w:ilvl w:val="0"/>
          <w:numId w:val="2"/>
        </w:numPr>
        <w:spacing w:after="70"/>
      </w:pPr>
      <w:r>
        <w:rPr>
          <w:b/>
          <w:bCs/>
        </w:rPr>
        <w:t xml:space="preserve">IoT attacks — </w:t>
      </w:r>
      <w:r>
        <w:t xml:space="preserve">exploiting unpatched or default-credentialed sensors </w:t>
      </w:r>
      <w:sdt>
        <w:sdtPr>
          <w:id w:val="1886600808"/>
          <w:citation/>
        </w:sdtPr>
        <w:sdtContent>
          <w:r w:rsidR="00512D2B">
            <w:fldChar w:fldCharType="begin"/>
          </w:r>
          <w:r w:rsidR="00512D2B">
            <w:rPr>
              <w:lang w:val="uk-UA"/>
            </w:rPr>
            <w:instrText xml:space="preserve"> CITATION Eur25 \l 1058 </w:instrText>
          </w:r>
          <w:r w:rsidR="00512D2B">
            <w:fldChar w:fldCharType="separate"/>
          </w:r>
          <w:r w:rsidR="00EE38F1" w:rsidRPr="00EE38F1">
            <w:rPr>
              <w:noProof/>
              <w:lang w:val="uk-UA"/>
            </w:rPr>
            <w:t>[3]</w:t>
          </w:r>
          <w:r w:rsidR="00512D2B">
            <w:fldChar w:fldCharType="end"/>
          </w:r>
        </w:sdtContent>
      </w:sdt>
      <w:r>
        <w:t>. At SFM, a compromised sensor could pivot into the network or falsify readings. Consequence: undetected safety issues or a foothold into OT.</w:t>
      </w:r>
    </w:p>
    <w:p w14:paraId="6937B7C0" w14:textId="4112083A" w:rsidR="00C07D9A" w:rsidRDefault="006E3075">
      <w:pPr>
        <w:pStyle w:val="ListParagraph"/>
        <w:numPr>
          <w:ilvl w:val="0"/>
          <w:numId w:val="2"/>
        </w:numPr>
        <w:spacing w:after="70"/>
      </w:pPr>
      <w:r>
        <w:rPr>
          <w:b/>
          <w:bCs/>
        </w:rPr>
        <w:t xml:space="preserve">Credential theft — </w:t>
      </w:r>
      <w:r>
        <w:t xml:space="preserve">stolen logins, most damaging without MFA — the costliest single failure point in sector loss data </w:t>
      </w:r>
      <w:sdt>
        <w:sdtPr>
          <w:id w:val="1030215987"/>
          <w:citation/>
        </w:sdtPr>
        <w:sdtContent>
          <w:r w:rsidR="00512D2B">
            <w:fldChar w:fldCharType="begin"/>
          </w:r>
          <w:r w:rsidR="00512D2B">
            <w:rPr>
              <w:lang w:val="uk-UA"/>
            </w:rPr>
            <w:instrText xml:space="preserve"> CITATION Res26 \l 1058 </w:instrText>
          </w:r>
          <w:r w:rsidR="00512D2B">
            <w:fldChar w:fldCharType="separate"/>
          </w:r>
          <w:r w:rsidR="00EE38F1" w:rsidRPr="00EE38F1">
            <w:rPr>
              <w:noProof/>
              <w:lang w:val="uk-UA"/>
            </w:rPr>
            <w:t>[2]</w:t>
          </w:r>
          <w:r w:rsidR="00512D2B">
            <w:fldChar w:fldCharType="end"/>
          </w:r>
        </w:sdtContent>
      </w:sdt>
      <w:r w:rsidR="00512D2B">
        <w:rPr>
          <w:lang w:val="uk-UA"/>
        </w:rPr>
        <w:t xml:space="preserve">. </w:t>
      </w:r>
      <w:r>
        <w:t>At SFM, stolen VPN or portal credentials mimic legitimate access. Consequence: hard-to-detect unauthorised access.</w:t>
      </w:r>
    </w:p>
    <w:p w14:paraId="19911CFD" w14:textId="77777777" w:rsidR="00C07D9A" w:rsidRDefault="006E3075">
      <w:pPr>
        <w:pStyle w:val="Heading1"/>
      </w:pPr>
      <w:bookmarkStart w:id="6" w:name="_Toc237302606"/>
      <w:r>
        <w:t>4. Security Policy Framework</w:t>
      </w:r>
      <w:bookmarkEnd w:id="6"/>
    </w:p>
    <w:p w14:paraId="6F11E063" w14:textId="3466C4C4" w:rsidR="00C07D9A" w:rsidRDefault="006E3075">
      <w:pPr>
        <w:spacing w:after="130" w:line="264" w:lineRule="auto"/>
        <w:jc w:val="both"/>
      </w:pPr>
      <w:r>
        <w:t xml:space="preserve">SFM's policies rest on three references: ISO/IEC 27001:2022, which structures an ISMS around 93 controls in organisational, people, physical and technological themes </w:t>
      </w:r>
      <w:sdt>
        <w:sdtPr>
          <w:id w:val="326947872"/>
          <w:citation/>
        </w:sdtPr>
        <w:sdtContent>
          <w:r w:rsidR="003E57CB">
            <w:fldChar w:fldCharType="begin"/>
          </w:r>
          <w:r w:rsidR="003E57CB">
            <w:rPr>
              <w:lang w:val="uk-UA"/>
            </w:rPr>
            <w:instrText xml:space="preserve"> CITATION Int22 \l 1058 </w:instrText>
          </w:r>
          <w:r w:rsidR="003E57CB">
            <w:fldChar w:fldCharType="separate"/>
          </w:r>
          <w:r w:rsidR="00EE38F1" w:rsidRPr="00EE38F1">
            <w:rPr>
              <w:noProof/>
              <w:lang w:val="uk-UA"/>
            </w:rPr>
            <w:t>[5]</w:t>
          </w:r>
          <w:r w:rsidR="003E57CB">
            <w:fldChar w:fldCharType="end"/>
          </w:r>
        </w:sdtContent>
      </w:sdt>
      <w:r>
        <w:t xml:space="preserve">, </w:t>
      </w:r>
      <w:sdt>
        <w:sdtPr>
          <w:id w:val="24223515"/>
          <w:citation/>
        </w:sdtPr>
        <w:sdtContent>
          <w:r w:rsidR="00DE0C76">
            <w:fldChar w:fldCharType="begin"/>
          </w:r>
          <w:r w:rsidR="00EE38F1">
            <w:rPr>
              <w:lang w:val="uk-UA"/>
            </w:rPr>
            <w:instrText xml:space="preserve">CITATION Dra26 \l 1058 </w:instrText>
          </w:r>
          <w:r w:rsidR="00DE0C76">
            <w:fldChar w:fldCharType="separate"/>
          </w:r>
          <w:r w:rsidR="00EE38F1" w:rsidRPr="00EE38F1">
            <w:rPr>
              <w:noProof/>
              <w:lang w:val="uk-UA"/>
            </w:rPr>
            <w:t>[6]</w:t>
          </w:r>
          <w:r w:rsidR="00DE0C76">
            <w:fldChar w:fldCharType="end"/>
          </w:r>
        </w:sdtContent>
      </w:sdt>
      <w:r>
        <w:t xml:space="preserve">; NIST CSF 2.0, organised around Govern, Identify, Protect, Detect, Respond and Recover, with a manufacturing profile </w:t>
      </w:r>
      <w:sdt>
        <w:sdtPr>
          <w:id w:val="190502695"/>
          <w:citation/>
        </w:sdtPr>
        <w:sdtContent>
          <w:r w:rsidR="000E4E37">
            <w:fldChar w:fldCharType="begin"/>
          </w:r>
          <w:r w:rsidR="000E4E37">
            <w:rPr>
              <w:lang w:val="uk-UA"/>
            </w:rPr>
            <w:instrText xml:space="preserve"> CITATION Eur25 \l 1058 </w:instrText>
          </w:r>
          <w:r w:rsidR="000E4E37">
            <w:fldChar w:fldCharType="separate"/>
          </w:r>
          <w:r w:rsidR="00EE38F1" w:rsidRPr="00EE38F1">
            <w:rPr>
              <w:noProof/>
              <w:lang w:val="uk-UA"/>
            </w:rPr>
            <w:t>[3]</w:t>
          </w:r>
          <w:r w:rsidR="000E4E37">
            <w:fldChar w:fldCharType="end"/>
          </w:r>
        </w:sdtContent>
      </w:sdt>
      <w:r w:rsidR="00162BAF">
        <w:rPr>
          <w:lang w:val="uk-UA"/>
        </w:rPr>
        <w:t>,</w:t>
      </w:r>
      <w:sdt>
        <w:sdtPr>
          <w:id w:val="-2086294013"/>
          <w:citation/>
        </w:sdtPr>
        <w:sdtContent>
          <w:r w:rsidR="000E4E37">
            <w:fldChar w:fldCharType="begin"/>
          </w:r>
          <w:r w:rsidR="000E4E37">
            <w:rPr>
              <w:lang w:val="uk-UA"/>
            </w:rPr>
            <w:instrText xml:space="preserve"> CITATION Nat24 \l 1058 </w:instrText>
          </w:r>
          <w:r w:rsidR="000E4E37">
            <w:fldChar w:fldCharType="separate"/>
          </w:r>
          <w:r w:rsidR="00EE38F1">
            <w:rPr>
              <w:noProof/>
              <w:lang w:val="uk-UA"/>
            </w:rPr>
            <w:t xml:space="preserve"> </w:t>
          </w:r>
          <w:r w:rsidR="00EE38F1" w:rsidRPr="00EE38F1">
            <w:rPr>
              <w:noProof/>
              <w:lang w:val="uk-UA"/>
            </w:rPr>
            <w:t>[7]</w:t>
          </w:r>
          <w:r w:rsidR="000E4E37">
            <w:fldChar w:fldCharType="end"/>
          </w:r>
        </w:sdtContent>
      </w:sdt>
      <w:r w:rsidR="00162BAF">
        <w:rPr>
          <w:lang w:val="uk-UA"/>
        </w:rPr>
        <w:t>,</w:t>
      </w:r>
      <w:sdt>
        <w:sdtPr>
          <w:id w:val="-630241981"/>
          <w:citation/>
        </w:sdtPr>
        <w:sdtContent>
          <w:r w:rsidR="00162BAF">
            <w:fldChar w:fldCharType="begin"/>
          </w:r>
          <w:r w:rsidR="00162BAF">
            <w:rPr>
              <w:lang w:val="uk-UA"/>
            </w:rPr>
            <w:instrText xml:space="preserve"> CITATION Nat25 \l 1058 </w:instrText>
          </w:r>
          <w:r w:rsidR="00162BAF">
            <w:fldChar w:fldCharType="separate"/>
          </w:r>
          <w:r w:rsidR="00EE38F1">
            <w:rPr>
              <w:noProof/>
              <w:lang w:val="uk-UA"/>
            </w:rPr>
            <w:t xml:space="preserve"> </w:t>
          </w:r>
          <w:r w:rsidR="00EE38F1" w:rsidRPr="00EE38F1">
            <w:rPr>
              <w:noProof/>
              <w:lang w:val="uk-UA"/>
            </w:rPr>
            <w:t>[8]</w:t>
          </w:r>
          <w:r w:rsidR="00162BAF">
            <w:fldChar w:fldCharType="end"/>
          </w:r>
        </w:sdtContent>
      </w:sdt>
      <w:r>
        <w:t xml:space="preserve">; and UK GDPR, covering lawfulness, minimisation, accuracy, storage limitation, security and accountability </w:t>
      </w:r>
      <w:sdt>
        <w:sdtPr>
          <w:id w:val="-1542580103"/>
          <w:citation/>
        </w:sdtPr>
        <w:sdtContent>
          <w:r w:rsidR="00295CA4">
            <w:fldChar w:fldCharType="begin"/>
          </w:r>
          <w:r w:rsidR="00EE38F1">
            <w:rPr>
              <w:lang w:val="uk-UA"/>
            </w:rPr>
            <w:instrText xml:space="preserve">CITATION Cor23 \l 1058 </w:instrText>
          </w:r>
          <w:r w:rsidR="00295CA4">
            <w:fldChar w:fldCharType="separate"/>
          </w:r>
          <w:r w:rsidR="00EE38F1" w:rsidRPr="00EE38F1">
            <w:rPr>
              <w:noProof/>
              <w:lang w:val="uk-UA"/>
            </w:rPr>
            <w:t>[9]</w:t>
          </w:r>
          <w:r w:rsidR="00295CA4">
            <w:fldChar w:fldCharType="end"/>
          </w:r>
        </w:sdtContent>
      </w:sdt>
      <w:r>
        <w:t>The CIA triad (Figure 1) underpins every policy: each control protects confidentiality, integrity or availability.</w:t>
      </w:r>
    </w:p>
    <w:p w14:paraId="1BDA24F0" w14:textId="77777777" w:rsidR="00C07D9A" w:rsidRDefault="006E3075">
      <w:pPr>
        <w:spacing w:before="160"/>
        <w:jc w:val="center"/>
      </w:pPr>
      <w:r>
        <w:rPr>
          <w:noProof/>
        </w:rPr>
        <w:drawing>
          <wp:inline distT="0" distB="0" distL="0" distR="0" wp14:anchorId="7EB289AB" wp14:editId="22585F42">
            <wp:extent cx="4650000" cy="3975000"/>
            <wp:effectExtent l="0" t="0" r="0" b="0"/>
            <wp:docPr id="2050330504" name="Picture 2050330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650000" cy="3975000"/>
                    </a:xfrm>
                    <a:prstGeom prst="rect">
                      <a:avLst/>
                    </a:prstGeom>
                  </pic:spPr>
                </pic:pic>
              </a:graphicData>
            </a:graphic>
          </wp:inline>
        </w:drawing>
      </w:r>
    </w:p>
    <w:p w14:paraId="1AC7BF1E" w14:textId="77777777" w:rsidR="00C07D9A" w:rsidRDefault="006E3075">
      <w:pPr>
        <w:spacing w:before="50" w:after="220"/>
        <w:jc w:val="center"/>
      </w:pPr>
      <w:r>
        <w:rPr>
          <w:i/>
          <w:iCs/>
          <w:color w:val="555555"/>
          <w:sz w:val="19"/>
          <w:szCs w:val="19"/>
        </w:rPr>
        <w:t>Figure 1. The CIA Triad applied to SFM's production and business systems.</w:t>
      </w:r>
    </w:p>
    <w:p w14:paraId="7BFB90A6" w14:textId="77777777" w:rsidR="00C07D9A" w:rsidRDefault="006E3075">
      <w:pPr>
        <w:spacing w:after="130" w:line="264" w:lineRule="auto"/>
        <w:jc w:val="both"/>
      </w:pPr>
      <w:r>
        <w:t xml:space="preserve">Table 1 sets out SFM's ten core policies, the mitigation measures each </w:t>
      </w:r>
      <w:proofErr w:type="gramStart"/>
      <w:r>
        <w:t>mandates</w:t>
      </w:r>
      <w:proofErr w:type="gramEnd"/>
      <w:r>
        <w:t>, and the threats each primarily addresses.</w:t>
      </w:r>
    </w:p>
    <w:tbl>
      <w:tblPr>
        <w:tblW w:w="9800" w:type="dxa"/>
        <w:tblBorders>
          <w:top w:val="single" w:sz="4" w:space="0" w:color="AAAAAA"/>
          <w:left w:val="single" w:sz="4" w:space="0" w:color="AAAAAA"/>
          <w:bottom w:val="single" w:sz="4" w:space="0" w:color="AAAAAA"/>
          <w:right w:val="single" w:sz="4" w:space="0" w:color="AAAAAA"/>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2900"/>
        <w:gridCol w:w="3900"/>
        <w:gridCol w:w="3000"/>
      </w:tblGrid>
      <w:tr w:rsidR="00C07D9A" w14:paraId="3A872B97" w14:textId="77777777">
        <w:trPr>
          <w:tblHeader/>
        </w:trPr>
        <w:tc>
          <w:tcPr>
            <w:tcW w:w="2900" w:type="dxa"/>
            <w:shd w:val="clear" w:color="auto" w:fill="1E2761"/>
            <w:tcMar>
              <w:top w:w="90" w:type="dxa"/>
              <w:left w:w="110" w:type="dxa"/>
              <w:bottom w:w="90" w:type="dxa"/>
              <w:right w:w="110" w:type="dxa"/>
            </w:tcMar>
            <w:vAlign w:val="center"/>
          </w:tcPr>
          <w:p w14:paraId="7CE93DB1" w14:textId="77777777" w:rsidR="00C07D9A" w:rsidRDefault="006E3075">
            <w:r>
              <w:rPr>
                <w:b/>
                <w:bCs/>
                <w:color w:val="FFFFFF"/>
                <w:sz w:val="17"/>
                <w:szCs w:val="17"/>
              </w:rPr>
              <w:t>Policy (Framework)</w:t>
            </w:r>
          </w:p>
        </w:tc>
        <w:tc>
          <w:tcPr>
            <w:tcW w:w="3900" w:type="dxa"/>
            <w:shd w:val="clear" w:color="auto" w:fill="1E2761"/>
            <w:tcMar>
              <w:top w:w="90" w:type="dxa"/>
              <w:left w:w="110" w:type="dxa"/>
              <w:bottom w:w="90" w:type="dxa"/>
              <w:right w:w="110" w:type="dxa"/>
            </w:tcMar>
            <w:vAlign w:val="center"/>
          </w:tcPr>
          <w:p w14:paraId="1AF0A637" w14:textId="77777777" w:rsidR="00C07D9A" w:rsidRDefault="006E3075">
            <w:r>
              <w:rPr>
                <w:b/>
                <w:bCs/>
                <w:color w:val="FFFFFF"/>
                <w:sz w:val="17"/>
                <w:szCs w:val="17"/>
              </w:rPr>
              <w:t>Key Measures Mandated</w:t>
            </w:r>
          </w:p>
        </w:tc>
        <w:tc>
          <w:tcPr>
            <w:tcW w:w="3000" w:type="dxa"/>
            <w:shd w:val="clear" w:color="auto" w:fill="1E2761"/>
            <w:tcMar>
              <w:top w:w="90" w:type="dxa"/>
              <w:left w:w="110" w:type="dxa"/>
              <w:bottom w:w="90" w:type="dxa"/>
              <w:right w:w="110" w:type="dxa"/>
            </w:tcMar>
            <w:vAlign w:val="center"/>
          </w:tcPr>
          <w:p w14:paraId="1D2549A6" w14:textId="77777777" w:rsidR="00C07D9A" w:rsidRDefault="006E3075">
            <w:r>
              <w:rPr>
                <w:b/>
                <w:bCs/>
                <w:color w:val="FFFFFF"/>
                <w:sz w:val="17"/>
                <w:szCs w:val="17"/>
              </w:rPr>
              <w:t>Threats Addressed</w:t>
            </w:r>
          </w:p>
        </w:tc>
      </w:tr>
      <w:tr w:rsidR="00C07D9A" w14:paraId="004B2B9A" w14:textId="77777777">
        <w:tc>
          <w:tcPr>
            <w:tcW w:w="2900" w:type="dxa"/>
            <w:tcMar>
              <w:top w:w="90" w:type="dxa"/>
              <w:left w:w="110" w:type="dxa"/>
              <w:bottom w:w="90" w:type="dxa"/>
              <w:right w:w="110" w:type="dxa"/>
            </w:tcMar>
            <w:vAlign w:val="center"/>
          </w:tcPr>
          <w:p w14:paraId="6EA001DD" w14:textId="77777777" w:rsidR="00C07D9A" w:rsidRDefault="006E3075">
            <w:r>
              <w:rPr>
                <w:color w:val="000000"/>
                <w:sz w:val="17"/>
                <w:szCs w:val="17"/>
              </w:rPr>
              <w:t>Access Control (ISO 27001; NIST Protect)</w:t>
            </w:r>
          </w:p>
        </w:tc>
        <w:tc>
          <w:tcPr>
            <w:tcW w:w="3900" w:type="dxa"/>
            <w:tcMar>
              <w:top w:w="90" w:type="dxa"/>
              <w:left w:w="110" w:type="dxa"/>
              <w:bottom w:w="90" w:type="dxa"/>
              <w:right w:w="110" w:type="dxa"/>
            </w:tcMar>
            <w:vAlign w:val="center"/>
          </w:tcPr>
          <w:p w14:paraId="0B747C77" w14:textId="77777777" w:rsidR="00C07D9A" w:rsidRDefault="006E3075">
            <w:r>
              <w:rPr>
                <w:color w:val="000000"/>
                <w:sz w:val="17"/>
                <w:szCs w:val="17"/>
              </w:rPr>
              <w:t>RBAC; least privilege for IT and OT accounts</w:t>
            </w:r>
          </w:p>
        </w:tc>
        <w:tc>
          <w:tcPr>
            <w:tcW w:w="3000" w:type="dxa"/>
            <w:tcMar>
              <w:top w:w="90" w:type="dxa"/>
              <w:left w:w="110" w:type="dxa"/>
              <w:bottom w:w="90" w:type="dxa"/>
              <w:right w:w="110" w:type="dxa"/>
            </w:tcMar>
            <w:vAlign w:val="center"/>
          </w:tcPr>
          <w:p w14:paraId="0ED79A67" w14:textId="77777777" w:rsidR="00C07D9A" w:rsidRDefault="006E3075">
            <w:r>
              <w:rPr>
                <w:color w:val="000000"/>
                <w:sz w:val="17"/>
                <w:szCs w:val="17"/>
              </w:rPr>
              <w:t>Privilege misuse, poor access control, insiders</w:t>
            </w:r>
          </w:p>
        </w:tc>
      </w:tr>
      <w:tr w:rsidR="00C07D9A" w14:paraId="74AF50A1" w14:textId="77777777">
        <w:tc>
          <w:tcPr>
            <w:tcW w:w="2900" w:type="dxa"/>
            <w:shd w:val="clear" w:color="auto" w:fill="F4F6FA"/>
            <w:tcMar>
              <w:top w:w="90" w:type="dxa"/>
              <w:left w:w="110" w:type="dxa"/>
              <w:bottom w:w="90" w:type="dxa"/>
              <w:right w:w="110" w:type="dxa"/>
            </w:tcMar>
            <w:vAlign w:val="center"/>
          </w:tcPr>
          <w:p w14:paraId="5ED45FAD" w14:textId="77777777" w:rsidR="00C07D9A" w:rsidRDefault="006E3075">
            <w:r>
              <w:rPr>
                <w:color w:val="000000"/>
                <w:sz w:val="17"/>
                <w:szCs w:val="17"/>
              </w:rPr>
              <w:t>Password &amp; Authentication (ISO 27001; NIST Protect)</w:t>
            </w:r>
          </w:p>
        </w:tc>
        <w:tc>
          <w:tcPr>
            <w:tcW w:w="3900" w:type="dxa"/>
            <w:shd w:val="clear" w:color="auto" w:fill="F4F6FA"/>
            <w:tcMar>
              <w:top w:w="90" w:type="dxa"/>
              <w:left w:w="110" w:type="dxa"/>
              <w:bottom w:w="90" w:type="dxa"/>
              <w:right w:w="110" w:type="dxa"/>
            </w:tcMar>
            <w:vAlign w:val="center"/>
          </w:tcPr>
          <w:p w14:paraId="14675A8D" w14:textId="77777777" w:rsidR="00C07D9A" w:rsidRDefault="006E3075">
            <w:r>
              <w:rPr>
                <w:color w:val="000000"/>
                <w:sz w:val="17"/>
                <w:szCs w:val="17"/>
              </w:rPr>
              <w:t>Password complexity; mandatory MFA for remote/cloud/privileged access</w:t>
            </w:r>
          </w:p>
        </w:tc>
        <w:tc>
          <w:tcPr>
            <w:tcW w:w="3000" w:type="dxa"/>
            <w:shd w:val="clear" w:color="auto" w:fill="F4F6FA"/>
            <w:tcMar>
              <w:top w:w="90" w:type="dxa"/>
              <w:left w:w="110" w:type="dxa"/>
              <w:bottom w:w="90" w:type="dxa"/>
              <w:right w:w="110" w:type="dxa"/>
            </w:tcMar>
            <w:vAlign w:val="center"/>
          </w:tcPr>
          <w:p w14:paraId="5C0987E5" w14:textId="77777777" w:rsidR="00C07D9A" w:rsidRDefault="006E3075">
            <w:r>
              <w:rPr>
                <w:color w:val="000000"/>
                <w:sz w:val="17"/>
                <w:szCs w:val="17"/>
              </w:rPr>
              <w:t>Weak passwords, credential theft, phishing</w:t>
            </w:r>
          </w:p>
        </w:tc>
      </w:tr>
      <w:tr w:rsidR="00C07D9A" w14:paraId="066DB51E" w14:textId="77777777">
        <w:tc>
          <w:tcPr>
            <w:tcW w:w="2900" w:type="dxa"/>
            <w:tcMar>
              <w:top w:w="90" w:type="dxa"/>
              <w:left w:w="110" w:type="dxa"/>
              <w:bottom w:w="90" w:type="dxa"/>
              <w:right w:w="110" w:type="dxa"/>
            </w:tcMar>
            <w:vAlign w:val="center"/>
          </w:tcPr>
          <w:p w14:paraId="04B514AC" w14:textId="77777777" w:rsidR="00C07D9A" w:rsidRDefault="006E3075">
            <w:r>
              <w:rPr>
                <w:color w:val="000000"/>
                <w:sz w:val="17"/>
                <w:szCs w:val="17"/>
              </w:rPr>
              <w:t>Acceptable Use (ISO 27001 people controls)</w:t>
            </w:r>
          </w:p>
        </w:tc>
        <w:tc>
          <w:tcPr>
            <w:tcW w:w="3900" w:type="dxa"/>
            <w:tcMar>
              <w:top w:w="90" w:type="dxa"/>
              <w:left w:w="110" w:type="dxa"/>
              <w:bottom w:w="90" w:type="dxa"/>
              <w:right w:w="110" w:type="dxa"/>
            </w:tcMar>
            <w:vAlign w:val="center"/>
          </w:tcPr>
          <w:p w14:paraId="31E6B86B" w14:textId="77777777" w:rsidR="00C07D9A" w:rsidRDefault="006E3075">
            <w:r>
              <w:rPr>
                <w:color w:val="000000"/>
                <w:sz w:val="17"/>
                <w:szCs w:val="17"/>
              </w:rPr>
              <w:t>Permitted device/network use; USB media restrictions</w:t>
            </w:r>
          </w:p>
        </w:tc>
        <w:tc>
          <w:tcPr>
            <w:tcW w:w="3000" w:type="dxa"/>
            <w:tcMar>
              <w:top w:w="90" w:type="dxa"/>
              <w:left w:w="110" w:type="dxa"/>
              <w:bottom w:w="90" w:type="dxa"/>
              <w:right w:w="110" w:type="dxa"/>
            </w:tcMar>
            <w:vAlign w:val="center"/>
          </w:tcPr>
          <w:p w14:paraId="7B3DA19B" w14:textId="77777777" w:rsidR="00C07D9A" w:rsidRDefault="006E3075">
            <w:r>
              <w:rPr>
                <w:color w:val="000000"/>
                <w:sz w:val="17"/>
                <w:szCs w:val="17"/>
              </w:rPr>
              <w:t>Unauthorised USB devices, malware</w:t>
            </w:r>
          </w:p>
        </w:tc>
      </w:tr>
      <w:tr w:rsidR="00C07D9A" w14:paraId="2DCE3A0B" w14:textId="77777777">
        <w:tc>
          <w:tcPr>
            <w:tcW w:w="2900" w:type="dxa"/>
            <w:shd w:val="clear" w:color="auto" w:fill="F4F6FA"/>
            <w:tcMar>
              <w:top w:w="90" w:type="dxa"/>
              <w:left w:w="110" w:type="dxa"/>
              <w:bottom w:w="90" w:type="dxa"/>
              <w:right w:w="110" w:type="dxa"/>
            </w:tcMar>
            <w:vAlign w:val="center"/>
          </w:tcPr>
          <w:p w14:paraId="39C9F27A" w14:textId="77777777" w:rsidR="00C07D9A" w:rsidRDefault="006E3075">
            <w:r>
              <w:rPr>
                <w:color w:val="000000"/>
                <w:sz w:val="17"/>
                <w:szCs w:val="17"/>
              </w:rPr>
              <w:t>Data Protection (UK GDPR)</w:t>
            </w:r>
          </w:p>
        </w:tc>
        <w:tc>
          <w:tcPr>
            <w:tcW w:w="3900" w:type="dxa"/>
            <w:shd w:val="clear" w:color="auto" w:fill="F4F6FA"/>
            <w:tcMar>
              <w:top w:w="90" w:type="dxa"/>
              <w:left w:w="110" w:type="dxa"/>
              <w:bottom w:w="90" w:type="dxa"/>
              <w:right w:w="110" w:type="dxa"/>
            </w:tcMar>
            <w:vAlign w:val="center"/>
          </w:tcPr>
          <w:p w14:paraId="1367FD1A" w14:textId="77777777" w:rsidR="00C07D9A" w:rsidRDefault="006E3075">
            <w:r>
              <w:rPr>
                <w:color w:val="000000"/>
                <w:sz w:val="17"/>
                <w:szCs w:val="17"/>
              </w:rPr>
              <w:t>Data classification, lawful basis, retention rules</w:t>
            </w:r>
          </w:p>
        </w:tc>
        <w:tc>
          <w:tcPr>
            <w:tcW w:w="3000" w:type="dxa"/>
            <w:shd w:val="clear" w:color="auto" w:fill="F4F6FA"/>
            <w:tcMar>
              <w:top w:w="90" w:type="dxa"/>
              <w:left w:w="110" w:type="dxa"/>
              <w:bottom w:w="90" w:type="dxa"/>
              <w:right w:w="110" w:type="dxa"/>
            </w:tcMar>
            <w:vAlign w:val="center"/>
          </w:tcPr>
          <w:p w14:paraId="17658C90" w14:textId="77777777" w:rsidR="00C07D9A" w:rsidRDefault="006E3075">
            <w:r>
              <w:rPr>
                <w:color w:val="000000"/>
                <w:sz w:val="17"/>
                <w:szCs w:val="17"/>
              </w:rPr>
              <w:t>Employee mistakes, data exposure, GDPR breach</w:t>
            </w:r>
          </w:p>
        </w:tc>
      </w:tr>
      <w:tr w:rsidR="00C07D9A" w14:paraId="74DFA933" w14:textId="77777777">
        <w:tc>
          <w:tcPr>
            <w:tcW w:w="2900" w:type="dxa"/>
            <w:tcMar>
              <w:top w:w="90" w:type="dxa"/>
              <w:left w:w="110" w:type="dxa"/>
              <w:bottom w:w="90" w:type="dxa"/>
              <w:right w:w="110" w:type="dxa"/>
            </w:tcMar>
            <w:vAlign w:val="center"/>
          </w:tcPr>
          <w:p w14:paraId="5B9587A5" w14:textId="77777777" w:rsidR="00C07D9A" w:rsidRDefault="006E3075">
            <w:r>
              <w:rPr>
                <w:color w:val="000000"/>
                <w:sz w:val="17"/>
                <w:szCs w:val="17"/>
              </w:rPr>
              <w:t>Remote Access (NIST Protect)</w:t>
            </w:r>
          </w:p>
        </w:tc>
        <w:tc>
          <w:tcPr>
            <w:tcW w:w="3900" w:type="dxa"/>
            <w:tcMar>
              <w:top w:w="90" w:type="dxa"/>
              <w:left w:w="110" w:type="dxa"/>
              <w:bottom w:w="90" w:type="dxa"/>
              <w:right w:w="110" w:type="dxa"/>
            </w:tcMar>
            <w:vAlign w:val="center"/>
          </w:tcPr>
          <w:p w14:paraId="1281A201" w14:textId="77777777" w:rsidR="00C07D9A" w:rsidRDefault="006E3075">
            <w:r>
              <w:rPr>
                <w:color w:val="000000"/>
                <w:sz w:val="17"/>
                <w:szCs w:val="17"/>
              </w:rPr>
              <w:t>VPN with MFA; device-compliance checks</w:t>
            </w:r>
          </w:p>
        </w:tc>
        <w:tc>
          <w:tcPr>
            <w:tcW w:w="3000" w:type="dxa"/>
            <w:tcMar>
              <w:top w:w="90" w:type="dxa"/>
              <w:left w:w="110" w:type="dxa"/>
              <w:bottom w:w="90" w:type="dxa"/>
              <w:right w:w="110" w:type="dxa"/>
            </w:tcMar>
            <w:vAlign w:val="center"/>
          </w:tcPr>
          <w:p w14:paraId="1230CAC5" w14:textId="77777777" w:rsidR="00C07D9A" w:rsidRDefault="006E3075">
            <w:r>
              <w:rPr>
                <w:color w:val="000000"/>
                <w:sz w:val="17"/>
                <w:szCs w:val="17"/>
              </w:rPr>
              <w:t>Credential theft, unauthorised access</w:t>
            </w:r>
          </w:p>
        </w:tc>
      </w:tr>
      <w:tr w:rsidR="00C07D9A" w14:paraId="4428BA76" w14:textId="77777777">
        <w:tc>
          <w:tcPr>
            <w:tcW w:w="2900" w:type="dxa"/>
            <w:shd w:val="clear" w:color="auto" w:fill="F4F6FA"/>
            <w:tcMar>
              <w:top w:w="90" w:type="dxa"/>
              <w:left w:w="110" w:type="dxa"/>
              <w:bottom w:w="90" w:type="dxa"/>
              <w:right w:w="110" w:type="dxa"/>
            </w:tcMar>
            <w:vAlign w:val="center"/>
          </w:tcPr>
          <w:p w14:paraId="436B0E3A" w14:textId="77777777" w:rsidR="00C07D9A" w:rsidRDefault="006E3075">
            <w:r>
              <w:rPr>
                <w:color w:val="000000"/>
                <w:sz w:val="17"/>
                <w:szCs w:val="17"/>
              </w:rPr>
              <w:t>Incident Response (NIST Respond)</w:t>
            </w:r>
          </w:p>
        </w:tc>
        <w:tc>
          <w:tcPr>
            <w:tcW w:w="3900" w:type="dxa"/>
            <w:shd w:val="clear" w:color="auto" w:fill="F4F6FA"/>
            <w:tcMar>
              <w:top w:w="90" w:type="dxa"/>
              <w:left w:w="110" w:type="dxa"/>
              <w:bottom w:w="90" w:type="dxa"/>
              <w:right w:w="110" w:type="dxa"/>
            </w:tcMar>
            <w:vAlign w:val="center"/>
          </w:tcPr>
          <w:p w14:paraId="7D0D94EB" w14:textId="77777777" w:rsidR="00C07D9A" w:rsidRDefault="006E3075">
            <w:r>
              <w:rPr>
                <w:color w:val="000000"/>
                <w:sz w:val="17"/>
                <w:szCs w:val="17"/>
              </w:rPr>
              <w:t>Roles, escalation paths, reporting timelines</w:t>
            </w:r>
          </w:p>
        </w:tc>
        <w:tc>
          <w:tcPr>
            <w:tcW w:w="3000" w:type="dxa"/>
            <w:shd w:val="clear" w:color="auto" w:fill="F4F6FA"/>
            <w:tcMar>
              <w:top w:w="90" w:type="dxa"/>
              <w:left w:w="110" w:type="dxa"/>
              <w:bottom w:w="90" w:type="dxa"/>
              <w:right w:w="110" w:type="dxa"/>
            </w:tcMar>
            <w:vAlign w:val="center"/>
          </w:tcPr>
          <w:p w14:paraId="0D16F103" w14:textId="77777777" w:rsidR="00C07D9A" w:rsidRDefault="006E3075">
            <w:r>
              <w:rPr>
                <w:color w:val="000000"/>
                <w:sz w:val="17"/>
                <w:szCs w:val="17"/>
              </w:rPr>
              <w:t>All threats — enables timely containment</w:t>
            </w:r>
          </w:p>
        </w:tc>
      </w:tr>
      <w:tr w:rsidR="00C07D9A" w14:paraId="5A3BA506" w14:textId="77777777">
        <w:tc>
          <w:tcPr>
            <w:tcW w:w="2900" w:type="dxa"/>
            <w:tcMar>
              <w:top w:w="90" w:type="dxa"/>
              <w:left w:w="110" w:type="dxa"/>
              <w:bottom w:w="90" w:type="dxa"/>
              <w:right w:w="110" w:type="dxa"/>
            </w:tcMar>
            <w:vAlign w:val="center"/>
          </w:tcPr>
          <w:p w14:paraId="69860773" w14:textId="77777777" w:rsidR="00C07D9A" w:rsidRDefault="006E3075">
            <w:r>
              <w:rPr>
                <w:color w:val="000000"/>
                <w:sz w:val="17"/>
                <w:szCs w:val="17"/>
              </w:rPr>
              <w:t>Backup &amp; Recovery (NIST Recover)</w:t>
            </w:r>
          </w:p>
        </w:tc>
        <w:tc>
          <w:tcPr>
            <w:tcW w:w="3900" w:type="dxa"/>
            <w:tcMar>
              <w:top w:w="90" w:type="dxa"/>
              <w:left w:w="110" w:type="dxa"/>
              <w:bottom w:w="90" w:type="dxa"/>
              <w:right w:w="110" w:type="dxa"/>
            </w:tcMar>
            <w:vAlign w:val="center"/>
          </w:tcPr>
          <w:p w14:paraId="55D8A4A9" w14:textId="77777777" w:rsidR="00C07D9A" w:rsidRDefault="006E3075">
            <w:r>
              <w:rPr>
                <w:color w:val="000000"/>
                <w:sz w:val="17"/>
                <w:szCs w:val="17"/>
              </w:rPr>
              <w:t>Encrypted, immutable/offline backups; restore testing</w:t>
            </w:r>
          </w:p>
        </w:tc>
        <w:tc>
          <w:tcPr>
            <w:tcW w:w="3000" w:type="dxa"/>
            <w:tcMar>
              <w:top w:w="90" w:type="dxa"/>
              <w:left w:w="110" w:type="dxa"/>
              <w:bottom w:w="90" w:type="dxa"/>
              <w:right w:w="110" w:type="dxa"/>
            </w:tcMar>
            <w:vAlign w:val="center"/>
          </w:tcPr>
          <w:p w14:paraId="7331D815" w14:textId="77777777" w:rsidR="00C07D9A" w:rsidRDefault="006E3075">
            <w:r>
              <w:rPr>
                <w:color w:val="000000"/>
                <w:sz w:val="17"/>
                <w:szCs w:val="17"/>
              </w:rPr>
              <w:t>Ransomware, malware, data loss</w:t>
            </w:r>
          </w:p>
        </w:tc>
      </w:tr>
      <w:tr w:rsidR="00C07D9A" w14:paraId="643DF04B" w14:textId="77777777">
        <w:tc>
          <w:tcPr>
            <w:tcW w:w="2900" w:type="dxa"/>
            <w:shd w:val="clear" w:color="auto" w:fill="F4F6FA"/>
            <w:tcMar>
              <w:top w:w="90" w:type="dxa"/>
              <w:left w:w="110" w:type="dxa"/>
              <w:bottom w:w="90" w:type="dxa"/>
              <w:right w:w="110" w:type="dxa"/>
            </w:tcMar>
            <w:vAlign w:val="center"/>
          </w:tcPr>
          <w:p w14:paraId="3D36B9B6" w14:textId="77777777" w:rsidR="00C07D9A" w:rsidRDefault="006E3075">
            <w:r>
              <w:rPr>
                <w:color w:val="000000"/>
                <w:sz w:val="17"/>
                <w:szCs w:val="17"/>
              </w:rPr>
              <w:t xml:space="preserve">IoT Security (NIST </w:t>
            </w:r>
            <w:proofErr w:type="spellStart"/>
            <w:r>
              <w:rPr>
                <w:color w:val="000000"/>
                <w:sz w:val="17"/>
                <w:szCs w:val="17"/>
              </w:rPr>
              <w:t>Mfg</w:t>
            </w:r>
            <w:proofErr w:type="spellEnd"/>
            <w:r>
              <w:rPr>
                <w:color w:val="000000"/>
                <w:sz w:val="17"/>
                <w:szCs w:val="17"/>
              </w:rPr>
              <w:t xml:space="preserve"> Profile)</w:t>
            </w:r>
          </w:p>
        </w:tc>
        <w:tc>
          <w:tcPr>
            <w:tcW w:w="3900" w:type="dxa"/>
            <w:shd w:val="clear" w:color="auto" w:fill="F4F6FA"/>
            <w:tcMar>
              <w:top w:w="90" w:type="dxa"/>
              <w:left w:w="110" w:type="dxa"/>
              <w:bottom w:w="90" w:type="dxa"/>
              <w:right w:w="110" w:type="dxa"/>
            </w:tcMar>
            <w:vAlign w:val="center"/>
          </w:tcPr>
          <w:p w14:paraId="777F4F7C" w14:textId="77777777" w:rsidR="00C07D9A" w:rsidRDefault="006E3075">
            <w:r>
              <w:rPr>
                <w:color w:val="000000"/>
                <w:sz w:val="17"/>
                <w:szCs w:val="17"/>
              </w:rPr>
              <w:t>Unique credentials, segmentation, firmware patching</w:t>
            </w:r>
          </w:p>
        </w:tc>
        <w:tc>
          <w:tcPr>
            <w:tcW w:w="3000" w:type="dxa"/>
            <w:shd w:val="clear" w:color="auto" w:fill="F4F6FA"/>
            <w:tcMar>
              <w:top w:w="90" w:type="dxa"/>
              <w:left w:w="110" w:type="dxa"/>
              <w:bottom w:w="90" w:type="dxa"/>
              <w:right w:w="110" w:type="dxa"/>
            </w:tcMar>
            <w:vAlign w:val="center"/>
          </w:tcPr>
          <w:p w14:paraId="6A19361D" w14:textId="77777777" w:rsidR="00C07D9A" w:rsidRDefault="006E3075">
            <w:r>
              <w:rPr>
                <w:color w:val="000000"/>
                <w:sz w:val="17"/>
                <w:szCs w:val="17"/>
              </w:rPr>
              <w:t>IoT attacks, insiders pivoting via OT</w:t>
            </w:r>
          </w:p>
        </w:tc>
      </w:tr>
      <w:tr w:rsidR="00C07D9A" w14:paraId="19487045" w14:textId="77777777">
        <w:tc>
          <w:tcPr>
            <w:tcW w:w="2900" w:type="dxa"/>
            <w:tcMar>
              <w:top w:w="90" w:type="dxa"/>
              <w:left w:w="110" w:type="dxa"/>
              <w:bottom w:w="90" w:type="dxa"/>
              <w:right w:w="110" w:type="dxa"/>
            </w:tcMar>
            <w:vAlign w:val="center"/>
          </w:tcPr>
          <w:p w14:paraId="37384D74" w14:textId="77777777" w:rsidR="00C07D9A" w:rsidRDefault="006E3075">
            <w:r>
              <w:rPr>
                <w:color w:val="000000"/>
                <w:sz w:val="17"/>
                <w:szCs w:val="17"/>
              </w:rPr>
              <w:t>Third-Party/Supplier (ISO 27001; NIST Govern)</w:t>
            </w:r>
          </w:p>
        </w:tc>
        <w:tc>
          <w:tcPr>
            <w:tcW w:w="3900" w:type="dxa"/>
            <w:tcMar>
              <w:top w:w="90" w:type="dxa"/>
              <w:left w:w="110" w:type="dxa"/>
              <w:bottom w:w="90" w:type="dxa"/>
              <w:right w:w="110" w:type="dxa"/>
            </w:tcMar>
            <w:vAlign w:val="center"/>
          </w:tcPr>
          <w:p w14:paraId="06003DAD" w14:textId="77777777" w:rsidR="00C07D9A" w:rsidRDefault="006E3075">
            <w:r>
              <w:rPr>
                <w:color w:val="000000"/>
                <w:sz w:val="17"/>
                <w:szCs w:val="17"/>
              </w:rPr>
              <w:t>Minimum security requirements, vendor due diligence</w:t>
            </w:r>
          </w:p>
        </w:tc>
        <w:tc>
          <w:tcPr>
            <w:tcW w:w="3000" w:type="dxa"/>
            <w:tcMar>
              <w:top w:w="90" w:type="dxa"/>
              <w:left w:w="110" w:type="dxa"/>
              <w:bottom w:w="90" w:type="dxa"/>
              <w:right w:w="110" w:type="dxa"/>
            </w:tcMar>
            <w:vAlign w:val="center"/>
          </w:tcPr>
          <w:p w14:paraId="524AC3DA" w14:textId="77777777" w:rsidR="00C07D9A" w:rsidRDefault="006E3075">
            <w:r>
              <w:rPr>
                <w:color w:val="000000"/>
                <w:sz w:val="17"/>
                <w:szCs w:val="17"/>
              </w:rPr>
              <w:t>Supply-chain attacks, espionage</w:t>
            </w:r>
          </w:p>
        </w:tc>
      </w:tr>
      <w:tr w:rsidR="00C07D9A" w14:paraId="3CB236AD" w14:textId="77777777">
        <w:tc>
          <w:tcPr>
            <w:tcW w:w="2900" w:type="dxa"/>
            <w:shd w:val="clear" w:color="auto" w:fill="F4F6FA"/>
            <w:tcMar>
              <w:top w:w="90" w:type="dxa"/>
              <w:left w:w="110" w:type="dxa"/>
              <w:bottom w:w="90" w:type="dxa"/>
              <w:right w:w="110" w:type="dxa"/>
            </w:tcMar>
            <w:vAlign w:val="center"/>
          </w:tcPr>
          <w:p w14:paraId="0B07B407" w14:textId="77777777" w:rsidR="00C07D9A" w:rsidRDefault="006E3075">
            <w:r>
              <w:rPr>
                <w:color w:val="000000"/>
                <w:sz w:val="17"/>
                <w:szCs w:val="17"/>
              </w:rPr>
              <w:t>Patch Management (NIST Protect)</w:t>
            </w:r>
          </w:p>
        </w:tc>
        <w:tc>
          <w:tcPr>
            <w:tcW w:w="3900" w:type="dxa"/>
            <w:shd w:val="clear" w:color="auto" w:fill="F4F6FA"/>
            <w:tcMar>
              <w:top w:w="90" w:type="dxa"/>
              <w:left w:w="110" w:type="dxa"/>
              <w:bottom w:w="90" w:type="dxa"/>
              <w:right w:w="110" w:type="dxa"/>
            </w:tcMar>
            <w:vAlign w:val="center"/>
          </w:tcPr>
          <w:p w14:paraId="4192236B" w14:textId="77777777" w:rsidR="00C07D9A" w:rsidRDefault="006E3075">
            <w:r>
              <w:rPr>
                <w:color w:val="000000"/>
                <w:sz w:val="17"/>
                <w:szCs w:val="17"/>
              </w:rPr>
              <w:t>Patch timescales; compensating controls for legacy OT</w:t>
            </w:r>
          </w:p>
        </w:tc>
        <w:tc>
          <w:tcPr>
            <w:tcW w:w="3000" w:type="dxa"/>
            <w:shd w:val="clear" w:color="auto" w:fill="F4F6FA"/>
            <w:tcMar>
              <w:top w:w="90" w:type="dxa"/>
              <w:left w:w="110" w:type="dxa"/>
              <w:bottom w:w="90" w:type="dxa"/>
              <w:right w:w="110" w:type="dxa"/>
            </w:tcMar>
            <w:vAlign w:val="center"/>
          </w:tcPr>
          <w:p w14:paraId="1E65A686" w14:textId="77777777" w:rsidR="00C07D9A" w:rsidRDefault="006E3075">
            <w:r>
              <w:rPr>
                <w:color w:val="000000"/>
                <w:sz w:val="17"/>
                <w:szCs w:val="17"/>
              </w:rPr>
              <w:t>Malware, ransomware, exploited vulnerabilities</w:t>
            </w:r>
          </w:p>
        </w:tc>
      </w:tr>
    </w:tbl>
    <w:p w14:paraId="1BE85614" w14:textId="77777777" w:rsidR="00C07D9A" w:rsidRDefault="006E3075">
      <w:pPr>
        <w:spacing w:before="50" w:after="220"/>
        <w:jc w:val="center"/>
      </w:pPr>
      <w:r>
        <w:rPr>
          <w:i/>
          <w:iCs/>
          <w:color w:val="555555"/>
          <w:sz w:val="19"/>
          <w:szCs w:val="19"/>
        </w:rPr>
        <w:t>Table 1. Security Policies and Mitigation Measures.</w:t>
      </w:r>
    </w:p>
    <w:p w14:paraId="3B3AFED4" w14:textId="77777777" w:rsidR="00C07D9A" w:rsidRDefault="006E3075">
      <w:pPr>
        <w:spacing w:after="130" w:line="264" w:lineRule="auto"/>
        <w:jc w:val="both"/>
      </w:pPr>
      <w:r>
        <w:t>Together, these give SFM a documented ISMS: each maps a control gap from Section 3 to a concrete measure, creating the accountability trail ISO 27001 and GDPR require.</w:t>
      </w:r>
    </w:p>
    <w:p w14:paraId="614EE261" w14:textId="77777777" w:rsidR="00C07D9A" w:rsidRDefault="006E3075">
      <w:pPr>
        <w:pStyle w:val="Heading1"/>
      </w:pPr>
      <w:bookmarkStart w:id="7" w:name="_Toc237302607"/>
      <w:r>
        <w:t>5. Mitigation Measures</w:t>
      </w:r>
      <w:bookmarkEnd w:id="7"/>
    </w:p>
    <w:p w14:paraId="2A4F9B80" w14:textId="77777777" w:rsidR="00C07D9A" w:rsidRDefault="006E3075">
      <w:pPr>
        <w:spacing w:after="130" w:line="264" w:lineRule="auto"/>
        <w:jc w:val="both"/>
      </w:pPr>
      <w:r>
        <w:t>Policies set expectations; these measures implement them, prioritised by impact against SFM's most likely threats.</w:t>
      </w:r>
    </w:p>
    <w:p w14:paraId="4B0D456E" w14:textId="39963A4A" w:rsidR="00C07D9A" w:rsidRDefault="006E3075">
      <w:pPr>
        <w:pStyle w:val="ListParagraph"/>
        <w:numPr>
          <w:ilvl w:val="0"/>
          <w:numId w:val="2"/>
        </w:numPr>
        <w:spacing w:after="70"/>
      </w:pPr>
      <w:r>
        <w:rPr>
          <w:b/>
          <w:bCs/>
        </w:rPr>
        <w:t xml:space="preserve">MFA </w:t>
      </w:r>
      <w:r>
        <w:t xml:space="preserve">on all remote, cloud and privileged accounts — closes the costliest failure point in sector data </w:t>
      </w:r>
      <w:sdt>
        <w:sdtPr>
          <w:id w:val="1823770972"/>
          <w:citation/>
        </w:sdtPr>
        <w:sdtContent>
          <w:r w:rsidR="00B57F91">
            <w:fldChar w:fldCharType="begin"/>
          </w:r>
          <w:r w:rsidR="00B57F91">
            <w:rPr>
              <w:lang w:val="uk-UA"/>
            </w:rPr>
            <w:instrText xml:space="preserve"> CITATION Res26 \l 1058 </w:instrText>
          </w:r>
          <w:r w:rsidR="00B57F91">
            <w:fldChar w:fldCharType="separate"/>
          </w:r>
          <w:r w:rsidR="00EE38F1" w:rsidRPr="00EE38F1">
            <w:rPr>
              <w:noProof/>
              <w:lang w:val="uk-UA"/>
            </w:rPr>
            <w:t>[2]</w:t>
          </w:r>
          <w:r w:rsidR="00B57F91">
            <w:fldChar w:fldCharType="end"/>
          </w:r>
        </w:sdtContent>
      </w:sdt>
      <w:r w:rsidR="00B57F91">
        <w:rPr>
          <w:lang w:val="uk-UA"/>
        </w:rPr>
        <w:t xml:space="preserve"> </w:t>
      </w:r>
      <w:r>
        <w:t>and blocks most credential-theft and phishing follow-through.</w:t>
      </w:r>
    </w:p>
    <w:p w14:paraId="572D752F" w14:textId="77777777" w:rsidR="00C07D9A" w:rsidRDefault="006E3075">
      <w:pPr>
        <w:pStyle w:val="ListParagraph"/>
        <w:numPr>
          <w:ilvl w:val="0"/>
          <w:numId w:val="2"/>
        </w:numPr>
        <w:spacing w:after="70"/>
      </w:pPr>
      <w:r>
        <w:rPr>
          <w:b/>
          <w:bCs/>
        </w:rPr>
        <w:t xml:space="preserve">Network segmentation </w:t>
      </w:r>
      <w:r>
        <w:t>separating corporate IT, cloud gateway, production/OT and IoT into distinct zones (Figure 2), so one zone's compromise cannot spread.</w:t>
      </w:r>
    </w:p>
    <w:p w14:paraId="05F57F51" w14:textId="77777777" w:rsidR="00C07D9A" w:rsidRDefault="006E3075">
      <w:pPr>
        <w:pStyle w:val="ListParagraph"/>
        <w:numPr>
          <w:ilvl w:val="0"/>
          <w:numId w:val="2"/>
        </w:numPr>
        <w:spacing w:after="70"/>
      </w:pPr>
      <w:r>
        <w:rPr>
          <w:b/>
          <w:bCs/>
        </w:rPr>
        <w:t xml:space="preserve">EDR </w:t>
      </w:r>
      <w:r>
        <w:t>on engineering workstations, servers and PLC terminals, detecting and containing malware, including ransomware, before encryption or exfiltration.</w:t>
      </w:r>
    </w:p>
    <w:p w14:paraId="362207D7" w14:textId="77777777" w:rsidR="00C07D9A" w:rsidRDefault="006E3075">
      <w:pPr>
        <w:pStyle w:val="ListParagraph"/>
        <w:numPr>
          <w:ilvl w:val="0"/>
          <w:numId w:val="2"/>
        </w:numPr>
        <w:spacing w:after="70"/>
      </w:pPr>
      <w:r>
        <w:rPr>
          <w:b/>
          <w:bCs/>
        </w:rPr>
        <w:t xml:space="preserve">Email filtering </w:t>
      </w:r>
      <w:r>
        <w:t>scanning inbound mail for malicious attachments and spoofed supplier domains.</w:t>
      </w:r>
    </w:p>
    <w:p w14:paraId="52938C89" w14:textId="77777777" w:rsidR="00C07D9A" w:rsidRDefault="006E3075">
      <w:pPr>
        <w:pStyle w:val="ListParagraph"/>
        <w:numPr>
          <w:ilvl w:val="0"/>
          <w:numId w:val="2"/>
        </w:numPr>
        <w:spacing w:after="70"/>
      </w:pPr>
      <w:r>
        <w:rPr>
          <w:b/>
          <w:bCs/>
        </w:rPr>
        <w:t xml:space="preserve">Encryption </w:t>
      </w:r>
      <w:r>
        <w:t>of data at rest and in transit for the cloud system and personal data covered by GDPR.</w:t>
      </w:r>
    </w:p>
    <w:p w14:paraId="01833DEA" w14:textId="77777777" w:rsidR="00C07D9A" w:rsidRDefault="006E3075">
      <w:pPr>
        <w:pStyle w:val="ListParagraph"/>
        <w:numPr>
          <w:ilvl w:val="0"/>
          <w:numId w:val="2"/>
        </w:numPr>
        <w:spacing w:after="70"/>
      </w:pPr>
      <w:r>
        <w:rPr>
          <w:b/>
          <w:bCs/>
        </w:rPr>
        <w:t xml:space="preserve">Patch management </w:t>
      </w:r>
      <w:r>
        <w:t>defined IT patch timescales, with compensating controls for OT equipment that cannot be patched without halting production.</w:t>
      </w:r>
    </w:p>
    <w:p w14:paraId="22EADAD4" w14:textId="77777777" w:rsidR="00C07D9A" w:rsidRDefault="006E3075">
      <w:pPr>
        <w:pStyle w:val="ListParagraph"/>
        <w:numPr>
          <w:ilvl w:val="0"/>
          <w:numId w:val="2"/>
        </w:numPr>
        <w:spacing w:after="70"/>
      </w:pPr>
      <w:r>
        <w:rPr>
          <w:b/>
          <w:bCs/>
        </w:rPr>
        <w:t xml:space="preserve">Immutable, tested backups </w:t>
      </w:r>
      <w:r>
        <w:t>offline/air-gapped, with scheduled restoration drills, so ransomware can be recovered from without paying.</w:t>
      </w:r>
    </w:p>
    <w:p w14:paraId="26D9BFED" w14:textId="77777777" w:rsidR="00C07D9A" w:rsidRDefault="006E3075">
      <w:pPr>
        <w:pStyle w:val="ListParagraph"/>
        <w:numPr>
          <w:ilvl w:val="0"/>
          <w:numId w:val="2"/>
        </w:numPr>
        <w:spacing w:after="70"/>
      </w:pPr>
      <w:r>
        <w:rPr>
          <w:b/>
          <w:bCs/>
        </w:rPr>
        <w:t xml:space="preserve">Least privilege / RBAC </w:t>
      </w:r>
      <w:r>
        <w:t>limiting every account to only what it needs, so one compromised credential cannot reach everything.</w:t>
      </w:r>
    </w:p>
    <w:p w14:paraId="0AA49BF7" w14:textId="77777777" w:rsidR="00C07D9A" w:rsidRDefault="006E3075">
      <w:pPr>
        <w:pStyle w:val="ListParagraph"/>
        <w:numPr>
          <w:ilvl w:val="0"/>
          <w:numId w:val="2"/>
        </w:numPr>
        <w:spacing w:after="70"/>
      </w:pPr>
      <w:r>
        <w:rPr>
          <w:b/>
          <w:bCs/>
        </w:rPr>
        <w:t xml:space="preserve">IDS/IPS </w:t>
      </w:r>
      <w:r>
        <w:t>monitoring production and IoT segments for reconnaissance or lateral-movement traffic.</w:t>
      </w:r>
    </w:p>
    <w:p w14:paraId="67FFF8AE" w14:textId="77777777" w:rsidR="00C07D9A" w:rsidRDefault="006E3075">
      <w:pPr>
        <w:pStyle w:val="ListParagraph"/>
        <w:numPr>
          <w:ilvl w:val="0"/>
          <w:numId w:val="2"/>
        </w:numPr>
        <w:spacing w:after="70"/>
      </w:pPr>
      <w:r>
        <w:rPr>
          <w:b/>
          <w:bCs/>
        </w:rPr>
        <w:t xml:space="preserve">Zero Trust </w:t>
      </w:r>
      <w:r>
        <w:t>verifying every access request regardless of network location, given SFM's mix of cloud, on-site and IoT systems.</w:t>
      </w:r>
    </w:p>
    <w:p w14:paraId="61F41844" w14:textId="77777777" w:rsidR="00C07D9A" w:rsidRDefault="006E3075">
      <w:pPr>
        <w:spacing w:before="160"/>
        <w:jc w:val="center"/>
      </w:pPr>
      <w:r>
        <w:rPr>
          <w:noProof/>
        </w:rPr>
        <w:drawing>
          <wp:inline distT="0" distB="0" distL="0" distR="0" wp14:anchorId="334B1D73" wp14:editId="03494538">
            <wp:extent cx="6453891" cy="3661595"/>
            <wp:effectExtent l="0" t="0" r="0" b="0"/>
            <wp:docPr id="1733658978" name="Picture 1733658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453891" cy="3661595"/>
                    </a:xfrm>
                    <a:prstGeom prst="rect">
                      <a:avLst/>
                    </a:prstGeom>
                  </pic:spPr>
                </pic:pic>
              </a:graphicData>
            </a:graphic>
          </wp:inline>
        </w:drawing>
      </w:r>
    </w:p>
    <w:p w14:paraId="6C53E42F" w14:textId="77777777" w:rsidR="00C07D9A" w:rsidRDefault="006E3075">
      <w:pPr>
        <w:spacing w:before="50" w:after="220"/>
        <w:jc w:val="center"/>
      </w:pPr>
      <w:r>
        <w:rPr>
          <w:i/>
          <w:iCs/>
          <w:color w:val="555555"/>
          <w:sz w:val="19"/>
          <w:szCs w:val="19"/>
        </w:rPr>
        <w:t>Figure 2. Proposed network segmentation for SFM.</w:t>
      </w:r>
    </w:p>
    <w:p w14:paraId="6965C619" w14:textId="77777777" w:rsidR="00C07D9A" w:rsidRDefault="006E3075">
      <w:pPr>
        <w:pStyle w:val="Heading1"/>
      </w:pPr>
      <w:bookmarkStart w:id="8" w:name="_Toc237302608"/>
      <w:r>
        <w:t>6. Threat, Risk and Mitigation Overview</w:t>
      </w:r>
      <w:bookmarkEnd w:id="8"/>
    </w:p>
    <w:p w14:paraId="006DA3FF" w14:textId="77777777" w:rsidR="00C07D9A" w:rsidRDefault="006E3075">
      <w:pPr>
        <w:spacing w:after="130" w:line="264" w:lineRule="auto"/>
        <w:jc w:val="both"/>
      </w:pPr>
      <w:r>
        <w:t>Table 2 consolidates Section 3's threats with business impact and mitigation, giving the Board a single risk reference.</w:t>
      </w:r>
    </w:p>
    <w:tbl>
      <w:tblPr>
        <w:tblW w:w="9800" w:type="dxa"/>
        <w:tblBorders>
          <w:top w:val="single" w:sz="4" w:space="0" w:color="AAAAAA"/>
          <w:left w:val="single" w:sz="4" w:space="0" w:color="AAAAAA"/>
          <w:bottom w:val="single" w:sz="4" w:space="0" w:color="AAAAAA"/>
          <w:right w:val="single" w:sz="4" w:space="0" w:color="AAAAAA"/>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1900"/>
        <w:gridCol w:w="3600"/>
        <w:gridCol w:w="4300"/>
      </w:tblGrid>
      <w:tr w:rsidR="00C07D9A" w14:paraId="0C0810BB" w14:textId="77777777">
        <w:trPr>
          <w:tblHeader/>
        </w:trPr>
        <w:tc>
          <w:tcPr>
            <w:tcW w:w="1900" w:type="dxa"/>
            <w:shd w:val="clear" w:color="auto" w:fill="1E2761"/>
            <w:tcMar>
              <w:top w:w="90" w:type="dxa"/>
              <w:left w:w="110" w:type="dxa"/>
              <w:bottom w:w="90" w:type="dxa"/>
              <w:right w:w="110" w:type="dxa"/>
            </w:tcMar>
            <w:vAlign w:val="center"/>
          </w:tcPr>
          <w:p w14:paraId="09392B3B" w14:textId="77777777" w:rsidR="00C07D9A" w:rsidRDefault="006E3075">
            <w:r>
              <w:rPr>
                <w:b/>
                <w:bCs/>
                <w:color w:val="FFFFFF"/>
                <w:sz w:val="18"/>
                <w:szCs w:val="18"/>
              </w:rPr>
              <w:t>Threat</w:t>
            </w:r>
          </w:p>
        </w:tc>
        <w:tc>
          <w:tcPr>
            <w:tcW w:w="3600" w:type="dxa"/>
            <w:shd w:val="clear" w:color="auto" w:fill="1E2761"/>
            <w:tcMar>
              <w:top w:w="90" w:type="dxa"/>
              <w:left w:w="110" w:type="dxa"/>
              <w:bottom w:w="90" w:type="dxa"/>
              <w:right w:w="110" w:type="dxa"/>
            </w:tcMar>
            <w:vAlign w:val="center"/>
          </w:tcPr>
          <w:p w14:paraId="713C35BF" w14:textId="77777777" w:rsidR="00C07D9A" w:rsidRDefault="006E3075">
            <w:r>
              <w:rPr>
                <w:b/>
                <w:bCs/>
                <w:color w:val="FFFFFF"/>
                <w:sz w:val="18"/>
                <w:szCs w:val="18"/>
              </w:rPr>
              <w:t>Potential Impact</w:t>
            </w:r>
          </w:p>
        </w:tc>
        <w:tc>
          <w:tcPr>
            <w:tcW w:w="4300" w:type="dxa"/>
            <w:shd w:val="clear" w:color="auto" w:fill="1E2761"/>
            <w:tcMar>
              <w:top w:w="90" w:type="dxa"/>
              <w:left w:w="110" w:type="dxa"/>
              <w:bottom w:w="90" w:type="dxa"/>
              <w:right w:w="110" w:type="dxa"/>
            </w:tcMar>
            <w:vAlign w:val="center"/>
          </w:tcPr>
          <w:p w14:paraId="2DE6D863" w14:textId="77777777" w:rsidR="00C07D9A" w:rsidRDefault="006E3075">
            <w:r>
              <w:rPr>
                <w:b/>
                <w:bCs/>
                <w:color w:val="FFFFFF"/>
                <w:sz w:val="18"/>
                <w:szCs w:val="18"/>
              </w:rPr>
              <w:t>Mitigation</w:t>
            </w:r>
          </w:p>
        </w:tc>
      </w:tr>
      <w:tr w:rsidR="00C07D9A" w14:paraId="723D9239" w14:textId="77777777">
        <w:tc>
          <w:tcPr>
            <w:tcW w:w="1900" w:type="dxa"/>
            <w:tcMar>
              <w:top w:w="90" w:type="dxa"/>
              <w:left w:w="110" w:type="dxa"/>
              <w:bottom w:w="90" w:type="dxa"/>
              <w:right w:w="110" w:type="dxa"/>
            </w:tcMar>
            <w:vAlign w:val="center"/>
          </w:tcPr>
          <w:p w14:paraId="2C768357" w14:textId="77777777" w:rsidR="00C07D9A" w:rsidRDefault="006E3075">
            <w:r>
              <w:rPr>
                <w:color w:val="000000"/>
                <w:sz w:val="18"/>
                <w:szCs w:val="18"/>
              </w:rPr>
              <w:t>Ransomware</w:t>
            </w:r>
          </w:p>
        </w:tc>
        <w:tc>
          <w:tcPr>
            <w:tcW w:w="3600" w:type="dxa"/>
            <w:tcMar>
              <w:top w:w="90" w:type="dxa"/>
              <w:left w:w="110" w:type="dxa"/>
              <w:bottom w:w="90" w:type="dxa"/>
              <w:right w:w="110" w:type="dxa"/>
            </w:tcMar>
            <w:vAlign w:val="center"/>
          </w:tcPr>
          <w:p w14:paraId="59997D4A" w14:textId="77777777" w:rsidR="00C07D9A" w:rsidRDefault="006E3075">
            <w:r>
              <w:rPr>
                <w:color w:val="000000"/>
                <w:sz w:val="18"/>
                <w:szCs w:val="18"/>
              </w:rPr>
              <w:t>Production downtime; encryption/exfiltration</w:t>
            </w:r>
          </w:p>
        </w:tc>
        <w:tc>
          <w:tcPr>
            <w:tcW w:w="4300" w:type="dxa"/>
            <w:tcMar>
              <w:top w:w="90" w:type="dxa"/>
              <w:left w:w="110" w:type="dxa"/>
              <w:bottom w:w="90" w:type="dxa"/>
              <w:right w:w="110" w:type="dxa"/>
            </w:tcMar>
            <w:vAlign w:val="center"/>
          </w:tcPr>
          <w:p w14:paraId="7068742B" w14:textId="77777777" w:rsidR="00C07D9A" w:rsidRDefault="006E3075">
            <w:r>
              <w:rPr>
                <w:color w:val="000000"/>
                <w:sz w:val="18"/>
                <w:szCs w:val="18"/>
              </w:rPr>
              <w:t>EDR, immutable backups, segmentation, MFA, patching</w:t>
            </w:r>
          </w:p>
        </w:tc>
      </w:tr>
      <w:tr w:rsidR="00C07D9A" w14:paraId="4B2DDD57" w14:textId="77777777">
        <w:tc>
          <w:tcPr>
            <w:tcW w:w="1900" w:type="dxa"/>
            <w:shd w:val="clear" w:color="auto" w:fill="F4F6FA"/>
            <w:tcMar>
              <w:top w:w="90" w:type="dxa"/>
              <w:left w:w="110" w:type="dxa"/>
              <w:bottom w:w="90" w:type="dxa"/>
              <w:right w:w="110" w:type="dxa"/>
            </w:tcMar>
            <w:vAlign w:val="center"/>
          </w:tcPr>
          <w:p w14:paraId="3F1F979B" w14:textId="77777777" w:rsidR="00C07D9A" w:rsidRDefault="006E3075">
            <w:r>
              <w:rPr>
                <w:color w:val="000000"/>
                <w:sz w:val="18"/>
                <w:szCs w:val="18"/>
              </w:rPr>
              <w:t>Phishing</w:t>
            </w:r>
          </w:p>
        </w:tc>
        <w:tc>
          <w:tcPr>
            <w:tcW w:w="3600" w:type="dxa"/>
            <w:shd w:val="clear" w:color="auto" w:fill="F4F6FA"/>
            <w:tcMar>
              <w:top w:w="90" w:type="dxa"/>
              <w:left w:w="110" w:type="dxa"/>
              <w:bottom w:w="90" w:type="dxa"/>
              <w:right w:w="110" w:type="dxa"/>
            </w:tcMar>
            <w:vAlign w:val="center"/>
          </w:tcPr>
          <w:p w14:paraId="3A07FBBC" w14:textId="77777777" w:rsidR="00C07D9A" w:rsidRDefault="006E3075">
            <w:r>
              <w:rPr>
                <w:color w:val="000000"/>
                <w:sz w:val="18"/>
                <w:szCs w:val="18"/>
              </w:rPr>
              <w:t>Credential theft; malware delivery; fraud</w:t>
            </w:r>
          </w:p>
        </w:tc>
        <w:tc>
          <w:tcPr>
            <w:tcW w:w="4300" w:type="dxa"/>
            <w:shd w:val="clear" w:color="auto" w:fill="F4F6FA"/>
            <w:tcMar>
              <w:top w:w="90" w:type="dxa"/>
              <w:left w:w="110" w:type="dxa"/>
              <w:bottom w:w="90" w:type="dxa"/>
              <w:right w:w="110" w:type="dxa"/>
            </w:tcMar>
            <w:vAlign w:val="center"/>
          </w:tcPr>
          <w:p w14:paraId="5F5140C0" w14:textId="77777777" w:rsidR="00C07D9A" w:rsidRDefault="006E3075">
            <w:r>
              <w:rPr>
                <w:color w:val="000000"/>
                <w:sz w:val="18"/>
                <w:szCs w:val="18"/>
              </w:rPr>
              <w:t>Email filtering, MFA, training, phishing simulations</w:t>
            </w:r>
          </w:p>
        </w:tc>
      </w:tr>
      <w:tr w:rsidR="00C07D9A" w14:paraId="15445CE9" w14:textId="77777777">
        <w:tc>
          <w:tcPr>
            <w:tcW w:w="1900" w:type="dxa"/>
            <w:tcMar>
              <w:top w:w="90" w:type="dxa"/>
              <w:left w:w="110" w:type="dxa"/>
              <w:bottom w:w="90" w:type="dxa"/>
              <w:right w:w="110" w:type="dxa"/>
            </w:tcMar>
            <w:vAlign w:val="center"/>
          </w:tcPr>
          <w:p w14:paraId="39913968" w14:textId="77777777" w:rsidR="00C07D9A" w:rsidRDefault="006E3075">
            <w:r>
              <w:rPr>
                <w:color w:val="000000"/>
                <w:sz w:val="18"/>
                <w:szCs w:val="18"/>
              </w:rPr>
              <w:t>Insider threat</w:t>
            </w:r>
          </w:p>
        </w:tc>
        <w:tc>
          <w:tcPr>
            <w:tcW w:w="3600" w:type="dxa"/>
            <w:tcMar>
              <w:top w:w="90" w:type="dxa"/>
              <w:left w:w="110" w:type="dxa"/>
              <w:bottom w:w="90" w:type="dxa"/>
              <w:right w:w="110" w:type="dxa"/>
            </w:tcMar>
            <w:vAlign w:val="center"/>
          </w:tcPr>
          <w:p w14:paraId="13542CB7" w14:textId="77777777" w:rsidR="00C07D9A" w:rsidRDefault="006E3075">
            <w:r>
              <w:rPr>
                <w:color w:val="000000"/>
                <w:sz w:val="18"/>
                <w:szCs w:val="18"/>
              </w:rPr>
              <w:t>Data theft; sabotage</w:t>
            </w:r>
          </w:p>
        </w:tc>
        <w:tc>
          <w:tcPr>
            <w:tcW w:w="4300" w:type="dxa"/>
            <w:tcMar>
              <w:top w:w="90" w:type="dxa"/>
              <w:left w:w="110" w:type="dxa"/>
              <w:bottom w:w="90" w:type="dxa"/>
              <w:right w:w="110" w:type="dxa"/>
            </w:tcMar>
            <w:vAlign w:val="center"/>
          </w:tcPr>
          <w:p w14:paraId="1F442B78" w14:textId="77777777" w:rsidR="00C07D9A" w:rsidRDefault="006E3075">
            <w:r>
              <w:rPr>
                <w:color w:val="000000"/>
                <w:sz w:val="18"/>
                <w:szCs w:val="18"/>
              </w:rPr>
              <w:t>RBAC, least privilege, logging, background checks</w:t>
            </w:r>
          </w:p>
        </w:tc>
      </w:tr>
      <w:tr w:rsidR="00C07D9A" w14:paraId="142ABC54" w14:textId="77777777">
        <w:tc>
          <w:tcPr>
            <w:tcW w:w="1900" w:type="dxa"/>
            <w:shd w:val="clear" w:color="auto" w:fill="F4F6FA"/>
            <w:tcMar>
              <w:top w:w="90" w:type="dxa"/>
              <w:left w:w="110" w:type="dxa"/>
              <w:bottom w:w="90" w:type="dxa"/>
              <w:right w:w="110" w:type="dxa"/>
            </w:tcMar>
            <w:vAlign w:val="center"/>
          </w:tcPr>
          <w:p w14:paraId="7AAD009A" w14:textId="77777777" w:rsidR="00C07D9A" w:rsidRDefault="006E3075">
            <w:r>
              <w:rPr>
                <w:color w:val="000000"/>
                <w:sz w:val="18"/>
                <w:szCs w:val="18"/>
              </w:rPr>
              <w:t>IoT compromise</w:t>
            </w:r>
          </w:p>
        </w:tc>
        <w:tc>
          <w:tcPr>
            <w:tcW w:w="3600" w:type="dxa"/>
            <w:shd w:val="clear" w:color="auto" w:fill="F4F6FA"/>
            <w:tcMar>
              <w:top w:w="90" w:type="dxa"/>
              <w:left w:w="110" w:type="dxa"/>
              <w:bottom w:w="90" w:type="dxa"/>
              <w:right w:w="110" w:type="dxa"/>
            </w:tcMar>
            <w:vAlign w:val="center"/>
          </w:tcPr>
          <w:p w14:paraId="59FD095B" w14:textId="77777777" w:rsidR="00C07D9A" w:rsidRDefault="006E3075">
            <w:r>
              <w:rPr>
                <w:color w:val="000000"/>
                <w:sz w:val="18"/>
                <w:szCs w:val="18"/>
              </w:rPr>
              <w:t>Machinery disruption; falsified data</w:t>
            </w:r>
          </w:p>
        </w:tc>
        <w:tc>
          <w:tcPr>
            <w:tcW w:w="4300" w:type="dxa"/>
            <w:shd w:val="clear" w:color="auto" w:fill="F4F6FA"/>
            <w:tcMar>
              <w:top w:w="90" w:type="dxa"/>
              <w:left w:w="110" w:type="dxa"/>
              <w:bottom w:w="90" w:type="dxa"/>
              <w:right w:w="110" w:type="dxa"/>
            </w:tcMar>
            <w:vAlign w:val="center"/>
          </w:tcPr>
          <w:p w14:paraId="5B5CDA2C" w14:textId="77777777" w:rsidR="00C07D9A" w:rsidRDefault="006E3075">
            <w:r>
              <w:rPr>
                <w:color w:val="000000"/>
                <w:sz w:val="18"/>
                <w:szCs w:val="18"/>
              </w:rPr>
              <w:t>Segmentation, firmware patching, unique credentials, monitoring</w:t>
            </w:r>
          </w:p>
        </w:tc>
      </w:tr>
      <w:tr w:rsidR="00C07D9A" w14:paraId="62610C9F" w14:textId="77777777">
        <w:tc>
          <w:tcPr>
            <w:tcW w:w="1900" w:type="dxa"/>
            <w:tcMar>
              <w:top w:w="90" w:type="dxa"/>
              <w:left w:w="110" w:type="dxa"/>
              <w:bottom w:w="90" w:type="dxa"/>
              <w:right w:w="110" w:type="dxa"/>
            </w:tcMar>
            <w:vAlign w:val="center"/>
          </w:tcPr>
          <w:p w14:paraId="46879D09" w14:textId="77777777" w:rsidR="00C07D9A" w:rsidRDefault="006E3075">
            <w:r>
              <w:rPr>
                <w:color w:val="000000"/>
                <w:sz w:val="18"/>
                <w:szCs w:val="18"/>
              </w:rPr>
              <w:t>Unauthorised access</w:t>
            </w:r>
          </w:p>
        </w:tc>
        <w:tc>
          <w:tcPr>
            <w:tcW w:w="3600" w:type="dxa"/>
            <w:tcMar>
              <w:top w:w="90" w:type="dxa"/>
              <w:left w:w="110" w:type="dxa"/>
              <w:bottom w:w="90" w:type="dxa"/>
              <w:right w:w="110" w:type="dxa"/>
            </w:tcMar>
            <w:vAlign w:val="center"/>
          </w:tcPr>
          <w:p w14:paraId="5BA036CA" w14:textId="77777777" w:rsidR="00C07D9A" w:rsidRDefault="006E3075">
            <w:r>
              <w:rPr>
                <w:color w:val="000000"/>
                <w:sz w:val="18"/>
                <w:szCs w:val="18"/>
              </w:rPr>
              <w:t>Exposure of production/customer data</w:t>
            </w:r>
          </w:p>
        </w:tc>
        <w:tc>
          <w:tcPr>
            <w:tcW w:w="4300" w:type="dxa"/>
            <w:tcMar>
              <w:top w:w="90" w:type="dxa"/>
              <w:left w:w="110" w:type="dxa"/>
              <w:bottom w:w="90" w:type="dxa"/>
              <w:right w:w="110" w:type="dxa"/>
            </w:tcMar>
            <w:vAlign w:val="center"/>
          </w:tcPr>
          <w:p w14:paraId="2C62B907" w14:textId="77777777" w:rsidR="00C07D9A" w:rsidRDefault="006E3075">
            <w:r>
              <w:rPr>
                <w:color w:val="000000"/>
                <w:sz w:val="18"/>
                <w:szCs w:val="18"/>
              </w:rPr>
              <w:t>Access control policy, MFA, account review, alerting</w:t>
            </w:r>
          </w:p>
        </w:tc>
      </w:tr>
      <w:tr w:rsidR="00C07D9A" w14:paraId="371A5C04" w14:textId="77777777">
        <w:tc>
          <w:tcPr>
            <w:tcW w:w="1900" w:type="dxa"/>
            <w:shd w:val="clear" w:color="auto" w:fill="F4F6FA"/>
            <w:tcMar>
              <w:top w:w="90" w:type="dxa"/>
              <w:left w:w="110" w:type="dxa"/>
              <w:bottom w:w="90" w:type="dxa"/>
              <w:right w:w="110" w:type="dxa"/>
            </w:tcMar>
            <w:vAlign w:val="center"/>
          </w:tcPr>
          <w:p w14:paraId="402E09C0" w14:textId="77777777" w:rsidR="00C07D9A" w:rsidRDefault="006E3075">
            <w:r>
              <w:rPr>
                <w:color w:val="000000"/>
                <w:sz w:val="18"/>
                <w:szCs w:val="18"/>
              </w:rPr>
              <w:t>Supply-chain attack</w:t>
            </w:r>
          </w:p>
        </w:tc>
        <w:tc>
          <w:tcPr>
            <w:tcW w:w="3600" w:type="dxa"/>
            <w:shd w:val="clear" w:color="auto" w:fill="F4F6FA"/>
            <w:tcMar>
              <w:top w:w="90" w:type="dxa"/>
              <w:left w:w="110" w:type="dxa"/>
              <w:bottom w:w="90" w:type="dxa"/>
              <w:right w:w="110" w:type="dxa"/>
            </w:tcMar>
            <w:vAlign w:val="center"/>
          </w:tcPr>
          <w:p w14:paraId="4138EA5C" w14:textId="77777777" w:rsidR="00C07D9A" w:rsidRDefault="006E3075">
            <w:r>
              <w:rPr>
                <w:color w:val="000000"/>
                <w:sz w:val="18"/>
                <w:szCs w:val="18"/>
              </w:rPr>
              <w:t>Compromise via trusted vendor link</w:t>
            </w:r>
          </w:p>
        </w:tc>
        <w:tc>
          <w:tcPr>
            <w:tcW w:w="4300" w:type="dxa"/>
            <w:shd w:val="clear" w:color="auto" w:fill="F4F6FA"/>
            <w:tcMar>
              <w:top w:w="90" w:type="dxa"/>
              <w:left w:w="110" w:type="dxa"/>
              <w:bottom w:w="90" w:type="dxa"/>
              <w:right w:w="110" w:type="dxa"/>
            </w:tcMar>
            <w:vAlign w:val="center"/>
          </w:tcPr>
          <w:p w14:paraId="3F839C92" w14:textId="77777777" w:rsidR="00C07D9A" w:rsidRDefault="006E3075">
            <w:r>
              <w:rPr>
                <w:color w:val="000000"/>
                <w:sz w:val="18"/>
                <w:szCs w:val="18"/>
              </w:rPr>
              <w:t>Supplier policy, due diligence, segmentation</w:t>
            </w:r>
          </w:p>
        </w:tc>
      </w:tr>
      <w:tr w:rsidR="00C07D9A" w14:paraId="5FCCD6E2" w14:textId="77777777">
        <w:tc>
          <w:tcPr>
            <w:tcW w:w="1900" w:type="dxa"/>
            <w:tcMar>
              <w:top w:w="90" w:type="dxa"/>
              <w:left w:w="110" w:type="dxa"/>
              <w:bottom w:w="90" w:type="dxa"/>
              <w:right w:w="110" w:type="dxa"/>
            </w:tcMar>
            <w:vAlign w:val="center"/>
          </w:tcPr>
          <w:p w14:paraId="0948CA2B" w14:textId="77777777" w:rsidR="00C07D9A" w:rsidRDefault="006E3075">
            <w:r>
              <w:rPr>
                <w:color w:val="000000"/>
                <w:sz w:val="18"/>
                <w:szCs w:val="18"/>
              </w:rPr>
              <w:t>DDoS</w:t>
            </w:r>
          </w:p>
        </w:tc>
        <w:tc>
          <w:tcPr>
            <w:tcW w:w="3600" w:type="dxa"/>
            <w:tcMar>
              <w:top w:w="90" w:type="dxa"/>
              <w:left w:w="110" w:type="dxa"/>
              <w:bottom w:w="90" w:type="dxa"/>
              <w:right w:w="110" w:type="dxa"/>
            </w:tcMar>
            <w:vAlign w:val="center"/>
          </w:tcPr>
          <w:p w14:paraId="48807663" w14:textId="77777777" w:rsidR="00C07D9A" w:rsidRDefault="006E3075">
            <w:r>
              <w:rPr>
                <w:color w:val="000000"/>
                <w:sz w:val="18"/>
                <w:szCs w:val="18"/>
              </w:rPr>
              <w:t>Cloud system unavailability</w:t>
            </w:r>
          </w:p>
        </w:tc>
        <w:tc>
          <w:tcPr>
            <w:tcW w:w="4300" w:type="dxa"/>
            <w:tcMar>
              <w:top w:w="90" w:type="dxa"/>
              <w:left w:w="110" w:type="dxa"/>
              <w:bottom w:w="90" w:type="dxa"/>
              <w:right w:w="110" w:type="dxa"/>
            </w:tcMar>
            <w:vAlign w:val="center"/>
          </w:tcPr>
          <w:p w14:paraId="034A9899" w14:textId="77777777" w:rsidR="00C07D9A" w:rsidRDefault="006E3075">
            <w:r>
              <w:rPr>
                <w:color w:val="000000"/>
                <w:sz w:val="18"/>
                <w:szCs w:val="18"/>
              </w:rPr>
              <w:t>DDoS protection, traffic monitoring, redundancy</w:t>
            </w:r>
          </w:p>
        </w:tc>
      </w:tr>
    </w:tbl>
    <w:p w14:paraId="505C89E0" w14:textId="77777777" w:rsidR="00C07D9A" w:rsidRDefault="006E3075">
      <w:pPr>
        <w:spacing w:before="50" w:after="220"/>
        <w:jc w:val="center"/>
      </w:pPr>
      <w:r>
        <w:rPr>
          <w:i/>
          <w:iCs/>
          <w:color w:val="555555"/>
          <w:sz w:val="19"/>
          <w:szCs w:val="19"/>
        </w:rPr>
        <w:t>Table 2. Threat and Risk Assessment for SFM.</w:t>
      </w:r>
    </w:p>
    <w:p w14:paraId="092224D4" w14:textId="77777777" w:rsidR="00C07D9A" w:rsidRDefault="006E3075">
      <w:pPr>
        <w:pStyle w:val="Heading1"/>
      </w:pPr>
      <w:bookmarkStart w:id="9" w:name="_Toc237302609"/>
      <w:r>
        <w:t>7. Network Monitoring Plan</w:t>
      </w:r>
      <w:bookmarkEnd w:id="9"/>
    </w:p>
    <w:p w14:paraId="7DEB934E" w14:textId="77777777" w:rsidR="00C07D9A" w:rsidRDefault="006E3075">
      <w:pPr>
        <w:spacing w:after="130" w:line="264" w:lineRule="auto"/>
        <w:jc w:val="both"/>
      </w:pPr>
      <w:r>
        <w:t>Continuous monitoring lets SFM detect threats before serious harm occurs.</w:t>
      </w:r>
    </w:p>
    <w:p w14:paraId="517F23AD" w14:textId="77777777" w:rsidR="00C07D9A" w:rsidRDefault="006E3075">
      <w:pPr>
        <w:pStyle w:val="ListParagraph"/>
        <w:numPr>
          <w:ilvl w:val="0"/>
          <w:numId w:val="2"/>
        </w:numPr>
        <w:spacing w:after="70"/>
      </w:pPr>
      <w:r>
        <w:rPr>
          <w:b/>
          <w:bCs/>
        </w:rPr>
        <w:t xml:space="preserve">Monitored: </w:t>
      </w:r>
      <w:r>
        <w:t>authentication/MFA failures, firewall and IDS/IPS alerts, EDR alerts, cloud access logs, IoT gateway traffic, privileged-account activity.</w:t>
      </w:r>
    </w:p>
    <w:p w14:paraId="158885EF" w14:textId="77777777" w:rsidR="00C07D9A" w:rsidRDefault="006E3075">
      <w:pPr>
        <w:pStyle w:val="ListParagraph"/>
        <w:numPr>
          <w:ilvl w:val="0"/>
          <w:numId w:val="2"/>
        </w:numPr>
        <w:spacing w:after="70"/>
      </w:pPr>
      <w:r>
        <w:rPr>
          <w:b/>
          <w:bCs/>
        </w:rPr>
        <w:t xml:space="preserve">Responsible: </w:t>
      </w:r>
      <w:r>
        <w:t>a Security Operations function reporting to the IT Security Manager, with on-call coverage given SFM's continuous production.</w:t>
      </w:r>
    </w:p>
    <w:p w14:paraId="3186CC62" w14:textId="77777777" w:rsidR="00C07D9A" w:rsidRDefault="006E3075">
      <w:pPr>
        <w:pStyle w:val="ListParagraph"/>
        <w:numPr>
          <w:ilvl w:val="0"/>
          <w:numId w:val="2"/>
        </w:numPr>
        <w:spacing w:after="70"/>
      </w:pPr>
      <w:r>
        <w:rPr>
          <w:b/>
          <w:bCs/>
        </w:rPr>
        <w:t xml:space="preserve">Suspicious events: </w:t>
      </w:r>
      <w:r>
        <w:t>repeated failed logins, unusual login times/locations, unexpected outbound transfers, unrecognised devices, out-of-range IoT readings.</w:t>
      </w:r>
    </w:p>
    <w:p w14:paraId="1B5BAC09" w14:textId="77777777" w:rsidR="00C07D9A" w:rsidRDefault="006E3075">
      <w:pPr>
        <w:pStyle w:val="ListParagraph"/>
        <w:numPr>
          <w:ilvl w:val="0"/>
          <w:numId w:val="2"/>
        </w:numPr>
        <w:spacing w:after="70"/>
      </w:pPr>
      <w:r>
        <w:rPr>
          <w:b/>
          <w:bCs/>
        </w:rPr>
        <w:t xml:space="preserve">Detection: </w:t>
      </w:r>
      <w:r>
        <w:t>a SIEM aggregates logs from firewalls, endpoints, cloud and IoT gateways, correlating patterns a single source would miss.</w:t>
      </w:r>
    </w:p>
    <w:p w14:paraId="26E3A658" w14:textId="77777777" w:rsidR="00C07D9A" w:rsidRDefault="006E3075">
      <w:pPr>
        <w:pStyle w:val="ListParagraph"/>
        <w:numPr>
          <w:ilvl w:val="0"/>
          <w:numId w:val="2"/>
        </w:numPr>
        <w:spacing w:after="70"/>
      </w:pPr>
      <w:r>
        <w:rPr>
          <w:b/>
          <w:bCs/>
        </w:rPr>
        <w:t xml:space="preserve">Alerts: </w:t>
      </w:r>
      <w:r>
        <w:t>high-severity alerts escalate immediately to the on-call analyst; lower-severity alerts are triaged and tracked during business hours.</w:t>
      </w:r>
    </w:p>
    <w:p w14:paraId="067145FB" w14:textId="77777777" w:rsidR="00C07D9A" w:rsidRDefault="006E3075">
      <w:pPr>
        <w:pStyle w:val="ListParagraph"/>
        <w:numPr>
          <w:ilvl w:val="0"/>
          <w:numId w:val="2"/>
        </w:numPr>
        <w:spacing w:after="70"/>
      </w:pPr>
      <w:r>
        <w:rPr>
          <w:b/>
          <w:bCs/>
        </w:rPr>
        <w:t xml:space="preserve">Logs: </w:t>
      </w:r>
      <w:r>
        <w:t xml:space="preserve">collected centrally, retained for investigation/compliance, and </w:t>
      </w:r>
      <w:proofErr w:type="gramStart"/>
      <w:r>
        <w:t>tamper-protected</w:t>
      </w:r>
      <w:proofErr w:type="gramEnd"/>
      <w:r>
        <w:t>.</w:t>
      </w:r>
    </w:p>
    <w:p w14:paraId="429650A7" w14:textId="71CE33E4" w:rsidR="00C07D9A" w:rsidRDefault="006E3075">
      <w:pPr>
        <w:spacing w:after="130" w:line="264" w:lineRule="auto"/>
        <w:jc w:val="both"/>
      </w:pPr>
      <w:r>
        <w:t xml:space="preserve">This SIEM-centred approach gives SFM the visibility that </w:t>
      </w:r>
      <w:proofErr w:type="gramStart"/>
      <w:r>
        <w:t>matters:</w:t>
      </w:r>
      <w:proofErr w:type="gramEnd"/>
      <w:r>
        <w:t xml:space="preserve"> organisations with strong OT monitoring and rapid detection consistently contain ransomware faster and at lower cost than those without it </w:t>
      </w:r>
      <w:sdt>
        <w:sdtPr>
          <w:id w:val="-1630311305"/>
          <w:citation/>
        </w:sdtPr>
        <w:sdtContent>
          <w:r w:rsidR="0081543B">
            <w:fldChar w:fldCharType="begin"/>
          </w:r>
          <w:r w:rsidR="0081543B">
            <w:rPr>
              <w:lang w:val="uk-UA"/>
            </w:rPr>
            <w:instrText xml:space="preserve"> CITATION Res26 \l 1058 </w:instrText>
          </w:r>
          <w:r w:rsidR="0081543B">
            <w:fldChar w:fldCharType="separate"/>
          </w:r>
          <w:r w:rsidR="00EE38F1" w:rsidRPr="00EE38F1">
            <w:rPr>
              <w:noProof/>
              <w:lang w:val="uk-UA"/>
            </w:rPr>
            <w:t>[2]</w:t>
          </w:r>
          <w:r w:rsidR="0081543B">
            <w:fldChar w:fldCharType="end"/>
          </w:r>
        </w:sdtContent>
      </w:sdt>
      <w:r>
        <w:t>.</w:t>
      </w:r>
    </w:p>
    <w:p w14:paraId="1BA0DF6D" w14:textId="77777777" w:rsidR="00C07D9A" w:rsidRDefault="006E3075">
      <w:pPr>
        <w:pStyle w:val="Heading1"/>
      </w:pPr>
      <w:bookmarkStart w:id="10" w:name="_Toc237302610"/>
      <w:r>
        <w:t>8. Incident Response Plan</w:t>
      </w:r>
      <w:bookmarkEnd w:id="10"/>
    </w:p>
    <w:p w14:paraId="05A81A63" w14:textId="3B1D68BB" w:rsidR="00C07D9A" w:rsidRDefault="006E3075">
      <w:pPr>
        <w:spacing w:after="130" w:line="264" w:lineRule="auto"/>
        <w:jc w:val="both"/>
      </w:pPr>
      <w:r>
        <w:t xml:space="preserve">SFM's plan follows six stages, aligned with NIST CSF Respond/Recover </w:t>
      </w:r>
      <w:sdt>
        <w:sdtPr>
          <w:id w:val="-1910846339"/>
          <w:citation/>
        </w:sdtPr>
        <w:sdtContent>
          <w:r w:rsidR="0029760B">
            <w:fldChar w:fldCharType="begin"/>
          </w:r>
          <w:r w:rsidR="0029760B">
            <w:rPr>
              <w:lang w:val="uk-UA"/>
            </w:rPr>
            <w:instrText xml:space="preserve"> CITATION Nat24 \l 1058 </w:instrText>
          </w:r>
          <w:r w:rsidR="0029760B">
            <w:fldChar w:fldCharType="separate"/>
          </w:r>
          <w:r w:rsidR="00EE38F1" w:rsidRPr="00EE38F1">
            <w:rPr>
              <w:noProof/>
              <w:lang w:val="uk-UA"/>
            </w:rPr>
            <w:t>[7]</w:t>
          </w:r>
          <w:r w:rsidR="0029760B">
            <w:fldChar w:fldCharType="end"/>
          </w:r>
        </w:sdtContent>
      </w:sdt>
      <w:r>
        <w:t>.</w:t>
      </w:r>
    </w:p>
    <w:p w14:paraId="1D090DE0" w14:textId="77777777" w:rsidR="00C07D9A" w:rsidRDefault="006E3075">
      <w:pPr>
        <w:pStyle w:val="ListParagraph"/>
        <w:numPr>
          <w:ilvl w:val="0"/>
          <w:numId w:val="2"/>
        </w:numPr>
        <w:spacing w:after="70"/>
      </w:pPr>
      <w:r>
        <w:rPr>
          <w:b/>
          <w:bCs/>
        </w:rPr>
        <w:t xml:space="preserve">Detection — </w:t>
      </w:r>
      <w:r>
        <w:t>an alert or staff report identifies a possible incident.</w:t>
      </w:r>
    </w:p>
    <w:p w14:paraId="7F660FE8" w14:textId="77777777" w:rsidR="00C07D9A" w:rsidRDefault="006E3075">
      <w:pPr>
        <w:pStyle w:val="ListParagraph"/>
        <w:numPr>
          <w:ilvl w:val="0"/>
          <w:numId w:val="2"/>
        </w:numPr>
        <w:spacing w:after="70"/>
      </w:pPr>
      <w:r>
        <w:rPr>
          <w:b/>
          <w:bCs/>
        </w:rPr>
        <w:t xml:space="preserve">Analysis — </w:t>
      </w:r>
      <w:r>
        <w:t>the security team triages, scoping severity and confirming genuineness.</w:t>
      </w:r>
    </w:p>
    <w:p w14:paraId="097D26B4" w14:textId="77777777" w:rsidR="00C07D9A" w:rsidRDefault="006E3075">
      <w:pPr>
        <w:pStyle w:val="ListParagraph"/>
        <w:numPr>
          <w:ilvl w:val="0"/>
          <w:numId w:val="2"/>
        </w:numPr>
        <w:spacing w:after="70"/>
      </w:pPr>
      <w:r>
        <w:rPr>
          <w:b/>
          <w:bCs/>
        </w:rPr>
        <w:t xml:space="preserve">Containment — </w:t>
      </w:r>
      <w:r>
        <w:t>affected systems are isolated via segmentation while continuity is assessed.</w:t>
      </w:r>
    </w:p>
    <w:p w14:paraId="21427EC4" w14:textId="77777777" w:rsidR="00C07D9A" w:rsidRDefault="006E3075">
      <w:pPr>
        <w:pStyle w:val="ListParagraph"/>
        <w:numPr>
          <w:ilvl w:val="0"/>
          <w:numId w:val="2"/>
        </w:numPr>
        <w:spacing w:after="70"/>
      </w:pPr>
      <w:r>
        <w:rPr>
          <w:b/>
          <w:bCs/>
        </w:rPr>
        <w:t xml:space="preserve">Eradication — </w:t>
      </w:r>
      <w:r>
        <w:t>the root cause is removed and the access route closed.</w:t>
      </w:r>
    </w:p>
    <w:p w14:paraId="0F05E199" w14:textId="77777777" w:rsidR="00C07D9A" w:rsidRDefault="006E3075">
      <w:pPr>
        <w:pStyle w:val="ListParagraph"/>
        <w:numPr>
          <w:ilvl w:val="0"/>
          <w:numId w:val="2"/>
        </w:numPr>
        <w:spacing w:after="70"/>
      </w:pPr>
      <w:r>
        <w:rPr>
          <w:b/>
          <w:bCs/>
        </w:rPr>
        <w:t xml:space="preserve">Recovery — </w:t>
      </w:r>
      <w:r>
        <w:t>systems are restored from clean backups under close monitoring.</w:t>
      </w:r>
    </w:p>
    <w:p w14:paraId="6FAC6D7E" w14:textId="77777777" w:rsidR="00C07D9A" w:rsidRDefault="006E3075">
      <w:pPr>
        <w:pStyle w:val="ListParagraph"/>
        <w:numPr>
          <w:ilvl w:val="0"/>
          <w:numId w:val="2"/>
        </w:numPr>
        <w:spacing w:after="70"/>
      </w:pPr>
      <w:r>
        <w:rPr>
          <w:b/>
          <w:bCs/>
        </w:rPr>
        <w:t xml:space="preserve">Lessons Learned — </w:t>
      </w:r>
      <w:r>
        <w:t>a post-incident review feeds improvements into policy and training.</w:t>
      </w:r>
    </w:p>
    <w:p w14:paraId="44F15C7B" w14:textId="77777777" w:rsidR="00C07D9A" w:rsidRDefault="006E3075">
      <w:pPr>
        <w:spacing w:before="160"/>
        <w:jc w:val="center"/>
      </w:pPr>
      <w:r>
        <w:rPr>
          <w:noProof/>
        </w:rPr>
        <w:drawing>
          <wp:inline distT="0" distB="0" distL="0" distR="0" wp14:anchorId="49E08194" wp14:editId="44D7E7FA">
            <wp:extent cx="4650000" cy="5580000"/>
            <wp:effectExtent l="0" t="0" r="0" b="0"/>
            <wp:docPr id="1893249630" name="Picture 1893249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650000" cy="5580000"/>
                    </a:xfrm>
                    <a:prstGeom prst="rect">
                      <a:avLst/>
                    </a:prstGeom>
                  </pic:spPr>
                </pic:pic>
              </a:graphicData>
            </a:graphic>
          </wp:inline>
        </w:drawing>
      </w:r>
    </w:p>
    <w:p w14:paraId="7A75AF20" w14:textId="77777777" w:rsidR="00C07D9A" w:rsidRDefault="006E3075">
      <w:pPr>
        <w:spacing w:before="50" w:after="220"/>
        <w:jc w:val="center"/>
      </w:pPr>
      <w:r>
        <w:rPr>
          <w:i/>
          <w:iCs/>
          <w:color w:val="555555"/>
          <w:sz w:val="19"/>
          <w:szCs w:val="19"/>
        </w:rPr>
        <w:t>Figure 3. SFM Incident Response Flowchart.</w:t>
      </w:r>
    </w:p>
    <w:p w14:paraId="0FCC53AB" w14:textId="77777777" w:rsidR="00C07D9A" w:rsidRDefault="006E3075">
      <w:pPr>
        <w:pStyle w:val="Heading1"/>
      </w:pPr>
      <w:bookmarkStart w:id="11" w:name="_Toc237302611"/>
      <w:r>
        <w:t>9. Staff Training and Awareness Programme</w:t>
      </w:r>
      <w:bookmarkEnd w:id="11"/>
    </w:p>
    <w:p w14:paraId="2CB2701C" w14:textId="4623E737" w:rsidR="00C07D9A" w:rsidRDefault="006E3075">
      <w:pPr>
        <w:spacing w:after="130" w:line="264" w:lineRule="auto"/>
        <w:jc w:val="both"/>
      </w:pPr>
      <w:r>
        <w:t xml:space="preserve">Human error and social engineering remain leading causes of incidents, and AI-generated phishing is now harder for staff to spot unaided </w:t>
      </w:r>
      <w:sdt>
        <w:sdtPr>
          <w:id w:val="-986320159"/>
          <w:citation/>
        </w:sdtPr>
        <w:sdtContent>
          <w:r w:rsidR="0029760B">
            <w:fldChar w:fldCharType="begin"/>
          </w:r>
          <w:r w:rsidR="0029760B">
            <w:rPr>
              <w:lang w:val="uk-UA"/>
            </w:rPr>
            <w:instrText xml:space="preserve"> CITATION Eur25 \l 1058 </w:instrText>
          </w:r>
          <w:r w:rsidR="0029760B">
            <w:fldChar w:fldCharType="separate"/>
          </w:r>
          <w:r w:rsidR="00EE38F1" w:rsidRPr="00EE38F1">
            <w:rPr>
              <w:noProof/>
              <w:lang w:val="uk-UA"/>
            </w:rPr>
            <w:t>[3]</w:t>
          </w:r>
          <w:r w:rsidR="0029760B">
            <w:fldChar w:fldCharType="end"/>
          </w:r>
        </w:sdtContent>
      </w:sdt>
      <w:r>
        <w:t>. Training is treated as a core control (Table 3).</w:t>
      </w:r>
    </w:p>
    <w:tbl>
      <w:tblPr>
        <w:tblW w:w="9300" w:type="dxa"/>
        <w:tblBorders>
          <w:top w:val="single" w:sz="4" w:space="0" w:color="AAAAAA"/>
          <w:left w:val="single" w:sz="4" w:space="0" w:color="AAAAAA"/>
          <w:bottom w:val="single" w:sz="4" w:space="0" w:color="AAAAAA"/>
          <w:right w:val="single" w:sz="4" w:space="0" w:color="AAAAAA"/>
          <w:insideH w:val="single" w:sz="4" w:space="0" w:color="CCCCCC"/>
          <w:insideV w:val="single" w:sz="4" w:space="0" w:color="CCCCCC"/>
        </w:tblBorders>
        <w:tblCellMar>
          <w:left w:w="10" w:type="dxa"/>
          <w:right w:w="10" w:type="dxa"/>
        </w:tblCellMar>
        <w:tblLook w:val="04A0" w:firstRow="1" w:lastRow="0" w:firstColumn="1" w:lastColumn="0" w:noHBand="0" w:noVBand="1"/>
      </w:tblPr>
      <w:tblGrid>
        <w:gridCol w:w="2700"/>
        <w:gridCol w:w="2500"/>
        <w:gridCol w:w="2200"/>
        <w:gridCol w:w="1900"/>
      </w:tblGrid>
      <w:tr w:rsidR="00C07D9A" w14:paraId="65B139BF" w14:textId="77777777">
        <w:trPr>
          <w:tblHeader/>
        </w:trPr>
        <w:tc>
          <w:tcPr>
            <w:tcW w:w="2700" w:type="dxa"/>
            <w:shd w:val="clear" w:color="auto" w:fill="1E2761"/>
            <w:tcMar>
              <w:top w:w="90" w:type="dxa"/>
              <w:left w:w="110" w:type="dxa"/>
              <w:bottom w:w="90" w:type="dxa"/>
              <w:right w:w="110" w:type="dxa"/>
            </w:tcMar>
            <w:vAlign w:val="center"/>
          </w:tcPr>
          <w:p w14:paraId="5483A35C" w14:textId="77777777" w:rsidR="00C07D9A" w:rsidRDefault="006E3075">
            <w:r>
              <w:rPr>
                <w:b/>
                <w:bCs/>
                <w:color w:val="FFFFFF"/>
                <w:sz w:val="16"/>
                <w:szCs w:val="16"/>
              </w:rPr>
              <w:t>Programme Element</w:t>
            </w:r>
          </w:p>
        </w:tc>
        <w:tc>
          <w:tcPr>
            <w:tcW w:w="2500" w:type="dxa"/>
            <w:shd w:val="clear" w:color="auto" w:fill="1E2761"/>
            <w:tcMar>
              <w:top w:w="90" w:type="dxa"/>
              <w:left w:w="110" w:type="dxa"/>
              <w:bottom w:w="90" w:type="dxa"/>
              <w:right w:w="110" w:type="dxa"/>
            </w:tcMar>
            <w:vAlign w:val="center"/>
          </w:tcPr>
          <w:p w14:paraId="591EDB4F" w14:textId="77777777" w:rsidR="00C07D9A" w:rsidRDefault="006E3075">
            <w:r>
              <w:rPr>
                <w:b/>
                <w:bCs/>
                <w:color w:val="FFFFFF"/>
                <w:sz w:val="16"/>
                <w:szCs w:val="16"/>
              </w:rPr>
              <w:t>Audience</w:t>
            </w:r>
          </w:p>
        </w:tc>
        <w:tc>
          <w:tcPr>
            <w:tcW w:w="2200" w:type="dxa"/>
            <w:shd w:val="clear" w:color="auto" w:fill="1E2761"/>
            <w:tcMar>
              <w:top w:w="90" w:type="dxa"/>
              <w:left w:w="110" w:type="dxa"/>
              <w:bottom w:w="90" w:type="dxa"/>
              <w:right w:w="110" w:type="dxa"/>
            </w:tcMar>
            <w:vAlign w:val="center"/>
          </w:tcPr>
          <w:p w14:paraId="0FD04C34" w14:textId="77777777" w:rsidR="00C07D9A" w:rsidRDefault="006E3075">
            <w:r>
              <w:rPr>
                <w:b/>
                <w:bCs/>
                <w:color w:val="FFFFFF"/>
                <w:sz w:val="16"/>
                <w:szCs w:val="16"/>
              </w:rPr>
              <w:t>Frequency</w:t>
            </w:r>
          </w:p>
        </w:tc>
        <w:tc>
          <w:tcPr>
            <w:tcW w:w="1900" w:type="dxa"/>
            <w:shd w:val="clear" w:color="auto" w:fill="1E2761"/>
            <w:tcMar>
              <w:top w:w="90" w:type="dxa"/>
              <w:left w:w="110" w:type="dxa"/>
              <w:bottom w:w="90" w:type="dxa"/>
              <w:right w:w="110" w:type="dxa"/>
            </w:tcMar>
            <w:vAlign w:val="center"/>
          </w:tcPr>
          <w:p w14:paraId="45082CF3" w14:textId="77777777" w:rsidR="00C07D9A" w:rsidRDefault="006E3075">
            <w:r>
              <w:rPr>
                <w:b/>
                <w:bCs/>
                <w:color w:val="FFFFFF"/>
                <w:sz w:val="16"/>
                <w:szCs w:val="16"/>
              </w:rPr>
              <w:t>Owner</w:t>
            </w:r>
          </w:p>
        </w:tc>
      </w:tr>
      <w:tr w:rsidR="00C07D9A" w14:paraId="55FA21E1" w14:textId="77777777">
        <w:tc>
          <w:tcPr>
            <w:tcW w:w="2700" w:type="dxa"/>
            <w:tcMar>
              <w:top w:w="90" w:type="dxa"/>
              <w:left w:w="110" w:type="dxa"/>
              <w:bottom w:w="90" w:type="dxa"/>
              <w:right w:w="110" w:type="dxa"/>
            </w:tcMar>
            <w:vAlign w:val="center"/>
          </w:tcPr>
          <w:p w14:paraId="5B013B90" w14:textId="77777777" w:rsidR="00C07D9A" w:rsidRDefault="006E3075">
            <w:r>
              <w:rPr>
                <w:color w:val="000000"/>
                <w:sz w:val="16"/>
                <w:szCs w:val="16"/>
              </w:rPr>
              <w:t>Cybersecurity induction</w:t>
            </w:r>
          </w:p>
        </w:tc>
        <w:tc>
          <w:tcPr>
            <w:tcW w:w="2500" w:type="dxa"/>
            <w:tcMar>
              <w:top w:w="90" w:type="dxa"/>
              <w:left w:w="110" w:type="dxa"/>
              <w:bottom w:w="90" w:type="dxa"/>
              <w:right w:w="110" w:type="dxa"/>
            </w:tcMar>
            <w:vAlign w:val="center"/>
          </w:tcPr>
          <w:p w14:paraId="5956E1B9" w14:textId="77777777" w:rsidR="00C07D9A" w:rsidRDefault="006E3075">
            <w:r>
              <w:rPr>
                <w:color w:val="000000"/>
                <w:sz w:val="16"/>
                <w:szCs w:val="16"/>
              </w:rPr>
              <w:t>New employees/contractors</w:t>
            </w:r>
          </w:p>
        </w:tc>
        <w:tc>
          <w:tcPr>
            <w:tcW w:w="2200" w:type="dxa"/>
            <w:tcMar>
              <w:top w:w="90" w:type="dxa"/>
              <w:left w:w="110" w:type="dxa"/>
              <w:bottom w:w="90" w:type="dxa"/>
              <w:right w:w="110" w:type="dxa"/>
            </w:tcMar>
            <w:vAlign w:val="center"/>
          </w:tcPr>
          <w:p w14:paraId="751E4AF3" w14:textId="77777777" w:rsidR="00C07D9A" w:rsidRDefault="006E3075">
            <w:r>
              <w:rPr>
                <w:color w:val="000000"/>
                <w:sz w:val="16"/>
                <w:szCs w:val="16"/>
              </w:rPr>
              <w:t>Week one</w:t>
            </w:r>
          </w:p>
        </w:tc>
        <w:tc>
          <w:tcPr>
            <w:tcW w:w="1900" w:type="dxa"/>
            <w:tcMar>
              <w:top w:w="90" w:type="dxa"/>
              <w:left w:w="110" w:type="dxa"/>
              <w:bottom w:w="90" w:type="dxa"/>
              <w:right w:w="110" w:type="dxa"/>
            </w:tcMar>
            <w:vAlign w:val="center"/>
          </w:tcPr>
          <w:p w14:paraId="262E36D4" w14:textId="77777777" w:rsidR="00C07D9A" w:rsidRDefault="006E3075">
            <w:r>
              <w:rPr>
                <w:color w:val="000000"/>
                <w:sz w:val="16"/>
                <w:szCs w:val="16"/>
              </w:rPr>
              <w:t>IT Security Manager / HR</w:t>
            </w:r>
          </w:p>
        </w:tc>
      </w:tr>
      <w:tr w:rsidR="00C07D9A" w14:paraId="51097352" w14:textId="77777777">
        <w:tc>
          <w:tcPr>
            <w:tcW w:w="2700" w:type="dxa"/>
            <w:shd w:val="clear" w:color="auto" w:fill="F4F6FA"/>
            <w:tcMar>
              <w:top w:w="90" w:type="dxa"/>
              <w:left w:w="110" w:type="dxa"/>
              <w:bottom w:w="90" w:type="dxa"/>
              <w:right w:w="110" w:type="dxa"/>
            </w:tcMar>
            <w:vAlign w:val="center"/>
          </w:tcPr>
          <w:p w14:paraId="77F29DC9" w14:textId="77777777" w:rsidR="00C07D9A" w:rsidRDefault="006E3075">
            <w:r>
              <w:rPr>
                <w:color w:val="000000"/>
                <w:sz w:val="16"/>
                <w:szCs w:val="16"/>
              </w:rPr>
              <w:t>Quarterly awareness training</w:t>
            </w:r>
          </w:p>
        </w:tc>
        <w:tc>
          <w:tcPr>
            <w:tcW w:w="2500" w:type="dxa"/>
            <w:shd w:val="clear" w:color="auto" w:fill="F4F6FA"/>
            <w:tcMar>
              <w:top w:w="90" w:type="dxa"/>
              <w:left w:w="110" w:type="dxa"/>
              <w:bottom w:w="90" w:type="dxa"/>
              <w:right w:w="110" w:type="dxa"/>
            </w:tcMar>
            <w:vAlign w:val="center"/>
          </w:tcPr>
          <w:p w14:paraId="319C1B2F" w14:textId="77777777" w:rsidR="00C07D9A" w:rsidRDefault="006E3075">
            <w:r>
              <w:rPr>
                <w:color w:val="000000"/>
                <w:sz w:val="16"/>
                <w:szCs w:val="16"/>
              </w:rPr>
              <w:t>All staff</w:t>
            </w:r>
          </w:p>
        </w:tc>
        <w:tc>
          <w:tcPr>
            <w:tcW w:w="2200" w:type="dxa"/>
            <w:shd w:val="clear" w:color="auto" w:fill="F4F6FA"/>
            <w:tcMar>
              <w:top w:w="90" w:type="dxa"/>
              <w:left w:w="110" w:type="dxa"/>
              <w:bottom w:w="90" w:type="dxa"/>
              <w:right w:w="110" w:type="dxa"/>
            </w:tcMar>
            <w:vAlign w:val="center"/>
          </w:tcPr>
          <w:p w14:paraId="4CCBBAF5" w14:textId="77777777" w:rsidR="00C07D9A" w:rsidRDefault="006E3075">
            <w:r>
              <w:rPr>
                <w:color w:val="000000"/>
                <w:sz w:val="16"/>
                <w:szCs w:val="16"/>
              </w:rPr>
              <w:t>Quarterly</w:t>
            </w:r>
          </w:p>
        </w:tc>
        <w:tc>
          <w:tcPr>
            <w:tcW w:w="1900" w:type="dxa"/>
            <w:shd w:val="clear" w:color="auto" w:fill="F4F6FA"/>
            <w:tcMar>
              <w:top w:w="90" w:type="dxa"/>
              <w:left w:w="110" w:type="dxa"/>
              <w:bottom w:w="90" w:type="dxa"/>
              <w:right w:w="110" w:type="dxa"/>
            </w:tcMar>
            <w:vAlign w:val="center"/>
          </w:tcPr>
          <w:p w14:paraId="3ED01D86" w14:textId="77777777" w:rsidR="00C07D9A" w:rsidRDefault="006E3075">
            <w:r>
              <w:rPr>
                <w:color w:val="000000"/>
                <w:sz w:val="16"/>
                <w:szCs w:val="16"/>
              </w:rPr>
              <w:t>IT Security Manager</w:t>
            </w:r>
          </w:p>
        </w:tc>
      </w:tr>
      <w:tr w:rsidR="00C07D9A" w14:paraId="70330E43" w14:textId="77777777">
        <w:tc>
          <w:tcPr>
            <w:tcW w:w="2700" w:type="dxa"/>
            <w:tcMar>
              <w:top w:w="90" w:type="dxa"/>
              <w:left w:w="110" w:type="dxa"/>
              <w:bottom w:w="90" w:type="dxa"/>
              <w:right w:w="110" w:type="dxa"/>
            </w:tcMar>
            <w:vAlign w:val="center"/>
          </w:tcPr>
          <w:p w14:paraId="729A023A" w14:textId="77777777" w:rsidR="00C07D9A" w:rsidRDefault="006E3075">
            <w:r>
              <w:rPr>
                <w:color w:val="000000"/>
                <w:sz w:val="16"/>
                <w:szCs w:val="16"/>
              </w:rPr>
              <w:t>Phishing simulations</w:t>
            </w:r>
          </w:p>
        </w:tc>
        <w:tc>
          <w:tcPr>
            <w:tcW w:w="2500" w:type="dxa"/>
            <w:tcMar>
              <w:top w:w="90" w:type="dxa"/>
              <w:left w:w="110" w:type="dxa"/>
              <w:bottom w:w="90" w:type="dxa"/>
              <w:right w:w="110" w:type="dxa"/>
            </w:tcMar>
            <w:vAlign w:val="center"/>
          </w:tcPr>
          <w:p w14:paraId="19546B6D" w14:textId="77777777" w:rsidR="00C07D9A" w:rsidRDefault="006E3075">
            <w:r>
              <w:rPr>
                <w:color w:val="000000"/>
                <w:sz w:val="16"/>
                <w:szCs w:val="16"/>
              </w:rPr>
              <w:t>All staff with email</w:t>
            </w:r>
          </w:p>
        </w:tc>
        <w:tc>
          <w:tcPr>
            <w:tcW w:w="2200" w:type="dxa"/>
            <w:tcMar>
              <w:top w:w="90" w:type="dxa"/>
              <w:left w:w="110" w:type="dxa"/>
              <w:bottom w:w="90" w:type="dxa"/>
              <w:right w:w="110" w:type="dxa"/>
            </w:tcMar>
            <w:vAlign w:val="center"/>
          </w:tcPr>
          <w:p w14:paraId="56A9EDEB" w14:textId="77777777" w:rsidR="00C07D9A" w:rsidRDefault="006E3075">
            <w:r>
              <w:rPr>
                <w:color w:val="000000"/>
                <w:sz w:val="16"/>
                <w:szCs w:val="16"/>
              </w:rPr>
              <w:t>Quarterly, unannounced</w:t>
            </w:r>
          </w:p>
        </w:tc>
        <w:tc>
          <w:tcPr>
            <w:tcW w:w="1900" w:type="dxa"/>
            <w:tcMar>
              <w:top w:w="90" w:type="dxa"/>
              <w:left w:w="110" w:type="dxa"/>
              <w:bottom w:w="90" w:type="dxa"/>
              <w:right w:w="110" w:type="dxa"/>
            </w:tcMar>
            <w:vAlign w:val="center"/>
          </w:tcPr>
          <w:p w14:paraId="5019287C" w14:textId="77777777" w:rsidR="00C07D9A" w:rsidRDefault="006E3075">
            <w:r>
              <w:rPr>
                <w:color w:val="000000"/>
                <w:sz w:val="16"/>
                <w:szCs w:val="16"/>
              </w:rPr>
              <w:t>IT Security team</w:t>
            </w:r>
          </w:p>
        </w:tc>
      </w:tr>
      <w:tr w:rsidR="00C07D9A" w14:paraId="4CA3CE69" w14:textId="77777777">
        <w:tc>
          <w:tcPr>
            <w:tcW w:w="2700" w:type="dxa"/>
            <w:shd w:val="clear" w:color="auto" w:fill="F4F6FA"/>
            <w:tcMar>
              <w:top w:w="90" w:type="dxa"/>
              <w:left w:w="110" w:type="dxa"/>
              <w:bottom w:w="90" w:type="dxa"/>
              <w:right w:w="110" w:type="dxa"/>
            </w:tcMar>
            <w:vAlign w:val="center"/>
          </w:tcPr>
          <w:p w14:paraId="71B70BC9" w14:textId="77777777" w:rsidR="00C07D9A" w:rsidRDefault="006E3075">
            <w:r>
              <w:rPr>
                <w:color w:val="000000"/>
                <w:sz w:val="16"/>
                <w:szCs w:val="16"/>
              </w:rPr>
              <w:t>Password / MFA training</w:t>
            </w:r>
          </w:p>
        </w:tc>
        <w:tc>
          <w:tcPr>
            <w:tcW w:w="2500" w:type="dxa"/>
            <w:shd w:val="clear" w:color="auto" w:fill="F4F6FA"/>
            <w:tcMar>
              <w:top w:w="90" w:type="dxa"/>
              <w:left w:w="110" w:type="dxa"/>
              <w:bottom w:w="90" w:type="dxa"/>
              <w:right w:w="110" w:type="dxa"/>
            </w:tcMar>
            <w:vAlign w:val="center"/>
          </w:tcPr>
          <w:p w14:paraId="164C0A25" w14:textId="77777777" w:rsidR="00C07D9A" w:rsidRDefault="006E3075">
            <w:r>
              <w:rPr>
                <w:color w:val="000000"/>
                <w:sz w:val="16"/>
                <w:szCs w:val="16"/>
              </w:rPr>
              <w:t>All staff</w:t>
            </w:r>
          </w:p>
        </w:tc>
        <w:tc>
          <w:tcPr>
            <w:tcW w:w="2200" w:type="dxa"/>
            <w:shd w:val="clear" w:color="auto" w:fill="F4F6FA"/>
            <w:tcMar>
              <w:top w:w="90" w:type="dxa"/>
              <w:left w:w="110" w:type="dxa"/>
              <w:bottom w:w="90" w:type="dxa"/>
              <w:right w:w="110" w:type="dxa"/>
            </w:tcMar>
            <w:vAlign w:val="center"/>
          </w:tcPr>
          <w:p w14:paraId="7E2DE51C" w14:textId="77777777" w:rsidR="00C07D9A" w:rsidRDefault="006E3075">
            <w:r>
              <w:rPr>
                <w:color w:val="000000"/>
                <w:sz w:val="16"/>
                <w:szCs w:val="16"/>
              </w:rPr>
              <w:t>Induction + annual</w:t>
            </w:r>
          </w:p>
        </w:tc>
        <w:tc>
          <w:tcPr>
            <w:tcW w:w="1900" w:type="dxa"/>
            <w:shd w:val="clear" w:color="auto" w:fill="F4F6FA"/>
            <w:tcMar>
              <w:top w:w="90" w:type="dxa"/>
              <w:left w:w="110" w:type="dxa"/>
              <w:bottom w:w="90" w:type="dxa"/>
              <w:right w:w="110" w:type="dxa"/>
            </w:tcMar>
            <w:vAlign w:val="center"/>
          </w:tcPr>
          <w:p w14:paraId="41BB61CD" w14:textId="77777777" w:rsidR="00C07D9A" w:rsidRDefault="006E3075">
            <w:r>
              <w:rPr>
                <w:color w:val="000000"/>
                <w:sz w:val="16"/>
                <w:szCs w:val="16"/>
              </w:rPr>
              <w:t>IT Security team</w:t>
            </w:r>
          </w:p>
        </w:tc>
      </w:tr>
      <w:tr w:rsidR="00C07D9A" w14:paraId="70D67F30" w14:textId="77777777">
        <w:tc>
          <w:tcPr>
            <w:tcW w:w="2700" w:type="dxa"/>
            <w:tcMar>
              <w:top w:w="90" w:type="dxa"/>
              <w:left w:w="110" w:type="dxa"/>
              <w:bottom w:w="90" w:type="dxa"/>
              <w:right w:w="110" w:type="dxa"/>
            </w:tcMar>
            <w:vAlign w:val="center"/>
          </w:tcPr>
          <w:p w14:paraId="43328349" w14:textId="77777777" w:rsidR="00C07D9A" w:rsidRDefault="006E3075">
            <w:r>
              <w:rPr>
                <w:color w:val="000000"/>
                <w:sz w:val="16"/>
                <w:szCs w:val="16"/>
              </w:rPr>
              <w:t>Social engineering awareness</w:t>
            </w:r>
          </w:p>
        </w:tc>
        <w:tc>
          <w:tcPr>
            <w:tcW w:w="2500" w:type="dxa"/>
            <w:tcMar>
              <w:top w:w="90" w:type="dxa"/>
              <w:left w:w="110" w:type="dxa"/>
              <w:bottom w:w="90" w:type="dxa"/>
              <w:right w:w="110" w:type="dxa"/>
            </w:tcMar>
            <w:vAlign w:val="center"/>
          </w:tcPr>
          <w:p w14:paraId="03E36C01" w14:textId="77777777" w:rsidR="00C07D9A" w:rsidRDefault="006E3075">
            <w:r>
              <w:rPr>
                <w:color w:val="000000"/>
                <w:sz w:val="16"/>
                <w:szCs w:val="16"/>
              </w:rPr>
              <w:t>All staff</w:t>
            </w:r>
          </w:p>
        </w:tc>
        <w:tc>
          <w:tcPr>
            <w:tcW w:w="2200" w:type="dxa"/>
            <w:tcMar>
              <w:top w:w="90" w:type="dxa"/>
              <w:left w:w="110" w:type="dxa"/>
              <w:bottom w:w="90" w:type="dxa"/>
              <w:right w:w="110" w:type="dxa"/>
            </w:tcMar>
            <w:vAlign w:val="center"/>
          </w:tcPr>
          <w:p w14:paraId="46B305BB" w14:textId="77777777" w:rsidR="00C07D9A" w:rsidRDefault="006E3075">
            <w:r>
              <w:rPr>
                <w:color w:val="000000"/>
                <w:sz w:val="16"/>
                <w:szCs w:val="16"/>
              </w:rPr>
              <w:t>Bi-annual</w:t>
            </w:r>
          </w:p>
        </w:tc>
        <w:tc>
          <w:tcPr>
            <w:tcW w:w="1900" w:type="dxa"/>
            <w:tcMar>
              <w:top w:w="90" w:type="dxa"/>
              <w:left w:w="110" w:type="dxa"/>
              <w:bottom w:w="90" w:type="dxa"/>
              <w:right w:w="110" w:type="dxa"/>
            </w:tcMar>
            <w:vAlign w:val="center"/>
          </w:tcPr>
          <w:p w14:paraId="5CEFA695" w14:textId="77777777" w:rsidR="00C07D9A" w:rsidRDefault="006E3075">
            <w:r>
              <w:rPr>
                <w:color w:val="000000"/>
                <w:sz w:val="16"/>
                <w:szCs w:val="16"/>
              </w:rPr>
              <w:t>IT Security Manager</w:t>
            </w:r>
          </w:p>
        </w:tc>
      </w:tr>
      <w:tr w:rsidR="00C07D9A" w14:paraId="2C46D0AC" w14:textId="77777777">
        <w:tc>
          <w:tcPr>
            <w:tcW w:w="2700" w:type="dxa"/>
            <w:shd w:val="clear" w:color="auto" w:fill="F4F6FA"/>
            <w:tcMar>
              <w:top w:w="90" w:type="dxa"/>
              <w:left w:w="110" w:type="dxa"/>
              <w:bottom w:w="90" w:type="dxa"/>
              <w:right w:w="110" w:type="dxa"/>
            </w:tcMar>
            <w:vAlign w:val="center"/>
          </w:tcPr>
          <w:p w14:paraId="6FDA4534" w14:textId="77777777" w:rsidR="00C07D9A" w:rsidRDefault="006E3075">
            <w:r>
              <w:rPr>
                <w:color w:val="000000"/>
                <w:sz w:val="16"/>
                <w:szCs w:val="16"/>
              </w:rPr>
              <w:t>Incident reporting procedure</w:t>
            </w:r>
          </w:p>
        </w:tc>
        <w:tc>
          <w:tcPr>
            <w:tcW w:w="2500" w:type="dxa"/>
            <w:shd w:val="clear" w:color="auto" w:fill="F4F6FA"/>
            <w:tcMar>
              <w:top w:w="90" w:type="dxa"/>
              <w:left w:w="110" w:type="dxa"/>
              <w:bottom w:w="90" w:type="dxa"/>
              <w:right w:w="110" w:type="dxa"/>
            </w:tcMar>
            <w:vAlign w:val="center"/>
          </w:tcPr>
          <w:p w14:paraId="239DC3F8" w14:textId="77777777" w:rsidR="00C07D9A" w:rsidRDefault="006E3075">
            <w:r>
              <w:rPr>
                <w:color w:val="000000"/>
                <w:sz w:val="16"/>
                <w:szCs w:val="16"/>
              </w:rPr>
              <w:t>All staff</w:t>
            </w:r>
          </w:p>
        </w:tc>
        <w:tc>
          <w:tcPr>
            <w:tcW w:w="2200" w:type="dxa"/>
            <w:shd w:val="clear" w:color="auto" w:fill="F4F6FA"/>
            <w:tcMar>
              <w:top w:w="90" w:type="dxa"/>
              <w:left w:w="110" w:type="dxa"/>
              <w:bottom w:w="90" w:type="dxa"/>
              <w:right w:w="110" w:type="dxa"/>
            </w:tcMar>
            <w:vAlign w:val="center"/>
          </w:tcPr>
          <w:p w14:paraId="7673C01B" w14:textId="77777777" w:rsidR="00C07D9A" w:rsidRDefault="006E3075">
            <w:r>
              <w:rPr>
                <w:color w:val="000000"/>
                <w:sz w:val="16"/>
                <w:szCs w:val="16"/>
              </w:rPr>
              <w:t>Induction + annual</w:t>
            </w:r>
          </w:p>
        </w:tc>
        <w:tc>
          <w:tcPr>
            <w:tcW w:w="1900" w:type="dxa"/>
            <w:shd w:val="clear" w:color="auto" w:fill="F4F6FA"/>
            <w:tcMar>
              <w:top w:w="90" w:type="dxa"/>
              <w:left w:w="110" w:type="dxa"/>
              <w:bottom w:w="90" w:type="dxa"/>
              <w:right w:w="110" w:type="dxa"/>
            </w:tcMar>
            <w:vAlign w:val="center"/>
          </w:tcPr>
          <w:p w14:paraId="519DC2CB" w14:textId="77777777" w:rsidR="00C07D9A" w:rsidRDefault="006E3075">
            <w:r>
              <w:rPr>
                <w:color w:val="000000"/>
                <w:sz w:val="16"/>
                <w:szCs w:val="16"/>
              </w:rPr>
              <w:t>IT Security Manager</w:t>
            </w:r>
          </w:p>
        </w:tc>
      </w:tr>
      <w:tr w:rsidR="00C07D9A" w14:paraId="1895118B" w14:textId="77777777">
        <w:tc>
          <w:tcPr>
            <w:tcW w:w="2700" w:type="dxa"/>
            <w:tcMar>
              <w:top w:w="90" w:type="dxa"/>
              <w:left w:w="110" w:type="dxa"/>
              <w:bottom w:w="90" w:type="dxa"/>
              <w:right w:w="110" w:type="dxa"/>
            </w:tcMar>
            <w:vAlign w:val="center"/>
          </w:tcPr>
          <w:p w14:paraId="33C011AE" w14:textId="77777777" w:rsidR="00C07D9A" w:rsidRDefault="006E3075">
            <w:r>
              <w:rPr>
                <w:color w:val="000000"/>
                <w:sz w:val="16"/>
                <w:szCs w:val="16"/>
              </w:rPr>
              <w:t>Role-specific (OT/engineering)</w:t>
            </w:r>
          </w:p>
        </w:tc>
        <w:tc>
          <w:tcPr>
            <w:tcW w:w="2500" w:type="dxa"/>
            <w:tcMar>
              <w:top w:w="90" w:type="dxa"/>
              <w:left w:w="110" w:type="dxa"/>
              <w:bottom w:w="90" w:type="dxa"/>
              <w:right w:w="110" w:type="dxa"/>
            </w:tcMar>
            <w:vAlign w:val="center"/>
          </w:tcPr>
          <w:p w14:paraId="6A7306B7" w14:textId="77777777" w:rsidR="00C07D9A" w:rsidRDefault="006E3075">
            <w:r>
              <w:rPr>
                <w:color w:val="000000"/>
                <w:sz w:val="16"/>
                <w:szCs w:val="16"/>
              </w:rPr>
              <w:t>Production/engineering staff</w:t>
            </w:r>
          </w:p>
        </w:tc>
        <w:tc>
          <w:tcPr>
            <w:tcW w:w="2200" w:type="dxa"/>
            <w:tcMar>
              <w:top w:w="90" w:type="dxa"/>
              <w:left w:w="110" w:type="dxa"/>
              <w:bottom w:w="90" w:type="dxa"/>
              <w:right w:w="110" w:type="dxa"/>
            </w:tcMar>
            <w:vAlign w:val="center"/>
          </w:tcPr>
          <w:p w14:paraId="59D597C2" w14:textId="77777777" w:rsidR="00C07D9A" w:rsidRDefault="006E3075">
            <w:r>
              <w:rPr>
                <w:color w:val="000000"/>
                <w:sz w:val="16"/>
                <w:szCs w:val="16"/>
              </w:rPr>
              <w:t>Annual</w:t>
            </w:r>
          </w:p>
        </w:tc>
        <w:tc>
          <w:tcPr>
            <w:tcW w:w="1900" w:type="dxa"/>
            <w:tcMar>
              <w:top w:w="90" w:type="dxa"/>
              <w:left w:w="110" w:type="dxa"/>
              <w:bottom w:w="90" w:type="dxa"/>
              <w:right w:w="110" w:type="dxa"/>
            </w:tcMar>
            <w:vAlign w:val="center"/>
          </w:tcPr>
          <w:p w14:paraId="722BE249" w14:textId="77777777" w:rsidR="00C07D9A" w:rsidRDefault="006E3075">
            <w:r>
              <w:rPr>
                <w:color w:val="000000"/>
                <w:sz w:val="16"/>
                <w:szCs w:val="16"/>
              </w:rPr>
              <w:t>IT Security Manager / Production Lead</w:t>
            </w:r>
          </w:p>
        </w:tc>
      </w:tr>
      <w:tr w:rsidR="00C07D9A" w14:paraId="1F93155F" w14:textId="77777777">
        <w:tc>
          <w:tcPr>
            <w:tcW w:w="2700" w:type="dxa"/>
            <w:shd w:val="clear" w:color="auto" w:fill="F4F6FA"/>
            <w:tcMar>
              <w:top w:w="90" w:type="dxa"/>
              <w:left w:w="110" w:type="dxa"/>
              <w:bottom w:w="90" w:type="dxa"/>
              <w:right w:w="110" w:type="dxa"/>
            </w:tcMar>
            <w:vAlign w:val="center"/>
          </w:tcPr>
          <w:p w14:paraId="29CEC143" w14:textId="77777777" w:rsidR="00C07D9A" w:rsidRDefault="006E3075">
            <w:r>
              <w:rPr>
                <w:color w:val="000000"/>
                <w:sz w:val="16"/>
                <w:szCs w:val="16"/>
              </w:rPr>
              <w:t>Annual refresher training</w:t>
            </w:r>
          </w:p>
        </w:tc>
        <w:tc>
          <w:tcPr>
            <w:tcW w:w="2500" w:type="dxa"/>
            <w:shd w:val="clear" w:color="auto" w:fill="F4F6FA"/>
            <w:tcMar>
              <w:top w:w="90" w:type="dxa"/>
              <w:left w:w="110" w:type="dxa"/>
              <w:bottom w:w="90" w:type="dxa"/>
              <w:right w:w="110" w:type="dxa"/>
            </w:tcMar>
            <w:vAlign w:val="center"/>
          </w:tcPr>
          <w:p w14:paraId="7BD8F0EB" w14:textId="77777777" w:rsidR="00C07D9A" w:rsidRDefault="006E3075">
            <w:r>
              <w:rPr>
                <w:color w:val="000000"/>
                <w:sz w:val="16"/>
                <w:szCs w:val="16"/>
              </w:rPr>
              <w:t>All staff</w:t>
            </w:r>
          </w:p>
        </w:tc>
        <w:tc>
          <w:tcPr>
            <w:tcW w:w="2200" w:type="dxa"/>
            <w:shd w:val="clear" w:color="auto" w:fill="F4F6FA"/>
            <w:tcMar>
              <w:top w:w="90" w:type="dxa"/>
              <w:left w:w="110" w:type="dxa"/>
              <w:bottom w:w="90" w:type="dxa"/>
              <w:right w:w="110" w:type="dxa"/>
            </w:tcMar>
            <w:vAlign w:val="center"/>
          </w:tcPr>
          <w:p w14:paraId="4C9F4F72" w14:textId="77777777" w:rsidR="00C07D9A" w:rsidRDefault="006E3075">
            <w:r>
              <w:rPr>
                <w:color w:val="000000"/>
                <w:sz w:val="16"/>
                <w:szCs w:val="16"/>
              </w:rPr>
              <w:t>Annually</w:t>
            </w:r>
          </w:p>
        </w:tc>
        <w:tc>
          <w:tcPr>
            <w:tcW w:w="1900" w:type="dxa"/>
            <w:shd w:val="clear" w:color="auto" w:fill="F4F6FA"/>
            <w:tcMar>
              <w:top w:w="90" w:type="dxa"/>
              <w:left w:w="110" w:type="dxa"/>
              <w:bottom w:w="90" w:type="dxa"/>
              <w:right w:w="110" w:type="dxa"/>
            </w:tcMar>
            <w:vAlign w:val="center"/>
          </w:tcPr>
          <w:p w14:paraId="16B7ADCB" w14:textId="77777777" w:rsidR="00C07D9A" w:rsidRDefault="006E3075">
            <w:r>
              <w:rPr>
                <w:color w:val="000000"/>
                <w:sz w:val="16"/>
                <w:szCs w:val="16"/>
              </w:rPr>
              <w:t>IT Security Manager</w:t>
            </w:r>
          </w:p>
        </w:tc>
      </w:tr>
    </w:tbl>
    <w:p w14:paraId="68A7A212" w14:textId="77777777" w:rsidR="00C07D9A" w:rsidRDefault="006E3075">
      <w:pPr>
        <w:spacing w:before="50" w:after="220"/>
        <w:jc w:val="center"/>
      </w:pPr>
      <w:r>
        <w:rPr>
          <w:i/>
          <w:iCs/>
          <w:color w:val="555555"/>
          <w:sz w:val="19"/>
          <w:szCs w:val="19"/>
        </w:rPr>
        <w:t>Table 3. Staff Training and Awareness Schedule.</w:t>
      </w:r>
    </w:p>
    <w:p w14:paraId="02016E1A" w14:textId="77777777" w:rsidR="00C07D9A" w:rsidRDefault="006E3075">
      <w:pPr>
        <w:spacing w:after="130" w:line="264" w:lineRule="auto"/>
        <w:jc w:val="both"/>
      </w:pPr>
      <w:r>
        <w:t>Effectiveness is measured via phishing-simulation click/report rates, completion records, and human-error incident trends, reported to the Board alongside monitoring summaries.</w:t>
      </w:r>
    </w:p>
    <w:p w14:paraId="0BE97B98" w14:textId="77777777" w:rsidR="00C07D9A" w:rsidRDefault="006E3075">
      <w:pPr>
        <w:pStyle w:val="Heading1"/>
      </w:pPr>
      <w:bookmarkStart w:id="12" w:name="_Toc237302612"/>
      <w:r>
        <w:t>10. Application of Cybersecurity Frameworks</w:t>
      </w:r>
      <w:bookmarkEnd w:id="12"/>
    </w:p>
    <w:p w14:paraId="173726C7" w14:textId="22DD8BC6" w:rsidR="00C07D9A" w:rsidRDefault="006E3075">
      <w:pPr>
        <w:spacing w:after="130" w:line="264" w:lineRule="auto"/>
        <w:jc w:val="both"/>
      </w:pPr>
      <w:r>
        <w:t xml:space="preserve">The CIA triad gives SFM a shared control-priority language. ISO/IEC 27001:2022 turns Table 1's policies into an auditable ISMS with risk assessment and a Statement of Applicability </w:t>
      </w:r>
      <w:sdt>
        <w:sdtPr>
          <w:id w:val="421764533"/>
          <w:citation/>
        </w:sdtPr>
        <w:sdtContent>
          <w:r w:rsidR="00AE5FEB">
            <w:fldChar w:fldCharType="begin"/>
          </w:r>
          <w:r w:rsidR="00AE5FEB">
            <w:rPr>
              <w:lang w:val="uk-UA"/>
            </w:rPr>
            <w:instrText xml:space="preserve"> CITATION Int22 \l 1058 </w:instrText>
          </w:r>
          <w:r w:rsidR="00AE5FEB">
            <w:fldChar w:fldCharType="separate"/>
          </w:r>
          <w:r w:rsidR="00EE38F1" w:rsidRPr="00EE38F1">
            <w:rPr>
              <w:noProof/>
              <w:lang w:val="uk-UA"/>
            </w:rPr>
            <w:t>[5]</w:t>
          </w:r>
          <w:r w:rsidR="00AE5FEB">
            <w:fldChar w:fldCharType="end"/>
          </w:r>
        </w:sdtContent>
      </w:sdt>
      <w:r w:rsidR="00AE5FEB">
        <w:rPr>
          <w:lang w:val="uk-UA"/>
        </w:rPr>
        <w:t>,</w:t>
      </w:r>
      <w:sdt>
        <w:sdtPr>
          <w:id w:val="-1693367070"/>
          <w:citation/>
        </w:sdtPr>
        <w:sdtContent>
          <w:r w:rsidR="00AE5FEB">
            <w:fldChar w:fldCharType="begin"/>
          </w:r>
          <w:r w:rsidR="00EE38F1">
            <w:rPr>
              <w:lang w:val="uk-UA"/>
            </w:rPr>
            <w:instrText xml:space="preserve">CITATION Dra26 \l 1058 </w:instrText>
          </w:r>
          <w:r w:rsidR="00AE5FEB">
            <w:fldChar w:fldCharType="separate"/>
          </w:r>
          <w:r w:rsidR="00EE38F1">
            <w:rPr>
              <w:noProof/>
              <w:lang w:val="uk-UA"/>
            </w:rPr>
            <w:t xml:space="preserve"> </w:t>
          </w:r>
          <w:r w:rsidR="00EE38F1" w:rsidRPr="00EE38F1">
            <w:rPr>
              <w:noProof/>
              <w:lang w:val="uk-UA"/>
            </w:rPr>
            <w:t>[6]</w:t>
          </w:r>
          <w:r w:rsidR="00AE5FEB">
            <w:fldChar w:fldCharType="end"/>
          </w:r>
        </w:sdtContent>
      </w:sdt>
      <w:r>
        <w:t xml:space="preserve">. NIST CSF 2.0, and its manufacturing profile, organises activity across Govern, Identify, Protect, Detect, Respond and Recover, scaled to SFM's size </w:t>
      </w:r>
      <w:sdt>
        <w:sdtPr>
          <w:id w:val="1257255260"/>
          <w:citation/>
        </w:sdtPr>
        <w:sdtContent>
          <w:r w:rsidR="00AE5FEB">
            <w:fldChar w:fldCharType="begin"/>
          </w:r>
          <w:r w:rsidR="00AE5FEB">
            <w:rPr>
              <w:lang w:val="uk-UA"/>
            </w:rPr>
            <w:instrText xml:space="preserve"> CITATION Eur25 \l 1058 </w:instrText>
          </w:r>
          <w:r w:rsidR="00AE5FEB">
            <w:fldChar w:fldCharType="separate"/>
          </w:r>
          <w:r w:rsidR="00EE38F1" w:rsidRPr="00EE38F1">
            <w:rPr>
              <w:noProof/>
              <w:lang w:val="uk-UA"/>
            </w:rPr>
            <w:t>[3]</w:t>
          </w:r>
          <w:r w:rsidR="00AE5FEB">
            <w:fldChar w:fldCharType="end"/>
          </w:r>
        </w:sdtContent>
      </w:sdt>
      <w:sdt>
        <w:sdtPr>
          <w:id w:val="37404277"/>
          <w:citation/>
        </w:sdtPr>
        <w:sdtContent>
          <w:r w:rsidR="00AE5FEB">
            <w:fldChar w:fldCharType="begin"/>
          </w:r>
          <w:r w:rsidR="00AE5FEB">
            <w:rPr>
              <w:lang w:val="uk-UA"/>
            </w:rPr>
            <w:instrText xml:space="preserve"> CITATION Nat24 \l 1058 </w:instrText>
          </w:r>
          <w:r w:rsidR="00AE5FEB">
            <w:fldChar w:fldCharType="separate"/>
          </w:r>
          <w:r w:rsidR="00EE38F1">
            <w:rPr>
              <w:noProof/>
              <w:lang w:val="uk-UA"/>
            </w:rPr>
            <w:t xml:space="preserve"> </w:t>
          </w:r>
          <w:r w:rsidR="00EE38F1" w:rsidRPr="00EE38F1">
            <w:rPr>
              <w:noProof/>
              <w:lang w:val="uk-UA"/>
            </w:rPr>
            <w:t>[7]</w:t>
          </w:r>
          <w:r w:rsidR="00AE5FEB">
            <w:fldChar w:fldCharType="end"/>
          </w:r>
        </w:sdtContent>
      </w:sdt>
      <w:sdt>
        <w:sdtPr>
          <w:id w:val="-1904362269"/>
          <w:citation/>
        </w:sdtPr>
        <w:sdtContent>
          <w:r w:rsidR="00B53949">
            <w:fldChar w:fldCharType="begin"/>
          </w:r>
          <w:r w:rsidR="00B53949">
            <w:rPr>
              <w:lang w:val="uk-UA"/>
            </w:rPr>
            <w:instrText xml:space="preserve"> CITATION Nat25 \l 1058 </w:instrText>
          </w:r>
          <w:r w:rsidR="00B53949">
            <w:fldChar w:fldCharType="separate"/>
          </w:r>
          <w:r w:rsidR="00EE38F1">
            <w:rPr>
              <w:noProof/>
              <w:lang w:val="uk-UA"/>
            </w:rPr>
            <w:t xml:space="preserve"> </w:t>
          </w:r>
          <w:r w:rsidR="00EE38F1" w:rsidRPr="00EE38F1">
            <w:rPr>
              <w:noProof/>
              <w:lang w:val="uk-UA"/>
            </w:rPr>
            <w:t>[8]</w:t>
          </w:r>
          <w:r w:rsidR="00B53949">
            <w:fldChar w:fldCharType="end"/>
          </w:r>
        </w:sdtContent>
      </w:sdt>
      <w:r>
        <w:t xml:space="preserve">. UK GDPR shapes the Data Protection Policy, since SFM holds employee and customer order data; non-compliance risks </w:t>
      </w:r>
      <w:proofErr w:type="gramStart"/>
      <w:r>
        <w:t>fines</w:t>
      </w:r>
      <w:proofErr w:type="gramEnd"/>
      <w:r>
        <w:t xml:space="preserve"> up to £17.5m or 4% of turnover </w:t>
      </w:r>
      <w:sdt>
        <w:sdtPr>
          <w:id w:val="-117071225"/>
          <w:citation/>
        </w:sdtPr>
        <w:sdtContent>
          <w:r w:rsidR="00047BD8">
            <w:fldChar w:fldCharType="begin"/>
          </w:r>
          <w:r w:rsidR="00047BD8">
            <w:rPr>
              <w:lang w:val="uk-UA"/>
            </w:rPr>
            <w:instrText xml:space="preserve"> CITATION Cor23 \l 1058 </w:instrText>
          </w:r>
          <w:r w:rsidR="00047BD8">
            <w:fldChar w:fldCharType="separate"/>
          </w:r>
          <w:r w:rsidR="00047BD8" w:rsidRPr="00047BD8">
            <w:rPr>
              <w:noProof/>
              <w:lang w:val="uk-UA"/>
            </w:rPr>
            <w:t>[9]</w:t>
          </w:r>
          <w:r w:rsidR="00047BD8">
            <w:fldChar w:fldCharType="end"/>
          </w:r>
        </w:sdtContent>
      </w:sdt>
      <w:r>
        <w:t>. Together, these keep SFM's programme technically sound, auditable and compliant.</w:t>
      </w:r>
    </w:p>
    <w:p w14:paraId="39D75F60" w14:textId="77777777" w:rsidR="00C07D9A" w:rsidRDefault="006E3075">
      <w:pPr>
        <w:pStyle w:val="Heading1"/>
      </w:pPr>
      <w:bookmarkStart w:id="13" w:name="_Toc237302613"/>
      <w:r>
        <w:t>11. Conclusion and Recommendations</w:t>
      </w:r>
      <w:bookmarkEnd w:id="13"/>
    </w:p>
    <w:p w14:paraId="1672AE39" w14:textId="77777777" w:rsidR="00C07D9A" w:rsidRDefault="006E3075">
      <w:pPr>
        <w:spacing w:after="130" w:line="264" w:lineRule="auto"/>
        <w:jc w:val="both"/>
      </w:pPr>
      <w:r>
        <w:t>SFM's connected environment brings real benefits but real exposure to the ransomware, phishing and IoT attacks driving the sharpest rise in manufacturing incidents. The Board is asked to approve: (1) the ten policies in Table 1 as a formal ISMS aligned to ISO/IEC 27001:2022; (2) phased mitigation deployment, prioritising MFA and segmentation; (3) the SIEM-based monitoring plan; (4) the incident response plan, tested annually; and (5) funding for staff training, closing the human-factor gap behind most successful attacks.</w:t>
      </w:r>
    </w:p>
    <w:sdt>
      <w:sdtPr>
        <w:id w:val="2127269908"/>
        <w:docPartObj>
          <w:docPartGallery w:val="Bibliographies"/>
          <w:docPartUnique/>
        </w:docPartObj>
      </w:sdtPr>
      <w:sdtEndPr>
        <w:rPr>
          <w:rFonts w:ascii="Calibri" w:eastAsia="Calibri" w:hAnsi="Calibri" w:cs="Calibri"/>
          <w:b w:val="0"/>
          <w:bCs w:val="0"/>
          <w:color w:val="auto"/>
          <w:sz w:val="21"/>
          <w:szCs w:val="21"/>
        </w:rPr>
      </w:sdtEndPr>
      <w:sdtContent>
        <w:p w14:paraId="577A9206" w14:textId="611A0CB3" w:rsidR="00B53949" w:rsidRDefault="00B53949">
          <w:pPr>
            <w:pStyle w:val="Heading1"/>
          </w:pPr>
          <w:r>
            <w:t>References</w:t>
          </w:r>
        </w:p>
        <w:sdt>
          <w:sdtPr>
            <w:id w:val="-573587230"/>
            <w:bibliography/>
          </w:sdtPr>
          <w:sdtContent>
            <w:p w14:paraId="2420C04C" w14:textId="77777777" w:rsidR="00EE38F1" w:rsidRDefault="00B5394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9229"/>
              </w:tblGrid>
              <w:tr w:rsidR="00EE38F1" w14:paraId="35AED8C7" w14:textId="77777777">
                <w:trPr>
                  <w:divId w:val="1246303342"/>
                  <w:tblCellSpacing w:w="15" w:type="dxa"/>
                </w:trPr>
                <w:tc>
                  <w:tcPr>
                    <w:tcW w:w="50" w:type="pct"/>
                    <w:hideMark/>
                  </w:tcPr>
                  <w:p w14:paraId="4855007E" w14:textId="154F73F8" w:rsidR="00EE38F1" w:rsidRDefault="00EE38F1">
                    <w:pPr>
                      <w:pStyle w:val="Bibliography"/>
                      <w:rPr>
                        <w:noProof/>
                        <w:sz w:val="24"/>
                        <w:szCs w:val="24"/>
                      </w:rPr>
                    </w:pPr>
                    <w:r>
                      <w:rPr>
                        <w:noProof/>
                      </w:rPr>
                      <w:t xml:space="preserve">[1] </w:t>
                    </w:r>
                  </w:p>
                </w:tc>
                <w:tc>
                  <w:tcPr>
                    <w:tcW w:w="0" w:type="auto"/>
                    <w:hideMark/>
                  </w:tcPr>
                  <w:p w14:paraId="0000B1BA" w14:textId="77777777" w:rsidR="00EE38F1" w:rsidRDefault="00EE38F1">
                    <w:pPr>
                      <w:pStyle w:val="Bibliography"/>
                      <w:rPr>
                        <w:noProof/>
                      </w:rPr>
                    </w:pPr>
                    <w:r>
                      <w:rPr>
                        <w:noProof/>
                      </w:rPr>
                      <w:t>Check Point Research, “Manufacturing Threat Landscape 2025,” Check Point Software Technologies, 2026.</w:t>
                    </w:r>
                  </w:p>
                </w:tc>
              </w:tr>
              <w:tr w:rsidR="00EE38F1" w14:paraId="7DAB805E" w14:textId="77777777">
                <w:trPr>
                  <w:divId w:val="1246303342"/>
                  <w:tblCellSpacing w:w="15" w:type="dxa"/>
                </w:trPr>
                <w:tc>
                  <w:tcPr>
                    <w:tcW w:w="50" w:type="pct"/>
                    <w:hideMark/>
                  </w:tcPr>
                  <w:p w14:paraId="0FBF2A95" w14:textId="77777777" w:rsidR="00EE38F1" w:rsidRDefault="00EE38F1">
                    <w:pPr>
                      <w:pStyle w:val="Bibliography"/>
                      <w:rPr>
                        <w:noProof/>
                      </w:rPr>
                    </w:pPr>
                    <w:r>
                      <w:rPr>
                        <w:noProof/>
                      </w:rPr>
                      <w:t xml:space="preserve">[2] </w:t>
                    </w:r>
                  </w:p>
                </w:tc>
                <w:tc>
                  <w:tcPr>
                    <w:tcW w:w="0" w:type="auto"/>
                    <w:hideMark/>
                  </w:tcPr>
                  <w:p w14:paraId="33D140B0" w14:textId="77777777" w:rsidR="00EE38F1" w:rsidRDefault="00EE38F1">
                    <w:pPr>
                      <w:pStyle w:val="Bibliography"/>
                      <w:rPr>
                        <w:noProof/>
                      </w:rPr>
                    </w:pPr>
                    <w:r>
                      <w:rPr>
                        <w:noProof/>
                      </w:rPr>
                      <w:t>Resilience, “The State of Cybersecurity in Manufacturing,” Resilience, 2026.</w:t>
                    </w:r>
                  </w:p>
                </w:tc>
              </w:tr>
              <w:tr w:rsidR="00EE38F1" w14:paraId="16F06613" w14:textId="77777777">
                <w:trPr>
                  <w:divId w:val="1246303342"/>
                  <w:tblCellSpacing w:w="15" w:type="dxa"/>
                </w:trPr>
                <w:tc>
                  <w:tcPr>
                    <w:tcW w:w="50" w:type="pct"/>
                    <w:hideMark/>
                  </w:tcPr>
                  <w:p w14:paraId="37688D96" w14:textId="77777777" w:rsidR="00EE38F1" w:rsidRDefault="00EE38F1">
                    <w:pPr>
                      <w:pStyle w:val="Bibliography"/>
                      <w:rPr>
                        <w:noProof/>
                      </w:rPr>
                    </w:pPr>
                    <w:r>
                      <w:rPr>
                        <w:noProof/>
                      </w:rPr>
                      <w:t xml:space="preserve">[3] </w:t>
                    </w:r>
                  </w:p>
                </w:tc>
                <w:tc>
                  <w:tcPr>
                    <w:tcW w:w="0" w:type="auto"/>
                    <w:hideMark/>
                  </w:tcPr>
                  <w:p w14:paraId="410C7BA6" w14:textId="77777777" w:rsidR="00EE38F1" w:rsidRDefault="00EE38F1">
                    <w:pPr>
                      <w:pStyle w:val="Bibliography"/>
                      <w:rPr>
                        <w:noProof/>
                      </w:rPr>
                    </w:pPr>
                    <w:r>
                      <w:rPr>
                        <w:noProof/>
                      </w:rPr>
                      <w:t>European Union Agency for Cybersecurity (ENISA), “ENISA Threat Landscape 2025,” ENISA, 2025.</w:t>
                    </w:r>
                  </w:p>
                </w:tc>
              </w:tr>
              <w:tr w:rsidR="00EE38F1" w14:paraId="794A5902" w14:textId="77777777">
                <w:trPr>
                  <w:divId w:val="1246303342"/>
                  <w:tblCellSpacing w:w="15" w:type="dxa"/>
                </w:trPr>
                <w:tc>
                  <w:tcPr>
                    <w:tcW w:w="50" w:type="pct"/>
                    <w:hideMark/>
                  </w:tcPr>
                  <w:p w14:paraId="1F88A76B" w14:textId="77777777" w:rsidR="00EE38F1" w:rsidRDefault="00EE38F1">
                    <w:pPr>
                      <w:pStyle w:val="Bibliography"/>
                      <w:rPr>
                        <w:noProof/>
                      </w:rPr>
                    </w:pPr>
                    <w:r>
                      <w:rPr>
                        <w:noProof/>
                      </w:rPr>
                      <w:t xml:space="preserve">[4] </w:t>
                    </w:r>
                  </w:p>
                </w:tc>
                <w:tc>
                  <w:tcPr>
                    <w:tcW w:w="0" w:type="auto"/>
                    <w:hideMark/>
                  </w:tcPr>
                  <w:p w14:paraId="588B7668" w14:textId="77777777" w:rsidR="00EE38F1" w:rsidRDefault="00EE38F1">
                    <w:pPr>
                      <w:pStyle w:val="Bibliography"/>
                      <w:rPr>
                        <w:noProof/>
                      </w:rPr>
                    </w:pPr>
                    <w:r>
                      <w:rPr>
                        <w:noProof/>
                      </w:rPr>
                      <w:t>Sophos, “The State of Ransomware in Manufacturing and Production 2025,” Sophos, 2025.</w:t>
                    </w:r>
                  </w:p>
                </w:tc>
              </w:tr>
              <w:tr w:rsidR="00EE38F1" w14:paraId="24A75645" w14:textId="77777777">
                <w:trPr>
                  <w:divId w:val="1246303342"/>
                  <w:tblCellSpacing w:w="15" w:type="dxa"/>
                </w:trPr>
                <w:tc>
                  <w:tcPr>
                    <w:tcW w:w="50" w:type="pct"/>
                    <w:hideMark/>
                  </w:tcPr>
                  <w:p w14:paraId="34458AC7" w14:textId="77777777" w:rsidR="00EE38F1" w:rsidRDefault="00EE38F1">
                    <w:pPr>
                      <w:pStyle w:val="Bibliography"/>
                      <w:rPr>
                        <w:noProof/>
                      </w:rPr>
                    </w:pPr>
                    <w:r>
                      <w:rPr>
                        <w:noProof/>
                      </w:rPr>
                      <w:t xml:space="preserve">[5] </w:t>
                    </w:r>
                  </w:p>
                </w:tc>
                <w:tc>
                  <w:tcPr>
                    <w:tcW w:w="0" w:type="auto"/>
                    <w:hideMark/>
                  </w:tcPr>
                  <w:p w14:paraId="6AE9C13E" w14:textId="77777777" w:rsidR="00EE38F1" w:rsidRDefault="00EE38F1">
                    <w:pPr>
                      <w:pStyle w:val="Bibliography"/>
                      <w:rPr>
                        <w:noProof/>
                      </w:rPr>
                    </w:pPr>
                    <w:r>
                      <w:rPr>
                        <w:noProof/>
                      </w:rPr>
                      <w:t>International Organization for Standardization, “ISO/IEC 27001:2022 — Information security, cybersecurity and privacy protection — Information security management systems — Requirements,” ISO, Geneva, 2022.</w:t>
                    </w:r>
                  </w:p>
                </w:tc>
              </w:tr>
              <w:tr w:rsidR="00EE38F1" w14:paraId="68E166C4" w14:textId="77777777">
                <w:trPr>
                  <w:divId w:val="1246303342"/>
                  <w:tblCellSpacing w:w="15" w:type="dxa"/>
                </w:trPr>
                <w:tc>
                  <w:tcPr>
                    <w:tcW w:w="50" w:type="pct"/>
                    <w:hideMark/>
                  </w:tcPr>
                  <w:p w14:paraId="42A55A86" w14:textId="77777777" w:rsidR="00EE38F1" w:rsidRDefault="00EE38F1">
                    <w:pPr>
                      <w:pStyle w:val="Bibliography"/>
                      <w:rPr>
                        <w:noProof/>
                      </w:rPr>
                    </w:pPr>
                    <w:r>
                      <w:rPr>
                        <w:noProof/>
                      </w:rPr>
                      <w:t xml:space="preserve">[6] </w:t>
                    </w:r>
                  </w:p>
                </w:tc>
                <w:tc>
                  <w:tcPr>
                    <w:tcW w:w="0" w:type="auto"/>
                    <w:hideMark/>
                  </w:tcPr>
                  <w:p w14:paraId="5C8EAF21" w14:textId="77777777" w:rsidR="00EE38F1" w:rsidRDefault="00EE38F1">
                    <w:pPr>
                      <w:pStyle w:val="Bibliography"/>
                      <w:rPr>
                        <w:noProof/>
                      </w:rPr>
                    </w:pPr>
                    <w:r>
                      <w:rPr>
                        <w:noProof/>
                      </w:rPr>
                      <w:t>Drata, “ISO 27001:2022: A Complete List of Changes,” 2026. [Online]. Available: https://drata.com/learn/iso-27001/2022-update. [Accessed 10 August 2026].</w:t>
                    </w:r>
                  </w:p>
                </w:tc>
              </w:tr>
              <w:tr w:rsidR="00EE38F1" w14:paraId="6AFEEB3B" w14:textId="77777777">
                <w:trPr>
                  <w:divId w:val="1246303342"/>
                  <w:tblCellSpacing w:w="15" w:type="dxa"/>
                </w:trPr>
                <w:tc>
                  <w:tcPr>
                    <w:tcW w:w="50" w:type="pct"/>
                    <w:hideMark/>
                  </w:tcPr>
                  <w:p w14:paraId="2A306EFB" w14:textId="77777777" w:rsidR="00EE38F1" w:rsidRDefault="00EE38F1">
                    <w:pPr>
                      <w:pStyle w:val="Bibliography"/>
                      <w:rPr>
                        <w:noProof/>
                      </w:rPr>
                    </w:pPr>
                    <w:r>
                      <w:rPr>
                        <w:noProof/>
                      </w:rPr>
                      <w:t xml:space="preserve">[7] </w:t>
                    </w:r>
                  </w:p>
                </w:tc>
                <w:tc>
                  <w:tcPr>
                    <w:tcW w:w="0" w:type="auto"/>
                    <w:hideMark/>
                  </w:tcPr>
                  <w:p w14:paraId="1F1E5DBD" w14:textId="77777777" w:rsidR="00EE38F1" w:rsidRDefault="00EE38F1">
                    <w:pPr>
                      <w:pStyle w:val="Bibliography"/>
                      <w:rPr>
                        <w:noProof/>
                      </w:rPr>
                    </w:pPr>
                    <w:r>
                      <w:rPr>
                        <w:noProof/>
                      </w:rPr>
                      <w:t>National Institute of Standards and Technology, “The NIST Cybersecurity Framework (CSF) 2.0,” NIST, Gaithersburg, MD, 2024.</w:t>
                    </w:r>
                  </w:p>
                </w:tc>
              </w:tr>
              <w:tr w:rsidR="00EE38F1" w14:paraId="319FFB31" w14:textId="77777777">
                <w:trPr>
                  <w:divId w:val="1246303342"/>
                  <w:tblCellSpacing w:w="15" w:type="dxa"/>
                </w:trPr>
                <w:tc>
                  <w:tcPr>
                    <w:tcW w:w="50" w:type="pct"/>
                    <w:hideMark/>
                  </w:tcPr>
                  <w:p w14:paraId="509332E4" w14:textId="77777777" w:rsidR="00EE38F1" w:rsidRDefault="00EE38F1">
                    <w:pPr>
                      <w:pStyle w:val="Bibliography"/>
                      <w:rPr>
                        <w:noProof/>
                      </w:rPr>
                    </w:pPr>
                    <w:r>
                      <w:rPr>
                        <w:noProof/>
                      </w:rPr>
                      <w:t xml:space="preserve">[8] </w:t>
                    </w:r>
                  </w:p>
                </w:tc>
                <w:tc>
                  <w:tcPr>
                    <w:tcW w:w="0" w:type="auto"/>
                    <w:hideMark/>
                  </w:tcPr>
                  <w:p w14:paraId="3A14236E" w14:textId="77777777" w:rsidR="00EE38F1" w:rsidRDefault="00EE38F1">
                    <w:pPr>
                      <w:pStyle w:val="Bibliography"/>
                      <w:rPr>
                        <w:noProof/>
                      </w:rPr>
                    </w:pPr>
                    <w:r>
                      <w:rPr>
                        <w:noProof/>
                      </w:rPr>
                      <w:t>National Institute of Standards and Technology, “Cybersecurity Framework 2.0 Manufacturing Profile (Initial Public Draft),” NIST, Gaithersburg, MD, 2025.</w:t>
                    </w:r>
                  </w:p>
                </w:tc>
              </w:tr>
              <w:tr w:rsidR="00EE38F1" w14:paraId="7A3703F3" w14:textId="77777777">
                <w:trPr>
                  <w:divId w:val="1246303342"/>
                  <w:tblCellSpacing w:w="15" w:type="dxa"/>
                </w:trPr>
                <w:tc>
                  <w:tcPr>
                    <w:tcW w:w="50" w:type="pct"/>
                    <w:hideMark/>
                  </w:tcPr>
                  <w:p w14:paraId="61746489" w14:textId="77777777" w:rsidR="00EE38F1" w:rsidRDefault="00EE38F1">
                    <w:pPr>
                      <w:pStyle w:val="Bibliography"/>
                      <w:rPr>
                        <w:noProof/>
                      </w:rPr>
                    </w:pPr>
                    <w:r>
                      <w:rPr>
                        <w:noProof/>
                      </w:rPr>
                      <w:t xml:space="preserve">[9] </w:t>
                    </w:r>
                  </w:p>
                </w:tc>
                <w:tc>
                  <w:tcPr>
                    <w:tcW w:w="0" w:type="auto"/>
                    <w:hideMark/>
                  </w:tcPr>
                  <w:p w14:paraId="4941BE86" w14:textId="77777777" w:rsidR="00EE38F1" w:rsidRDefault="00EE38F1">
                    <w:pPr>
                      <w:pStyle w:val="Bibliography"/>
                      <w:rPr>
                        <w:noProof/>
                      </w:rPr>
                    </w:pPr>
                    <w:r>
                      <w:rPr>
                        <w:noProof/>
                      </w:rPr>
                      <w:t>Information Commissioner's Office, “A guide to the data protection principles,” 2023. [Online]. Available: https://ico.org.uk/for-organisations/uk-gdpr-guidance-and-resources/data-protection-principles/a-guide-to-the-data-protection-principles/. [Accessed 10 August 2026].</w:t>
                    </w:r>
                  </w:p>
                </w:tc>
              </w:tr>
            </w:tbl>
            <w:p w14:paraId="2B9F8959" w14:textId="77777777" w:rsidR="00EE38F1" w:rsidRDefault="00EE38F1">
              <w:pPr>
                <w:divId w:val="1246303342"/>
                <w:rPr>
                  <w:rFonts w:eastAsia="Times New Roman"/>
                  <w:noProof/>
                </w:rPr>
              </w:pPr>
            </w:p>
            <w:p w14:paraId="1440D4D0" w14:textId="23876028" w:rsidR="00B53949" w:rsidRDefault="00B53949">
              <w:r>
                <w:rPr>
                  <w:b/>
                  <w:bCs/>
                  <w:noProof/>
                </w:rPr>
                <w:fldChar w:fldCharType="end"/>
              </w:r>
            </w:p>
          </w:sdtContent>
        </w:sdt>
      </w:sdtContent>
    </w:sdt>
    <w:p w14:paraId="7B6DE990" w14:textId="23876028" w:rsidR="00C07D9A" w:rsidRDefault="006E3075">
      <w:pPr>
        <w:pStyle w:val="Heading1"/>
      </w:pPr>
      <w:bookmarkStart w:id="14" w:name="_Toc237302615"/>
      <w:r>
        <w:t>Appendix A — Board Presentation Slides</w:t>
      </w:r>
      <w:bookmarkEnd w:id="14"/>
    </w:p>
    <w:p w14:paraId="42A628E2" w14:textId="77777777" w:rsidR="00C07D9A" w:rsidRDefault="006E3075">
      <w:pPr>
        <w:spacing w:after="130" w:line="264" w:lineRule="auto"/>
        <w:jc w:val="both"/>
      </w:pPr>
      <w:r>
        <w:t>The following slides form the 10-minute presentation delivered to the SFM Board of Directors, summarising the threat assessment, policies, mitigation measures, monitoring plan, incident response plan, staff training programme and recommendations in this report. The accompanying PowerPoint file (SFM_Board_Presentation.pptx) is provided alongside this report.</w:t>
      </w:r>
    </w:p>
    <w:p w14:paraId="7B7B2B68" w14:textId="77777777" w:rsidR="00C07D9A" w:rsidRDefault="006E3075">
      <w:pPr>
        <w:spacing w:before="220" w:after="50"/>
        <w:jc w:val="center"/>
      </w:pPr>
      <w:r>
        <w:rPr>
          <w:noProof/>
        </w:rPr>
        <w:drawing>
          <wp:inline distT="0" distB="0" distL="0" distR="0" wp14:anchorId="29EB3A2A" wp14:editId="402316A7">
            <wp:extent cx="5500000" cy="3093750"/>
            <wp:effectExtent l="0" t="0" r="0" b="0"/>
            <wp:docPr id="988847788" name="Picture 988847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500000" cy="3093750"/>
                    </a:xfrm>
                    <a:prstGeom prst="rect">
                      <a:avLst/>
                    </a:prstGeom>
                  </pic:spPr>
                </pic:pic>
              </a:graphicData>
            </a:graphic>
          </wp:inline>
        </w:drawing>
      </w:r>
    </w:p>
    <w:p w14:paraId="3F3D35A9" w14:textId="77777777" w:rsidR="00C07D9A" w:rsidRDefault="006E3075">
      <w:pPr>
        <w:spacing w:before="50" w:after="220"/>
        <w:jc w:val="center"/>
      </w:pPr>
      <w:r>
        <w:rPr>
          <w:i/>
          <w:iCs/>
          <w:color w:val="555555"/>
          <w:sz w:val="19"/>
          <w:szCs w:val="19"/>
        </w:rPr>
        <w:t>Slide 1</w:t>
      </w:r>
    </w:p>
    <w:p w14:paraId="2A40580E" w14:textId="77777777" w:rsidR="00C07D9A" w:rsidRDefault="006E3075">
      <w:pPr>
        <w:spacing w:before="220" w:after="50"/>
        <w:jc w:val="center"/>
      </w:pPr>
      <w:r>
        <w:rPr>
          <w:noProof/>
        </w:rPr>
        <w:drawing>
          <wp:inline distT="0" distB="0" distL="0" distR="0" wp14:anchorId="1D28E3C1" wp14:editId="44B629D8">
            <wp:extent cx="5500000" cy="3093750"/>
            <wp:effectExtent l="0" t="0" r="0" b="0"/>
            <wp:docPr id="473920967" name="Picture 473920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500000" cy="3093750"/>
                    </a:xfrm>
                    <a:prstGeom prst="rect">
                      <a:avLst/>
                    </a:prstGeom>
                  </pic:spPr>
                </pic:pic>
              </a:graphicData>
            </a:graphic>
          </wp:inline>
        </w:drawing>
      </w:r>
    </w:p>
    <w:p w14:paraId="017EEBC1" w14:textId="77777777" w:rsidR="00C07D9A" w:rsidRDefault="006E3075">
      <w:pPr>
        <w:spacing w:before="50" w:after="220"/>
        <w:jc w:val="center"/>
      </w:pPr>
      <w:r>
        <w:rPr>
          <w:i/>
          <w:iCs/>
          <w:color w:val="555555"/>
          <w:sz w:val="19"/>
          <w:szCs w:val="19"/>
        </w:rPr>
        <w:t>Slide 2</w:t>
      </w:r>
    </w:p>
    <w:p w14:paraId="7D26F658" w14:textId="77777777" w:rsidR="00C07D9A" w:rsidRDefault="006E3075">
      <w:pPr>
        <w:spacing w:before="220" w:after="50"/>
        <w:jc w:val="center"/>
      </w:pPr>
      <w:r>
        <w:rPr>
          <w:noProof/>
        </w:rPr>
        <w:drawing>
          <wp:inline distT="0" distB="0" distL="0" distR="0" wp14:anchorId="1B702F4B" wp14:editId="39D31255">
            <wp:extent cx="5500000" cy="3093750"/>
            <wp:effectExtent l="0" t="0" r="0" b="0"/>
            <wp:docPr id="1939136728" name="Picture 1939136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500000" cy="3093750"/>
                    </a:xfrm>
                    <a:prstGeom prst="rect">
                      <a:avLst/>
                    </a:prstGeom>
                  </pic:spPr>
                </pic:pic>
              </a:graphicData>
            </a:graphic>
          </wp:inline>
        </w:drawing>
      </w:r>
    </w:p>
    <w:p w14:paraId="5AC586C1" w14:textId="77777777" w:rsidR="00C07D9A" w:rsidRDefault="006E3075">
      <w:pPr>
        <w:spacing w:before="50" w:after="220"/>
        <w:jc w:val="center"/>
      </w:pPr>
      <w:r>
        <w:rPr>
          <w:i/>
          <w:iCs/>
          <w:color w:val="555555"/>
          <w:sz w:val="19"/>
          <w:szCs w:val="19"/>
        </w:rPr>
        <w:t>Slide 3</w:t>
      </w:r>
    </w:p>
    <w:p w14:paraId="66CF77FF" w14:textId="77777777" w:rsidR="00C07D9A" w:rsidRDefault="006E3075">
      <w:pPr>
        <w:spacing w:before="220" w:after="50"/>
        <w:jc w:val="center"/>
      </w:pPr>
      <w:r>
        <w:rPr>
          <w:noProof/>
        </w:rPr>
        <w:drawing>
          <wp:inline distT="0" distB="0" distL="0" distR="0" wp14:anchorId="717328A8" wp14:editId="69EBB6CE">
            <wp:extent cx="5500000" cy="3093750"/>
            <wp:effectExtent l="0" t="0" r="0" b="0"/>
            <wp:docPr id="708142576" name="Picture 708142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500000" cy="3093750"/>
                    </a:xfrm>
                    <a:prstGeom prst="rect">
                      <a:avLst/>
                    </a:prstGeom>
                  </pic:spPr>
                </pic:pic>
              </a:graphicData>
            </a:graphic>
          </wp:inline>
        </w:drawing>
      </w:r>
    </w:p>
    <w:p w14:paraId="403B6254" w14:textId="77777777" w:rsidR="00C07D9A" w:rsidRDefault="006E3075">
      <w:pPr>
        <w:spacing w:before="50" w:after="220"/>
        <w:jc w:val="center"/>
      </w:pPr>
      <w:r>
        <w:rPr>
          <w:i/>
          <w:iCs/>
          <w:color w:val="555555"/>
          <w:sz w:val="19"/>
          <w:szCs w:val="19"/>
        </w:rPr>
        <w:t>Slide 4</w:t>
      </w:r>
    </w:p>
    <w:p w14:paraId="4138118C" w14:textId="77777777" w:rsidR="00C07D9A" w:rsidRDefault="006E3075">
      <w:pPr>
        <w:spacing w:before="220" w:after="50"/>
        <w:jc w:val="center"/>
      </w:pPr>
      <w:r>
        <w:rPr>
          <w:noProof/>
        </w:rPr>
        <w:drawing>
          <wp:inline distT="0" distB="0" distL="0" distR="0" wp14:anchorId="12D0EDC2" wp14:editId="743DD4AF">
            <wp:extent cx="5500000" cy="3093750"/>
            <wp:effectExtent l="0" t="0" r="0" b="0"/>
            <wp:docPr id="1623198207" name="Picture 1623198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500000" cy="3093750"/>
                    </a:xfrm>
                    <a:prstGeom prst="rect">
                      <a:avLst/>
                    </a:prstGeom>
                  </pic:spPr>
                </pic:pic>
              </a:graphicData>
            </a:graphic>
          </wp:inline>
        </w:drawing>
      </w:r>
    </w:p>
    <w:p w14:paraId="1F060A51" w14:textId="77777777" w:rsidR="00C07D9A" w:rsidRDefault="006E3075">
      <w:pPr>
        <w:spacing w:before="50" w:after="220"/>
        <w:jc w:val="center"/>
      </w:pPr>
      <w:r>
        <w:rPr>
          <w:i/>
          <w:iCs/>
          <w:color w:val="555555"/>
          <w:sz w:val="19"/>
          <w:szCs w:val="19"/>
        </w:rPr>
        <w:t>Slide 5</w:t>
      </w:r>
    </w:p>
    <w:p w14:paraId="45C692D4" w14:textId="77777777" w:rsidR="00C07D9A" w:rsidRDefault="006E3075">
      <w:pPr>
        <w:spacing w:before="220" w:after="50"/>
        <w:jc w:val="center"/>
      </w:pPr>
      <w:r>
        <w:rPr>
          <w:noProof/>
        </w:rPr>
        <w:drawing>
          <wp:inline distT="0" distB="0" distL="0" distR="0" wp14:anchorId="03153A09" wp14:editId="60601381">
            <wp:extent cx="5500000" cy="3093750"/>
            <wp:effectExtent l="0" t="0" r="0" b="0"/>
            <wp:docPr id="832985520" name="Picture 83298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500000" cy="3093750"/>
                    </a:xfrm>
                    <a:prstGeom prst="rect">
                      <a:avLst/>
                    </a:prstGeom>
                  </pic:spPr>
                </pic:pic>
              </a:graphicData>
            </a:graphic>
          </wp:inline>
        </w:drawing>
      </w:r>
    </w:p>
    <w:p w14:paraId="6DFB9AD7" w14:textId="77777777" w:rsidR="00C07D9A" w:rsidRDefault="006E3075">
      <w:pPr>
        <w:spacing w:before="50" w:after="220"/>
        <w:jc w:val="center"/>
      </w:pPr>
      <w:r>
        <w:rPr>
          <w:i/>
          <w:iCs/>
          <w:color w:val="555555"/>
          <w:sz w:val="19"/>
          <w:szCs w:val="19"/>
        </w:rPr>
        <w:t>Slide 6</w:t>
      </w:r>
    </w:p>
    <w:p w14:paraId="6870236A" w14:textId="77777777" w:rsidR="00C07D9A" w:rsidRDefault="006E3075">
      <w:pPr>
        <w:spacing w:before="220" w:after="50"/>
        <w:jc w:val="center"/>
      </w:pPr>
      <w:r>
        <w:rPr>
          <w:noProof/>
        </w:rPr>
        <w:drawing>
          <wp:inline distT="0" distB="0" distL="0" distR="0" wp14:anchorId="60D92A75" wp14:editId="063EBF3F">
            <wp:extent cx="5500000" cy="3093750"/>
            <wp:effectExtent l="0" t="0" r="0" b="0"/>
            <wp:docPr id="1772711800" name="Picture 1772711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500000" cy="3093750"/>
                    </a:xfrm>
                    <a:prstGeom prst="rect">
                      <a:avLst/>
                    </a:prstGeom>
                  </pic:spPr>
                </pic:pic>
              </a:graphicData>
            </a:graphic>
          </wp:inline>
        </w:drawing>
      </w:r>
    </w:p>
    <w:p w14:paraId="310B7658" w14:textId="77777777" w:rsidR="00C07D9A" w:rsidRDefault="006E3075">
      <w:pPr>
        <w:spacing w:before="50" w:after="220"/>
        <w:jc w:val="center"/>
      </w:pPr>
      <w:r>
        <w:rPr>
          <w:i/>
          <w:iCs/>
          <w:color w:val="555555"/>
          <w:sz w:val="19"/>
          <w:szCs w:val="19"/>
        </w:rPr>
        <w:t>Slide 7</w:t>
      </w:r>
    </w:p>
    <w:p w14:paraId="1FC7E9D5" w14:textId="77777777" w:rsidR="00C07D9A" w:rsidRDefault="006E3075">
      <w:pPr>
        <w:spacing w:before="220" w:after="50"/>
        <w:jc w:val="center"/>
      </w:pPr>
      <w:r>
        <w:rPr>
          <w:noProof/>
        </w:rPr>
        <w:drawing>
          <wp:inline distT="0" distB="0" distL="0" distR="0" wp14:anchorId="303B8737" wp14:editId="76BF0CB6">
            <wp:extent cx="5500000" cy="3093750"/>
            <wp:effectExtent l="0" t="0" r="0" b="0"/>
            <wp:docPr id="1141194840" name="Picture 1141194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500000" cy="3093750"/>
                    </a:xfrm>
                    <a:prstGeom prst="rect">
                      <a:avLst/>
                    </a:prstGeom>
                  </pic:spPr>
                </pic:pic>
              </a:graphicData>
            </a:graphic>
          </wp:inline>
        </w:drawing>
      </w:r>
    </w:p>
    <w:p w14:paraId="53625E61" w14:textId="77777777" w:rsidR="00C07D9A" w:rsidRDefault="006E3075">
      <w:pPr>
        <w:spacing w:before="50" w:after="220"/>
        <w:jc w:val="center"/>
      </w:pPr>
      <w:r>
        <w:rPr>
          <w:i/>
          <w:iCs/>
          <w:color w:val="555555"/>
          <w:sz w:val="19"/>
          <w:szCs w:val="19"/>
        </w:rPr>
        <w:t>Slide 8</w:t>
      </w:r>
    </w:p>
    <w:p w14:paraId="7FCB8C72" w14:textId="77777777" w:rsidR="00C07D9A" w:rsidRDefault="006E3075">
      <w:pPr>
        <w:spacing w:before="220" w:after="50"/>
        <w:jc w:val="center"/>
      </w:pPr>
      <w:r>
        <w:rPr>
          <w:noProof/>
        </w:rPr>
        <w:drawing>
          <wp:inline distT="0" distB="0" distL="0" distR="0" wp14:anchorId="1A57AA1D" wp14:editId="3025E816">
            <wp:extent cx="5500000" cy="3093750"/>
            <wp:effectExtent l="0" t="0" r="0" b="0"/>
            <wp:docPr id="315150712" name="Picture 315150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500000" cy="3093750"/>
                    </a:xfrm>
                    <a:prstGeom prst="rect">
                      <a:avLst/>
                    </a:prstGeom>
                  </pic:spPr>
                </pic:pic>
              </a:graphicData>
            </a:graphic>
          </wp:inline>
        </w:drawing>
      </w:r>
    </w:p>
    <w:p w14:paraId="3ED7F01E" w14:textId="77777777" w:rsidR="00C07D9A" w:rsidRDefault="006E3075">
      <w:pPr>
        <w:spacing w:before="50" w:after="220"/>
        <w:jc w:val="center"/>
      </w:pPr>
      <w:r>
        <w:rPr>
          <w:i/>
          <w:iCs/>
          <w:color w:val="555555"/>
          <w:sz w:val="19"/>
          <w:szCs w:val="19"/>
        </w:rPr>
        <w:t>Slide 9</w:t>
      </w:r>
    </w:p>
    <w:p w14:paraId="7D238EBA" w14:textId="77777777" w:rsidR="00C07D9A" w:rsidRDefault="006E3075">
      <w:pPr>
        <w:spacing w:before="220" w:after="50"/>
        <w:jc w:val="center"/>
      </w:pPr>
      <w:r>
        <w:rPr>
          <w:noProof/>
        </w:rPr>
        <w:drawing>
          <wp:inline distT="0" distB="0" distL="0" distR="0" wp14:anchorId="39456DC2" wp14:editId="3790762E">
            <wp:extent cx="5500000" cy="3093750"/>
            <wp:effectExtent l="0" t="0" r="0" b="0"/>
            <wp:docPr id="42969620" name="Picture 42969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500000" cy="3093750"/>
                    </a:xfrm>
                    <a:prstGeom prst="rect">
                      <a:avLst/>
                    </a:prstGeom>
                  </pic:spPr>
                </pic:pic>
              </a:graphicData>
            </a:graphic>
          </wp:inline>
        </w:drawing>
      </w:r>
    </w:p>
    <w:p w14:paraId="582781FC" w14:textId="77777777" w:rsidR="00C07D9A" w:rsidRDefault="006E3075">
      <w:pPr>
        <w:spacing w:before="50" w:after="220"/>
        <w:jc w:val="center"/>
      </w:pPr>
      <w:r>
        <w:rPr>
          <w:i/>
          <w:iCs/>
          <w:color w:val="555555"/>
          <w:sz w:val="19"/>
          <w:szCs w:val="19"/>
        </w:rPr>
        <w:t>Slide 10</w:t>
      </w:r>
    </w:p>
    <w:sectPr w:rsidR="00C07D9A" w:rsidSect="004E3F95">
      <w:headerReference w:type="default" r:id="rId30"/>
      <w:footerReference w:type="default" r:id="rId31"/>
      <w:pgSz w:w="12240" w:h="15840"/>
      <w:pgMar w:top="1350" w:right="1350" w:bottom="1350" w:left="135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8EEC9" w14:textId="77777777" w:rsidR="007E0D43" w:rsidRDefault="007E0D43">
      <w:r>
        <w:separator/>
      </w:r>
    </w:p>
  </w:endnote>
  <w:endnote w:type="continuationSeparator" w:id="0">
    <w:p w14:paraId="52D0B946" w14:textId="77777777" w:rsidR="007E0D43" w:rsidRDefault="007E0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ExtraLight">
    <w:charset w:val="00"/>
    <w:family w:val="swiss"/>
    <w:pitch w:val="variable"/>
    <w:sig w:usb0="80000003" w:usb1="00000000" w:usb2="00000000" w:usb3="00000000" w:csb0="00000093"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1E5B8" w14:textId="77777777" w:rsidR="00515ACB" w:rsidRDefault="00515A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8867C" w14:textId="77777777" w:rsidR="00515ACB" w:rsidRDefault="00515A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AEA8A" w14:textId="77777777" w:rsidR="00515ACB" w:rsidRDefault="00515AC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9752B" w14:textId="3E89E1EF" w:rsidR="0065687F" w:rsidRPr="0065687F" w:rsidRDefault="004E3F95" w:rsidP="0065687F">
    <w:pPr>
      <w:pStyle w:val="Footer"/>
      <w:jc w:val="center"/>
      <w:rPr>
        <w:color w:val="156082" w:themeColor="accent1"/>
        <w:lang w:val="uk-UA"/>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sidR="0065687F">
      <w:rPr>
        <w:color w:val="156082" w:themeColor="accent1"/>
        <w:lang w:val="uk-UA"/>
      </w:rPr>
      <w:t>14</w:t>
    </w:r>
  </w:p>
  <w:p w14:paraId="7CDA452F" w14:textId="5CAEE844" w:rsidR="00C07D9A" w:rsidRDefault="00C07D9A">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3DBDB" w14:textId="77777777" w:rsidR="007E0D43" w:rsidRDefault="007E0D43">
      <w:r>
        <w:separator/>
      </w:r>
    </w:p>
  </w:footnote>
  <w:footnote w:type="continuationSeparator" w:id="0">
    <w:p w14:paraId="390545BA" w14:textId="77777777" w:rsidR="007E0D43" w:rsidRDefault="007E0D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90BA7" w14:textId="77777777" w:rsidR="00515ACB" w:rsidRDefault="00515A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9EFA4" w14:textId="77777777" w:rsidR="00515ACB" w:rsidRDefault="00515A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C13C8" w14:textId="77777777" w:rsidR="00515ACB" w:rsidRDefault="00515AC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55F105" w14:textId="5633387E" w:rsidR="00C07D9A" w:rsidRDefault="00C07D9A">
    <w:pPr>
      <w:jc w:val="right"/>
      <w:rPr>
        <w:color w:val="888888"/>
        <w:sz w:val="16"/>
        <w:szCs w:val="16"/>
        <w:lang w:val="uk-UA"/>
      </w:rPr>
    </w:pPr>
  </w:p>
  <w:p w14:paraId="72C85686" w14:textId="77777777" w:rsidR="004E3F95" w:rsidRPr="004E3F95" w:rsidRDefault="004E3F95">
    <w:pPr>
      <w:jc w:val="right"/>
      <w:rPr>
        <w:lang w:val="uk-U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A6628"/>
    <w:multiLevelType w:val="hybridMultilevel"/>
    <w:tmpl w:val="9848A7DC"/>
    <w:lvl w:ilvl="0" w:tplc="39D893BA">
      <w:start w:val="1"/>
      <w:numFmt w:val="bullet"/>
      <w:lvlText w:val="•"/>
      <w:lvlJc w:val="left"/>
      <w:pPr>
        <w:ind w:left="576" w:hanging="288"/>
      </w:pPr>
    </w:lvl>
    <w:lvl w:ilvl="1" w:tplc="D78CC28E">
      <w:numFmt w:val="decimal"/>
      <w:lvlText w:val=""/>
      <w:lvlJc w:val="left"/>
    </w:lvl>
    <w:lvl w:ilvl="2" w:tplc="646E2742">
      <w:numFmt w:val="decimal"/>
      <w:lvlText w:val=""/>
      <w:lvlJc w:val="left"/>
    </w:lvl>
    <w:lvl w:ilvl="3" w:tplc="7DA242E4">
      <w:numFmt w:val="decimal"/>
      <w:lvlText w:val=""/>
      <w:lvlJc w:val="left"/>
    </w:lvl>
    <w:lvl w:ilvl="4" w:tplc="97B0CB9E">
      <w:numFmt w:val="decimal"/>
      <w:lvlText w:val=""/>
      <w:lvlJc w:val="left"/>
    </w:lvl>
    <w:lvl w:ilvl="5" w:tplc="EFF2D78E">
      <w:numFmt w:val="decimal"/>
      <w:lvlText w:val=""/>
      <w:lvlJc w:val="left"/>
    </w:lvl>
    <w:lvl w:ilvl="6" w:tplc="E1ECD844">
      <w:numFmt w:val="decimal"/>
      <w:lvlText w:val=""/>
      <w:lvlJc w:val="left"/>
    </w:lvl>
    <w:lvl w:ilvl="7" w:tplc="32266704">
      <w:numFmt w:val="decimal"/>
      <w:lvlText w:val=""/>
      <w:lvlJc w:val="left"/>
    </w:lvl>
    <w:lvl w:ilvl="8" w:tplc="766ECB5A">
      <w:numFmt w:val="decimal"/>
      <w:lvlText w:val=""/>
      <w:lvlJc w:val="left"/>
    </w:lvl>
  </w:abstractNum>
  <w:abstractNum w:abstractNumId="1" w15:restartNumberingAfterBreak="0">
    <w:nsid w:val="4BCC2789"/>
    <w:multiLevelType w:val="hybridMultilevel"/>
    <w:tmpl w:val="03D20EF0"/>
    <w:lvl w:ilvl="0" w:tplc="711823BE">
      <w:start w:val="1"/>
      <w:numFmt w:val="bullet"/>
      <w:lvlText w:val="●"/>
      <w:lvlJc w:val="left"/>
      <w:pPr>
        <w:ind w:left="720" w:hanging="360"/>
      </w:pPr>
    </w:lvl>
    <w:lvl w:ilvl="1" w:tplc="922C24C4">
      <w:start w:val="1"/>
      <w:numFmt w:val="bullet"/>
      <w:lvlText w:val="○"/>
      <w:lvlJc w:val="left"/>
      <w:pPr>
        <w:ind w:left="1440" w:hanging="360"/>
      </w:pPr>
    </w:lvl>
    <w:lvl w:ilvl="2" w:tplc="FDC89014">
      <w:start w:val="1"/>
      <w:numFmt w:val="bullet"/>
      <w:lvlText w:val="■"/>
      <w:lvlJc w:val="left"/>
      <w:pPr>
        <w:ind w:left="2160" w:hanging="360"/>
      </w:pPr>
    </w:lvl>
    <w:lvl w:ilvl="3" w:tplc="C61824A2">
      <w:start w:val="1"/>
      <w:numFmt w:val="bullet"/>
      <w:lvlText w:val="●"/>
      <w:lvlJc w:val="left"/>
      <w:pPr>
        <w:ind w:left="2880" w:hanging="360"/>
      </w:pPr>
    </w:lvl>
    <w:lvl w:ilvl="4" w:tplc="9CF25B20">
      <w:start w:val="1"/>
      <w:numFmt w:val="bullet"/>
      <w:lvlText w:val="○"/>
      <w:lvlJc w:val="left"/>
      <w:pPr>
        <w:ind w:left="3600" w:hanging="360"/>
      </w:pPr>
    </w:lvl>
    <w:lvl w:ilvl="5" w:tplc="38429AEA">
      <w:start w:val="1"/>
      <w:numFmt w:val="bullet"/>
      <w:lvlText w:val="■"/>
      <w:lvlJc w:val="left"/>
      <w:pPr>
        <w:ind w:left="4320" w:hanging="360"/>
      </w:pPr>
    </w:lvl>
    <w:lvl w:ilvl="6" w:tplc="A51CBB86">
      <w:start w:val="1"/>
      <w:numFmt w:val="bullet"/>
      <w:lvlText w:val="●"/>
      <w:lvlJc w:val="left"/>
      <w:pPr>
        <w:ind w:left="5040" w:hanging="360"/>
      </w:pPr>
    </w:lvl>
    <w:lvl w:ilvl="7" w:tplc="992A6128">
      <w:start w:val="1"/>
      <w:numFmt w:val="bullet"/>
      <w:lvlText w:val="●"/>
      <w:lvlJc w:val="left"/>
      <w:pPr>
        <w:ind w:left="5760" w:hanging="360"/>
      </w:pPr>
    </w:lvl>
    <w:lvl w:ilvl="8" w:tplc="BE9AC90A">
      <w:start w:val="1"/>
      <w:numFmt w:val="bullet"/>
      <w:lvlText w:val="●"/>
      <w:lvlJc w:val="left"/>
      <w:pPr>
        <w:ind w:left="6480" w:hanging="360"/>
      </w:pPr>
    </w:lvl>
  </w:abstractNum>
  <w:num w:numId="1" w16cid:durableId="710110708">
    <w:abstractNumId w:val="1"/>
    <w:lvlOverride w:ilvl="0">
      <w:startOverride w:val="1"/>
    </w:lvlOverride>
  </w:num>
  <w:num w:numId="2" w16cid:durableId="75120260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7D9A"/>
    <w:rsid w:val="0004106F"/>
    <w:rsid w:val="00047BD8"/>
    <w:rsid w:val="000E4E37"/>
    <w:rsid w:val="00162BAF"/>
    <w:rsid w:val="001C0283"/>
    <w:rsid w:val="00275DC8"/>
    <w:rsid w:val="00295CA4"/>
    <w:rsid w:val="0029760B"/>
    <w:rsid w:val="002E4B4F"/>
    <w:rsid w:val="003E57CB"/>
    <w:rsid w:val="004B357E"/>
    <w:rsid w:val="004E3F95"/>
    <w:rsid w:val="00512D2B"/>
    <w:rsid w:val="00515ACB"/>
    <w:rsid w:val="005701C7"/>
    <w:rsid w:val="0065687F"/>
    <w:rsid w:val="006E3075"/>
    <w:rsid w:val="007651A7"/>
    <w:rsid w:val="007E0D43"/>
    <w:rsid w:val="00800B3B"/>
    <w:rsid w:val="0081543B"/>
    <w:rsid w:val="00940F0C"/>
    <w:rsid w:val="009F0D52"/>
    <w:rsid w:val="00AE5FEB"/>
    <w:rsid w:val="00B53949"/>
    <w:rsid w:val="00B57F91"/>
    <w:rsid w:val="00C07D9A"/>
    <w:rsid w:val="00D30D46"/>
    <w:rsid w:val="00DE0C76"/>
    <w:rsid w:val="00E02510"/>
    <w:rsid w:val="00EE38F1"/>
    <w:rsid w:val="00EF701E"/>
    <w:rsid w:val="6A324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EB612"/>
  <w15:docId w15:val="{2E59C123-115C-4608-960E-4D3447D67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1"/>
        <w:szCs w:val="21"/>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300" w:after="140"/>
      <w:outlineLvl w:val="0"/>
    </w:pPr>
    <w:rPr>
      <w:rFonts w:ascii="Cambria" w:eastAsia="Cambria" w:hAnsi="Cambria" w:cs="Cambria"/>
      <w:b/>
      <w:bCs/>
      <w:color w:val="1E2761"/>
      <w:sz w:val="28"/>
      <w:szCs w:val="28"/>
    </w:rPr>
  </w:style>
  <w:style w:type="paragraph" w:styleId="Heading2">
    <w:name w:val="heading 2"/>
    <w:uiPriority w:val="9"/>
    <w:unhideWhenUsed/>
    <w:qFormat/>
    <w:pPr>
      <w:spacing w:before="200" w:after="90"/>
      <w:outlineLvl w:val="1"/>
    </w:pPr>
    <w:rPr>
      <w:rFonts w:ascii="Cambria" w:eastAsia="Cambria" w:hAnsi="Cambria" w:cs="Cambria"/>
      <w:b/>
      <w:bCs/>
      <w:color w:val="3F5B7A"/>
      <w:sz w:val="23"/>
      <w:szCs w:val="23"/>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E3F95"/>
    <w:pPr>
      <w:tabs>
        <w:tab w:val="center" w:pos="4513"/>
        <w:tab w:val="right" w:pos="9026"/>
      </w:tabs>
    </w:pPr>
  </w:style>
  <w:style w:type="character" w:customStyle="1" w:styleId="HeaderChar">
    <w:name w:val="Header Char"/>
    <w:basedOn w:val="DefaultParagraphFont"/>
    <w:link w:val="Header"/>
    <w:uiPriority w:val="99"/>
    <w:rsid w:val="004E3F95"/>
  </w:style>
  <w:style w:type="paragraph" w:styleId="Footer">
    <w:name w:val="footer"/>
    <w:basedOn w:val="Normal"/>
    <w:link w:val="FooterChar"/>
    <w:uiPriority w:val="99"/>
    <w:unhideWhenUsed/>
    <w:rsid w:val="004E3F95"/>
    <w:pPr>
      <w:tabs>
        <w:tab w:val="center" w:pos="4513"/>
        <w:tab w:val="right" w:pos="9026"/>
      </w:tabs>
    </w:pPr>
  </w:style>
  <w:style w:type="character" w:customStyle="1" w:styleId="FooterChar">
    <w:name w:val="Footer Char"/>
    <w:basedOn w:val="DefaultParagraphFont"/>
    <w:link w:val="Footer"/>
    <w:uiPriority w:val="99"/>
    <w:rsid w:val="004E3F95"/>
  </w:style>
  <w:style w:type="paragraph" w:styleId="TOCHeading">
    <w:name w:val="TOC Heading"/>
    <w:basedOn w:val="Heading1"/>
    <w:next w:val="Normal"/>
    <w:uiPriority w:val="39"/>
    <w:unhideWhenUsed/>
    <w:qFormat/>
    <w:rsid w:val="004E3F95"/>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4E3F95"/>
    <w:pPr>
      <w:spacing w:after="100"/>
    </w:pPr>
  </w:style>
  <w:style w:type="paragraph" w:styleId="TOC2">
    <w:name w:val="toc 2"/>
    <w:basedOn w:val="Normal"/>
    <w:next w:val="Normal"/>
    <w:autoRedefine/>
    <w:uiPriority w:val="39"/>
    <w:unhideWhenUsed/>
    <w:rsid w:val="004E3F95"/>
    <w:pPr>
      <w:spacing w:after="100"/>
      <w:ind w:left="210"/>
    </w:pPr>
  </w:style>
  <w:style w:type="character" w:customStyle="1" w:styleId="Heading1Char">
    <w:name w:val="Heading 1 Char"/>
    <w:basedOn w:val="DefaultParagraphFont"/>
    <w:link w:val="Heading1"/>
    <w:uiPriority w:val="9"/>
    <w:rsid w:val="00B53949"/>
    <w:rPr>
      <w:rFonts w:ascii="Cambria" w:eastAsia="Cambria" w:hAnsi="Cambria" w:cs="Cambria"/>
      <w:b/>
      <w:bCs/>
      <w:color w:val="1E2761"/>
      <w:sz w:val="28"/>
      <w:szCs w:val="28"/>
    </w:rPr>
  </w:style>
  <w:style w:type="paragraph" w:styleId="Bibliography">
    <w:name w:val="Bibliography"/>
    <w:basedOn w:val="Normal"/>
    <w:next w:val="Normal"/>
    <w:uiPriority w:val="37"/>
    <w:unhideWhenUsed/>
    <w:rsid w:val="00B53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8229">
      <w:bodyDiv w:val="1"/>
      <w:marLeft w:val="0"/>
      <w:marRight w:val="0"/>
      <w:marTop w:val="0"/>
      <w:marBottom w:val="0"/>
      <w:divBdr>
        <w:top w:val="none" w:sz="0" w:space="0" w:color="auto"/>
        <w:left w:val="none" w:sz="0" w:space="0" w:color="auto"/>
        <w:bottom w:val="none" w:sz="0" w:space="0" w:color="auto"/>
        <w:right w:val="none" w:sz="0" w:space="0" w:color="auto"/>
      </w:divBdr>
    </w:div>
    <w:div w:id="8335872">
      <w:bodyDiv w:val="1"/>
      <w:marLeft w:val="0"/>
      <w:marRight w:val="0"/>
      <w:marTop w:val="0"/>
      <w:marBottom w:val="0"/>
      <w:divBdr>
        <w:top w:val="none" w:sz="0" w:space="0" w:color="auto"/>
        <w:left w:val="none" w:sz="0" w:space="0" w:color="auto"/>
        <w:bottom w:val="none" w:sz="0" w:space="0" w:color="auto"/>
        <w:right w:val="none" w:sz="0" w:space="0" w:color="auto"/>
      </w:divBdr>
    </w:div>
    <w:div w:id="9916636">
      <w:bodyDiv w:val="1"/>
      <w:marLeft w:val="0"/>
      <w:marRight w:val="0"/>
      <w:marTop w:val="0"/>
      <w:marBottom w:val="0"/>
      <w:divBdr>
        <w:top w:val="none" w:sz="0" w:space="0" w:color="auto"/>
        <w:left w:val="none" w:sz="0" w:space="0" w:color="auto"/>
        <w:bottom w:val="none" w:sz="0" w:space="0" w:color="auto"/>
        <w:right w:val="none" w:sz="0" w:space="0" w:color="auto"/>
      </w:divBdr>
    </w:div>
    <w:div w:id="18430341">
      <w:bodyDiv w:val="1"/>
      <w:marLeft w:val="0"/>
      <w:marRight w:val="0"/>
      <w:marTop w:val="0"/>
      <w:marBottom w:val="0"/>
      <w:divBdr>
        <w:top w:val="none" w:sz="0" w:space="0" w:color="auto"/>
        <w:left w:val="none" w:sz="0" w:space="0" w:color="auto"/>
        <w:bottom w:val="none" w:sz="0" w:space="0" w:color="auto"/>
        <w:right w:val="none" w:sz="0" w:space="0" w:color="auto"/>
      </w:divBdr>
    </w:div>
    <w:div w:id="117142289">
      <w:bodyDiv w:val="1"/>
      <w:marLeft w:val="0"/>
      <w:marRight w:val="0"/>
      <w:marTop w:val="0"/>
      <w:marBottom w:val="0"/>
      <w:divBdr>
        <w:top w:val="none" w:sz="0" w:space="0" w:color="auto"/>
        <w:left w:val="none" w:sz="0" w:space="0" w:color="auto"/>
        <w:bottom w:val="none" w:sz="0" w:space="0" w:color="auto"/>
        <w:right w:val="none" w:sz="0" w:space="0" w:color="auto"/>
      </w:divBdr>
    </w:div>
    <w:div w:id="121272267">
      <w:bodyDiv w:val="1"/>
      <w:marLeft w:val="0"/>
      <w:marRight w:val="0"/>
      <w:marTop w:val="0"/>
      <w:marBottom w:val="0"/>
      <w:divBdr>
        <w:top w:val="none" w:sz="0" w:space="0" w:color="auto"/>
        <w:left w:val="none" w:sz="0" w:space="0" w:color="auto"/>
        <w:bottom w:val="none" w:sz="0" w:space="0" w:color="auto"/>
        <w:right w:val="none" w:sz="0" w:space="0" w:color="auto"/>
      </w:divBdr>
    </w:div>
    <w:div w:id="132796261">
      <w:bodyDiv w:val="1"/>
      <w:marLeft w:val="0"/>
      <w:marRight w:val="0"/>
      <w:marTop w:val="0"/>
      <w:marBottom w:val="0"/>
      <w:divBdr>
        <w:top w:val="none" w:sz="0" w:space="0" w:color="auto"/>
        <w:left w:val="none" w:sz="0" w:space="0" w:color="auto"/>
        <w:bottom w:val="none" w:sz="0" w:space="0" w:color="auto"/>
        <w:right w:val="none" w:sz="0" w:space="0" w:color="auto"/>
      </w:divBdr>
    </w:div>
    <w:div w:id="152919299">
      <w:bodyDiv w:val="1"/>
      <w:marLeft w:val="0"/>
      <w:marRight w:val="0"/>
      <w:marTop w:val="0"/>
      <w:marBottom w:val="0"/>
      <w:divBdr>
        <w:top w:val="none" w:sz="0" w:space="0" w:color="auto"/>
        <w:left w:val="none" w:sz="0" w:space="0" w:color="auto"/>
        <w:bottom w:val="none" w:sz="0" w:space="0" w:color="auto"/>
        <w:right w:val="none" w:sz="0" w:space="0" w:color="auto"/>
      </w:divBdr>
    </w:div>
    <w:div w:id="171457649">
      <w:bodyDiv w:val="1"/>
      <w:marLeft w:val="0"/>
      <w:marRight w:val="0"/>
      <w:marTop w:val="0"/>
      <w:marBottom w:val="0"/>
      <w:divBdr>
        <w:top w:val="none" w:sz="0" w:space="0" w:color="auto"/>
        <w:left w:val="none" w:sz="0" w:space="0" w:color="auto"/>
        <w:bottom w:val="none" w:sz="0" w:space="0" w:color="auto"/>
        <w:right w:val="none" w:sz="0" w:space="0" w:color="auto"/>
      </w:divBdr>
    </w:div>
    <w:div w:id="232082442">
      <w:bodyDiv w:val="1"/>
      <w:marLeft w:val="0"/>
      <w:marRight w:val="0"/>
      <w:marTop w:val="0"/>
      <w:marBottom w:val="0"/>
      <w:divBdr>
        <w:top w:val="none" w:sz="0" w:space="0" w:color="auto"/>
        <w:left w:val="none" w:sz="0" w:space="0" w:color="auto"/>
        <w:bottom w:val="none" w:sz="0" w:space="0" w:color="auto"/>
        <w:right w:val="none" w:sz="0" w:space="0" w:color="auto"/>
      </w:divBdr>
    </w:div>
    <w:div w:id="258173311">
      <w:bodyDiv w:val="1"/>
      <w:marLeft w:val="0"/>
      <w:marRight w:val="0"/>
      <w:marTop w:val="0"/>
      <w:marBottom w:val="0"/>
      <w:divBdr>
        <w:top w:val="none" w:sz="0" w:space="0" w:color="auto"/>
        <w:left w:val="none" w:sz="0" w:space="0" w:color="auto"/>
        <w:bottom w:val="none" w:sz="0" w:space="0" w:color="auto"/>
        <w:right w:val="none" w:sz="0" w:space="0" w:color="auto"/>
      </w:divBdr>
    </w:div>
    <w:div w:id="332414108">
      <w:bodyDiv w:val="1"/>
      <w:marLeft w:val="0"/>
      <w:marRight w:val="0"/>
      <w:marTop w:val="0"/>
      <w:marBottom w:val="0"/>
      <w:divBdr>
        <w:top w:val="none" w:sz="0" w:space="0" w:color="auto"/>
        <w:left w:val="none" w:sz="0" w:space="0" w:color="auto"/>
        <w:bottom w:val="none" w:sz="0" w:space="0" w:color="auto"/>
        <w:right w:val="none" w:sz="0" w:space="0" w:color="auto"/>
      </w:divBdr>
    </w:div>
    <w:div w:id="437874586">
      <w:bodyDiv w:val="1"/>
      <w:marLeft w:val="0"/>
      <w:marRight w:val="0"/>
      <w:marTop w:val="0"/>
      <w:marBottom w:val="0"/>
      <w:divBdr>
        <w:top w:val="none" w:sz="0" w:space="0" w:color="auto"/>
        <w:left w:val="none" w:sz="0" w:space="0" w:color="auto"/>
        <w:bottom w:val="none" w:sz="0" w:space="0" w:color="auto"/>
        <w:right w:val="none" w:sz="0" w:space="0" w:color="auto"/>
      </w:divBdr>
    </w:div>
    <w:div w:id="508913650">
      <w:bodyDiv w:val="1"/>
      <w:marLeft w:val="0"/>
      <w:marRight w:val="0"/>
      <w:marTop w:val="0"/>
      <w:marBottom w:val="0"/>
      <w:divBdr>
        <w:top w:val="none" w:sz="0" w:space="0" w:color="auto"/>
        <w:left w:val="none" w:sz="0" w:space="0" w:color="auto"/>
        <w:bottom w:val="none" w:sz="0" w:space="0" w:color="auto"/>
        <w:right w:val="none" w:sz="0" w:space="0" w:color="auto"/>
      </w:divBdr>
    </w:div>
    <w:div w:id="568615570">
      <w:bodyDiv w:val="1"/>
      <w:marLeft w:val="0"/>
      <w:marRight w:val="0"/>
      <w:marTop w:val="0"/>
      <w:marBottom w:val="0"/>
      <w:divBdr>
        <w:top w:val="none" w:sz="0" w:space="0" w:color="auto"/>
        <w:left w:val="none" w:sz="0" w:space="0" w:color="auto"/>
        <w:bottom w:val="none" w:sz="0" w:space="0" w:color="auto"/>
        <w:right w:val="none" w:sz="0" w:space="0" w:color="auto"/>
      </w:divBdr>
    </w:div>
    <w:div w:id="577640774">
      <w:bodyDiv w:val="1"/>
      <w:marLeft w:val="0"/>
      <w:marRight w:val="0"/>
      <w:marTop w:val="0"/>
      <w:marBottom w:val="0"/>
      <w:divBdr>
        <w:top w:val="none" w:sz="0" w:space="0" w:color="auto"/>
        <w:left w:val="none" w:sz="0" w:space="0" w:color="auto"/>
        <w:bottom w:val="none" w:sz="0" w:space="0" w:color="auto"/>
        <w:right w:val="none" w:sz="0" w:space="0" w:color="auto"/>
      </w:divBdr>
    </w:div>
    <w:div w:id="662124974">
      <w:bodyDiv w:val="1"/>
      <w:marLeft w:val="0"/>
      <w:marRight w:val="0"/>
      <w:marTop w:val="0"/>
      <w:marBottom w:val="0"/>
      <w:divBdr>
        <w:top w:val="none" w:sz="0" w:space="0" w:color="auto"/>
        <w:left w:val="none" w:sz="0" w:space="0" w:color="auto"/>
        <w:bottom w:val="none" w:sz="0" w:space="0" w:color="auto"/>
        <w:right w:val="none" w:sz="0" w:space="0" w:color="auto"/>
      </w:divBdr>
    </w:div>
    <w:div w:id="695152502">
      <w:bodyDiv w:val="1"/>
      <w:marLeft w:val="0"/>
      <w:marRight w:val="0"/>
      <w:marTop w:val="0"/>
      <w:marBottom w:val="0"/>
      <w:divBdr>
        <w:top w:val="none" w:sz="0" w:space="0" w:color="auto"/>
        <w:left w:val="none" w:sz="0" w:space="0" w:color="auto"/>
        <w:bottom w:val="none" w:sz="0" w:space="0" w:color="auto"/>
        <w:right w:val="none" w:sz="0" w:space="0" w:color="auto"/>
      </w:divBdr>
    </w:div>
    <w:div w:id="712464128">
      <w:bodyDiv w:val="1"/>
      <w:marLeft w:val="0"/>
      <w:marRight w:val="0"/>
      <w:marTop w:val="0"/>
      <w:marBottom w:val="0"/>
      <w:divBdr>
        <w:top w:val="none" w:sz="0" w:space="0" w:color="auto"/>
        <w:left w:val="none" w:sz="0" w:space="0" w:color="auto"/>
        <w:bottom w:val="none" w:sz="0" w:space="0" w:color="auto"/>
        <w:right w:val="none" w:sz="0" w:space="0" w:color="auto"/>
      </w:divBdr>
    </w:div>
    <w:div w:id="762190524">
      <w:bodyDiv w:val="1"/>
      <w:marLeft w:val="0"/>
      <w:marRight w:val="0"/>
      <w:marTop w:val="0"/>
      <w:marBottom w:val="0"/>
      <w:divBdr>
        <w:top w:val="none" w:sz="0" w:space="0" w:color="auto"/>
        <w:left w:val="none" w:sz="0" w:space="0" w:color="auto"/>
        <w:bottom w:val="none" w:sz="0" w:space="0" w:color="auto"/>
        <w:right w:val="none" w:sz="0" w:space="0" w:color="auto"/>
      </w:divBdr>
    </w:div>
    <w:div w:id="762799405">
      <w:bodyDiv w:val="1"/>
      <w:marLeft w:val="0"/>
      <w:marRight w:val="0"/>
      <w:marTop w:val="0"/>
      <w:marBottom w:val="0"/>
      <w:divBdr>
        <w:top w:val="none" w:sz="0" w:space="0" w:color="auto"/>
        <w:left w:val="none" w:sz="0" w:space="0" w:color="auto"/>
        <w:bottom w:val="none" w:sz="0" w:space="0" w:color="auto"/>
        <w:right w:val="none" w:sz="0" w:space="0" w:color="auto"/>
      </w:divBdr>
    </w:div>
    <w:div w:id="854733154">
      <w:bodyDiv w:val="1"/>
      <w:marLeft w:val="0"/>
      <w:marRight w:val="0"/>
      <w:marTop w:val="0"/>
      <w:marBottom w:val="0"/>
      <w:divBdr>
        <w:top w:val="none" w:sz="0" w:space="0" w:color="auto"/>
        <w:left w:val="none" w:sz="0" w:space="0" w:color="auto"/>
        <w:bottom w:val="none" w:sz="0" w:space="0" w:color="auto"/>
        <w:right w:val="none" w:sz="0" w:space="0" w:color="auto"/>
      </w:divBdr>
    </w:div>
    <w:div w:id="956255095">
      <w:bodyDiv w:val="1"/>
      <w:marLeft w:val="0"/>
      <w:marRight w:val="0"/>
      <w:marTop w:val="0"/>
      <w:marBottom w:val="0"/>
      <w:divBdr>
        <w:top w:val="none" w:sz="0" w:space="0" w:color="auto"/>
        <w:left w:val="none" w:sz="0" w:space="0" w:color="auto"/>
        <w:bottom w:val="none" w:sz="0" w:space="0" w:color="auto"/>
        <w:right w:val="none" w:sz="0" w:space="0" w:color="auto"/>
      </w:divBdr>
    </w:div>
    <w:div w:id="1003971889">
      <w:bodyDiv w:val="1"/>
      <w:marLeft w:val="0"/>
      <w:marRight w:val="0"/>
      <w:marTop w:val="0"/>
      <w:marBottom w:val="0"/>
      <w:divBdr>
        <w:top w:val="none" w:sz="0" w:space="0" w:color="auto"/>
        <w:left w:val="none" w:sz="0" w:space="0" w:color="auto"/>
        <w:bottom w:val="none" w:sz="0" w:space="0" w:color="auto"/>
        <w:right w:val="none" w:sz="0" w:space="0" w:color="auto"/>
      </w:divBdr>
    </w:div>
    <w:div w:id="1009451211">
      <w:bodyDiv w:val="1"/>
      <w:marLeft w:val="0"/>
      <w:marRight w:val="0"/>
      <w:marTop w:val="0"/>
      <w:marBottom w:val="0"/>
      <w:divBdr>
        <w:top w:val="none" w:sz="0" w:space="0" w:color="auto"/>
        <w:left w:val="none" w:sz="0" w:space="0" w:color="auto"/>
        <w:bottom w:val="none" w:sz="0" w:space="0" w:color="auto"/>
        <w:right w:val="none" w:sz="0" w:space="0" w:color="auto"/>
      </w:divBdr>
    </w:div>
    <w:div w:id="1013726461">
      <w:bodyDiv w:val="1"/>
      <w:marLeft w:val="0"/>
      <w:marRight w:val="0"/>
      <w:marTop w:val="0"/>
      <w:marBottom w:val="0"/>
      <w:divBdr>
        <w:top w:val="none" w:sz="0" w:space="0" w:color="auto"/>
        <w:left w:val="none" w:sz="0" w:space="0" w:color="auto"/>
        <w:bottom w:val="none" w:sz="0" w:space="0" w:color="auto"/>
        <w:right w:val="none" w:sz="0" w:space="0" w:color="auto"/>
      </w:divBdr>
    </w:div>
    <w:div w:id="1038971325">
      <w:bodyDiv w:val="1"/>
      <w:marLeft w:val="0"/>
      <w:marRight w:val="0"/>
      <w:marTop w:val="0"/>
      <w:marBottom w:val="0"/>
      <w:divBdr>
        <w:top w:val="none" w:sz="0" w:space="0" w:color="auto"/>
        <w:left w:val="none" w:sz="0" w:space="0" w:color="auto"/>
        <w:bottom w:val="none" w:sz="0" w:space="0" w:color="auto"/>
        <w:right w:val="none" w:sz="0" w:space="0" w:color="auto"/>
      </w:divBdr>
    </w:div>
    <w:div w:id="1049458540">
      <w:bodyDiv w:val="1"/>
      <w:marLeft w:val="0"/>
      <w:marRight w:val="0"/>
      <w:marTop w:val="0"/>
      <w:marBottom w:val="0"/>
      <w:divBdr>
        <w:top w:val="none" w:sz="0" w:space="0" w:color="auto"/>
        <w:left w:val="none" w:sz="0" w:space="0" w:color="auto"/>
        <w:bottom w:val="none" w:sz="0" w:space="0" w:color="auto"/>
        <w:right w:val="none" w:sz="0" w:space="0" w:color="auto"/>
      </w:divBdr>
    </w:div>
    <w:div w:id="1057699648">
      <w:bodyDiv w:val="1"/>
      <w:marLeft w:val="0"/>
      <w:marRight w:val="0"/>
      <w:marTop w:val="0"/>
      <w:marBottom w:val="0"/>
      <w:divBdr>
        <w:top w:val="none" w:sz="0" w:space="0" w:color="auto"/>
        <w:left w:val="none" w:sz="0" w:space="0" w:color="auto"/>
        <w:bottom w:val="none" w:sz="0" w:space="0" w:color="auto"/>
        <w:right w:val="none" w:sz="0" w:space="0" w:color="auto"/>
      </w:divBdr>
    </w:div>
    <w:div w:id="1100416779">
      <w:bodyDiv w:val="1"/>
      <w:marLeft w:val="0"/>
      <w:marRight w:val="0"/>
      <w:marTop w:val="0"/>
      <w:marBottom w:val="0"/>
      <w:divBdr>
        <w:top w:val="none" w:sz="0" w:space="0" w:color="auto"/>
        <w:left w:val="none" w:sz="0" w:space="0" w:color="auto"/>
        <w:bottom w:val="none" w:sz="0" w:space="0" w:color="auto"/>
        <w:right w:val="none" w:sz="0" w:space="0" w:color="auto"/>
      </w:divBdr>
    </w:div>
    <w:div w:id="1168129537">
      <w:bodyDiv w:val="1"/>
      <w:marLeft w:val="0"/>
      <w:marRight w:val="0"/>
      <w:marTop w:val="0"/>
      <w:marBottom w:val="0"/>
      <w:divBdr>
        <w:top w:val="none" w:sz="0" w:space="0" w:color="auto"/>
        <w:left w:val="none" w:sz="0" w:space="0" w:color="auto"/>
        <w:bottom w:val="none" w:sz="0" w:space="0" w:color="auto"/>
        <w:right w:val="none" w:sz="0" w:space="0" w:color="auto"/>
      </w:divBdr>
    </w:div>
    <w:div w:id="1171680877">
      <w:bodyDiv w:val="1"/>
      <w:marLeft w:val="0"/>
      <w:marRight w:val="0"/>
      <w:marTop w:val="0"/>
      <w:marBottom w:val="0"/>
      <w:divBdr>
        <w:top w:val="none" w:sz="0" w:space="0" w:color="auto"/>
        <w:left w:val="none" w:sz="0" w:space="0" w:color="auto"/>
        <w:bottom w:val="none" w:sz="0" w:space="0" w:color="auto"/>
        <w:right w:val="none" w:sz="0" w:space="0" w:color="auto"/>
      </w:divBdr>
    </w:div>
    <w:div w:id="1190946505">
      <w:bodyDiv w:val="1"/>
      <w:marLeft w:val="0"/>
      <w:marRight w:val="0"/>
      <w:marTop w:val="0"/>
      <w:marBottom w:val="0"/>
      <w:divBdr>
        <w:top w:val="none" w:sz="0" w:space="0" w:color="auto"/>
        <w:left w:val="none" w:sz="0" w:space="0" w:color="auto"/>
        <w:bottom w:val="none" w:sz="0" w:space="0" w:color="auto"/>
        <w:right w:val="none" w:sz="0" w:space="0" w:color="auto"/>
      </w:divBdr>
    </w:div>
    <w:div w:id="1193880285">
      <w:bodyDiv w:val="1"/>
      <w:marLeft w:val="0"/>
      <w:marRight w:val="0"/>
      <w:marTop w:val="0"/>
      <w:marBottom w:val="0"/>
      <w:divBdr>
        <w:top w:val="none" w:sz="0" w:space="0" w:color="auto"/>
        <w:left w:val="none" w:sz="0" w:space="0" w:color="auto"/>
        <w:bottom w:val="none" w:sz="0" w:space="0" w:color="auto"/>
        <w:right w:val="none" w:sz="0" w:space="0" w:color="auto"/>
      </w:divBdr>
    </w:div>
    <w:div w:id="1213692905">
      <w:bodyDiv w:val="1"/>
      <w:marLeft w:val="0"/>
      <w:marRight w:val="0"/>
      <w:marTop w:val="0"/>
      <w:marBottom w:val="0"/>
      <w:divBdr>
        <w:top w:val="none" w:sz="0" w:space="0" w:color="auto"/>
        <w:left w:val="none" w:sz="0" w:space="0" w:color="auto"/>
        <w:bottom w:val="none" w:sz="0" w:space="0" w:color="auto"/>
        <w:right w:val="none" w:sz="0" w:space="0" w:color="auto"/>
      </w:divBdr>
    </w:div>
    <w:div w:id="1238518703">
      <w:bodyDiv w:val="1"/>
      <w:marLeft w:val="0"/>
      <w:marRight w:val="0"/>
      <w:marTop w:val="0"/>
      <w:marBottom w:val="0"/>
      <w:divBdr>
        <w:top w:val="none" w:sz="0" w:space="0" w:color="auto"/>
        <w:left w:val="none" w:sz="0" w:space="0" w:color="auto"/>
        <w:bottom w:val="none" w:sz="0" w:space="0" w:color="auto"/>
        <w:right w:val="none" w:sz="0" w:space="0" w:color="auto"/>
      </w:divBdr>
    </w:div>
    <w:div w:id="1239442980">
      <w:bodyDiv w:val="1"/>
      <w:marLeft w:val="0"/>
      <w:marRight w:val="0"/>
      <w:marTop w:val="0"/>
      <w:marBottom w:val="0"/>
      <w:divBdr>
        <w:top w:val="none" w:sz="0" w:space="0" w:color="auto"/>
        <w:left w:val="none" w:sz="0" w:space="0" w:color="auto"/>
        <w:bottom w:val="none" w:sz="0" w:space="0" w:color="auto"/>
        <w:right w:val="none" w:sz="0" w:space="0" w:color="auto"/>
      </w:divBdr>
    </w:div>
    <w:div w:id="1239559955">
      <w:bodyDiv w:val="1"/>
      <w:marLeft w:val="0"/>
      <w:marRight w:val="0"/>
      <w:marTop w:val="0"/>
      <w:marBottom w:val="0"/>
      <w:divBdr>
        <w:top w:val="none" w:sz="0" w:space="0" w:color="auto"/>
        <w:left w:val="none" w:sz="0" w:space="0" w:color="auto"/>
        <w:bottom w:val="none" w:sz="0" w:space="0" w:color="auto"/>
        <w:right w:val="none" w:sz="0" w:space="0" w:color="auto"/>
      </w:divBdr>
    </w:div>
    <w:div w:id="1244222981">
      <w:bodyDiv w:val="1"/>
      <w:marLeft w:val="0"/>
      <w:marRight w:val="0"/>
      <w:marTop w:val="0"/>
      <w:marBottom w:val="0"/>
      <w:divBdr>
        <w:top w:val="none" w:sz="0" w:space="0" w:color="auto"/>
        <w:left w:val="none" w:sz="0" w:space="0" w:color="auto"/>
        <w:bottom w:val="none" w:sz="0" w:space="0" w:color="auto"/>
        <w:right w:val="none" w:sz="0" w:space="0" w:color="auto"/>
      </w:divBdr>
    </w:div>
    <w:div w:id="1246303342">
      <w:bodyDiv w:val="1"/>
      <w:marLeft w:val="0"/>
      <w:marRight w:val="0"/>
      <w:marTop w:val="0"/>
      <w:marBottom w:val="0"/>
      <w:divBdr>
        <w:top w:val="none" w:sz="0" w:space="0" w:color="auto"/>
        <w:left w:val="none" w:sz="0" w:space="0" w:color="auto"/>
        <w:bottom w:val="none" w:sz="0" w:space="0" w:color="auto"/>
        <w:right w:val="none" w:sz="0" w:space="0" w:color="auto"/>
      </w:divBdr>
    </w:div>
    <w:div w:id="1295450489">
      <w:bodyDiv w:val="1"/>
      <w:marLeft w:val="0"/>
      <w:marRight w:val="0"/>
      <w:marTop w:val="0"/>
      <w:marBottom w:val="0"/>
      <w:divBdr>
        <w:top w:val="none" w:sz="0" w:space="0" w:color="auto"/>
        <w:left w:val="none" w:sz="0" w:space="0" w:color="auto"/>
        <w:bottom w:val="none" w:sz="0" w:space="0" w:color="auto"/>
        <w:right w:val="none" w:sz="0" w:space="0" w:color="auto"/>
      </w:divBdr>
    </w:div>
    <w:div w:id="1311786869">
      <w:bodyDiv w:val="1"/>
      <w:marLeft w:val="0"/>
      <w:marRight w:val="0"/>
      <w:marTop w:val="0"/>
      <w:marBottom w:val="0"/>
      <w:divBdr>
        <w:top w:val="none" w:sz="0" w:space="0" w:color="auto"/>
        <w:left w:val="none" w:sz="0" w:space="0" w:color="auto"/>
        <w:bottom w:val="none" w:sz="0" w:space="0" w:color="auto"/>
        <w:right w:val="none" w:sz="0" w:space="0" w:color="auto"/>
      </w:divBdr>
    </w:div>
    <w:div w:id="1331520440">
      <w:bodyDiv w:val="1"/>
      <w:marLeft w:val="0"/>
      <w:marRight w:val="0"/>
      <w:marTop w:val="0"/>
      <w:marBottom w:val="0"/>
      <w:divBdr>
        <w:top w:val="none" w:sz="0" w:space="0" w:color="auto"/>
        <w:left w:val="none" w:sz="0" w:space="0" w:color="auto"/>
        <w:bottom w:val="none" w:sz="0" w:space="0" w:color="auto"/>
        <w:right w:val="none" w:sz="0" w:space="0" w:color="auto"/>
      </w:divBdr>
    </w:div>
    <w:div w:id="1341204913">
      <w:bodyDiv w:val="1"/>
      <w:marLeft w:val="0"/>
      <w:marRight w:val="0"/>
      <w:marTop w:val="0"/>
      <w:marBottom w:val="0"/>
      <w:divBdr>
        <w:top w:val="none" w:sz="0" w:space="0" w:color="auto"/>
        <w:left w:val="none" w:sz="0" w:space="0" w:color="auto"/>
        <w:bottom w:val="none" w:sz="0" w:space="0" w:color="auto"/>
        <w:right w:val="none" w:sz="0" w:space="0" w:color="auto"/>
      </w:divBdr>
    </w:div>
    <w:div w:id="1406495073">
      <w:bodyDiv w:val="1"/>
      <w:marLeft w:val="0"/>
      <w:marRight w:val="0"/>
      <w:marTop w:val="0"/>
      <w:marBottom w:val="0"/>
      <w:divBdr>
        <w:top w:val="none" w:sz="0" w:space="0" w:color="auto"/>
        <w:left w:val="none" w:sz="0" w:space="0" w:color="auto"/>
        <w:bottom w:val="none" w:sz="0" w:space="0" w:color="auto"/>
        <w:right w:val="none" w:sz="0" w:space="0" w:color="auto"/>
      </w:divBdr>
    </w:div>
    <w:div w:id="1418088699">
      <w:bodyDiv w:val="1"/>
      <w:marLeft w:val="0"/>
      <w:marRight w:val="0"/>
      <w:marTop w:val="0"/>
      <w:marBottom w:val="0"/>
      <w:divBdr>
        <w:top w:val="none" w:sz="0" w:space="0" w:color="auto"/>
        <w:left w:val="none" w:sz="0" w:space="0" w:color="auto"/>
        <w:bottom w:val="none" w:sz="0" w:space="0" w:color="auto"/>
        <w:right w:val="none" w:sz="0" w:space="0" w:color="auto"/>
      </w:divBdr>
    </w:div>
    <w:div w:id="1419984970">
      <w:bodyDiv w:val="1"/>
      <w:marLeft w:val="0"/>
      <w:marRight w:val="0"/>
      <w:marTop w:val="0"/>
      <w:marBottom w:val="0"/>
      <w:divBdr>
        <w:top w:val="none" w:sz="0" w:space="0" w:color="auto"/>
        <w:left w:val="none" w:sz="0" w:space="0" w:color="auto"/>
        <w:bottom w:val="none" w:sz="0" w:space="0" w:color="auto"/>
        <w:right w:val="none" w:sz="0" w:space="0" w:color="auto"/>
      </w:divBdr>
    </w:div>
    <w:div w:id="1536196003">
      <w:bodyDiv w:val="1"/>
      <w:marLeft w:val="0"/>
      <w:marRight w:val="0"/>
      <w:marTop w:val="0"/>
      <w:marBottom w:val="0"/>
      <w:divBdr>
        <w:top w:val="none" w:sz="0" w:space="0" w:color="auto"/>
        <w:left w:val="none" w:sz="0" w:space="0" w:color="auto"/>
        <w:bottom w:val="none" w:sz="0" w:space="0" w:color="auto"/>
        <w:right w:val="none" w:sz="0" w:space="0" w:color="auto"/>
      </w:divBdr>
    </w:div>
    <w:div w:id="1582258398">
      <w:bodyDiv w:val="1"/>
      <w:marLeft w:val="0"/>
      <w:marRight w:val="0"/>
      <w:marTop w:val="0"/>
      <w:marBottom w:val="0"/>
      <w:divBdr>
        <w:top w:val="none" w:sz="0" w:space="0" w:color="auto"/>
        <w:left w:val="none" w:sz="0" w:space="0" w:color="auto"/>
        <w:bottom w:val="none" w:sz="0" w:space="0" w:color="auto"/>
        <w:right w:val="none" w:sz="0" w:space="0" w:color="auto"/>
      </w:divBdr>
    </w:div>
    <w:div w:id="1584802757">
      <w:bodyDiv w:val="1"/>
      <w:marLeft w:val="0"/>
      <w:marRight w:val="0"/>
      <w:marTop w:val="0"/>
      <w:marBottom w:val="0"/>
      <w:divBdr>
        <w:top w:val="none" w:sz="0" w:space="0" w:color="auto"/>
        <w:left w:val="none" w:sz="0" w:space="0" w:color="auto"/>
        <w:bottom w:val="none" w:sz="0" w:space="0" w:color="auto"/>
        <w:right w:val="none" w:sz="0" w:space="0" w:color="auto"/>
      </w:divBdr>
    </w:div>
    <w:div w:id="1641959081">
      <w:bodyDiv w:val="1"/>
      <w:marLeft w:val="0"/>
      <w:marRight w:val="0"/>
      <w:marTop w:val="0"/>
      <w:marBottom w:val="0"/>
      <w:divBdr>
        <w:top w:val="none" w:sz="0" w:space="0" w:color="auto"/>
        <w:left w:val="none" w:sz="0" w:space="0" w:color="auto"/>
        <w:bottom w:val="none" w:sz="0" w:space="0" w:color="auto"/>
        <w:right w:val="none" w:sz="0" w:space="0" w:color="auto"/>
      </w:divBdr>
    </w:div>
    <w:div w:id="1645157901">
      <w:bodyDiv w:val="1"/>
      <w:marLeft w:val="0"/>
      <w:marRight w:val="0"/>
      <w:marTop w:val="0"/>
      <w:marBottom w:val="0"/>
      <w:divBdr>
        <w:top w:val="none" w:sz="0" w:space="0" w:color="auto"/>
        <w:left w:val="none" w:sz="0" w:space="0" w:color="auto"/>
        <w:bottom w:val="none" w:sz="0" w:space="0" w:color="auto"/>
        <w:right w:val="none" w:sz="0" w:space="0" w:color="auto"/>
      </w:divBdr>
    </w:div>
    <w:div w:id="1654334897">
      <w:bodyDiv w:val="1"/>
      <w:marLeft w:val="0"/>
      <w:marRight w:val="0"/>
      <w:marTop w:val="0"/>
      <w:marBottom w:val="0"/>
      <w:divBdr>
        <w:top w:val="none" w:sz="0" w:space="0" w:color="auto"/>
        <w:left w:val="none" w:sz="0" w:space="0" w:color="auto"/>
        <w:bottom w:val="none" w:sz="0" w:space="0" w:color="auto"/>
        <w:right w:val="none" w:sz="0" w:space="0" w:color="auto"/>
      </w:divBdr>
    </w:div>
    <w:div w:id="1657298915">
      <w:bodyDiv w:val="1"/>
      <w:marLeft w:val="0"/>
      <w:marRight w:val="0"/>
      <w:marTop w:val="0"/>
      <w:marBottom w:val="0"/>
      <w:divBdr>
        <w:top w:val="none" w:sz="0" w:space="0" w:color="auto"/>
        <w:left w:val="none" w:sz="0" w:space="0" w:color="auto"/>
        <w:bottom w:val="none" w:sz="0" w:space="0" w:color="auto"/>
        <w:right w:val="none" w:sz="0" w:space="0" w:color="auto"/>
      </w:divBdr>
    </w:div>
    <w:div w:id="1663700245">
      <w:bodyDiv w:val="1"/>
      <w:marLeft w:val="0"/>
      <w:marRight w:val="0"/>
      <w:marTop w:val="0"/>
      <w:marBottom w:val="0"/>
      <w:divBdr>
        <w:top w:val="none" w:sz="0" w:space="0" w:color="auto"/>
        <w:left w:val="none" w:sz="0" w:space="0" w:color="auto"/>
        <w:bottom w:val="none" w:sz="0" w:space="0" w:color="auto"/>
        <w:right w:val="none" w:sz="0" w:space="0" w:color="auto"/>
      </w:divBdr>
    </w:div>
    <w:div w:id="1718818801">
      <w:bodyDiv w:val="1"/>
      <w:marLeft w:val="0"/>
      <w:marRight w:val="0"/>
      <w:marTop w:val="0"/>
      <w:marBottom w:val="0"/>
      <w:divBdr>
        <w:top w:val="none" w:sz="0" w:space="0" w:color="auto"/>
        <w:left w:val="none" w:sz="0" w:space="0" w:color="auto"/>
        <w:bottom w:val="none" w:sz="0" w:space="0" w:color="auto"/>
        <w:right w:val="none" w:sz="0" w:space="0" w:color="auto"/>
      </w:divBdr>
    </w:div>
    <w:div w:id="1793399433">
      <w:bodyDiv w:val="1"/>
      <w:marLeft w:val="0"/>
      <w:marRight w:val="0"/>
      <w:marTop w:val="0"/>
      <w:marBottom w:val="0"/>
      <w:divBdr>
        <w:top w:val="none" w:sz="0" w:space="0" w:color="auto"/>
        <w:left w:val="none" w:sz="0" w:space="0" w:color="auto"/>
        <w:bottom w:val="none" w:sz="0" w:space="0" w:color="auto"/>
        <w:right w:val="none" w:sz="0" w:space="0" w:color="auto"/>
      </w:divBdr>
    </w:div>
    <w:div w:id="1810055158">
      <w:bodyDiv w:val="1"/>
      <w:marLeft w:val="0"/>
      <w:marRight w:val="0"/>
      <w:marTop w:val="0"/>
      <w:marBottom w:val="0"/>
      <w:divBdr>
        <w:top w:val="none" w:sz="0" w:space="0" w:color="auto"/>
        <w:left w:val="none" w:sz="0" w:space="0" w:color="auto"/>
        <w:bottom w:val="none" w:sz="0" w:space="0" w:color="auto"/>
        <w:right w:val="none" w:sz="0" w:space="0" w:color="auto"/>
      </w:divBdr>
    </w:div>
    <w:div w:id="1834104189">
      <w:bodyDiv w:val="1"/>
      <w:marLeft w:val="0"/>
      <w:marRight w:val="0"/>
      <w:marTop w:val="0"/>
      <w:marBottom w:val="0"/>
      <w:divBdr>
        <w:top w:val="none" w:sz="0" w:space="0" w:color="auto"/>
        <w:left w:val="none" w:sz="0" w:space="0" w:color="auto"/>
        <w:bottom w:val="none" w:sz="0" w:space="0" w:color="auto"/>
        <w:right w:val="none" w:sz="0" w:space="0" w:color="auto"/>
      </w:divBdr>
    </w:div>
    <w:div w:id="1867594192">
      <w:bodyDiv w:val="1"/>
      <w:marLeft w:val="0"/>
      <w:marRight w:val="0"/>
      <w:marTop w:val="0"/>
      <w:marBottom w:val="0"/>
      <w:divBdr>
        <w:top w:val="none" w:sz="0" w:space="0" w:color="auto"/>
        <w:left w:val="none" w:sz="0" w:space="0" w:color="auto"/>
        <w:bottom w:val="none" w:sz="0" w:space="0" w:color="auto"/>
        <w:right w:val="none" w:sz="0" w:space="0" w:color="auto"/>
      </w:divBdr>
    </w:div>
    <w:div w:id="1890457235">
      <w:bodyDiv w:val="1"/>
      <w:marLeft w:val="0"/>
      <w:marRight w:val="0"/>
      <w:marTop w:val="0"/>
      <w:marBottom w:val="0"/>
      <w:divBdr>
        <w:top w:val="none" w:sz="0" w:space="0" w:color="auto"/>
        <w:left w:val="none" w:sz="0" w:space="0" w:color="auto"/>
        <w:bottom w:val="none" w:sz="0" w:space="0" w:color="auto"/>
        <w:right w:val="none" w:sz="0" w:space="0" w:color="auto"/>
      </w:divBdr>
    </w:div>
    <w:div w:id="1900434455">
      <w:bodyDiv w:val="1"/>
      <w:marLeft w:val="0"/>
      <w:marRight w:val="0"/>
      <w:marTop w:val="0"/>
      <w:marBottom w:val="0"/>
      <w:divBdr>
        <w:top w:val="none" w:sz="0" w:space="0" w:color="auto"/>
        <w:left w:val="none" w:sz="0" w:space="0" w:color="auto"/>
        <w:bottom w:val="none" w:sz="0" w:space="0" w:color="auto"/>
        <w:right w:val="none" w:sz="0" w:space="0" w:color="auto"/>
      </w:divBdr>
    </w:div>
    <w:div w:id="1921794251">
      <w:bodyDiv w:val="1"/>
      <w:marLeft w:val="0"/>
      <w:marRight w:val="0"/>
      <w:marTop w:val="0"/>
      <w:marBottom w:val="0"/>
      <w:divBdr>
        <w:top w:val="none" w:sz="0" w:space="0" w:color="auto"/>
        <w:left w:val="none" w:sz="0" w:space="0" w:color="auto"/>
        <w:bottom w:val="none" w:sz="0" w:space="0" w:color="auto"/>
        <w:right w:val="none" w:sz="0" w:space="0" w:color="auto"/>
      </w:divBdr>
    </w:div>
    <w:div w:id="1969387086">
      <w:bodyDiv w:val="1"/>
      <w:marLeft w:val="0"/>
      <w:marRight w:val="0"/>
      <w:marTop w:val="0"/>
      <w:marBottom w:val="0"/>
      <w:divBdr>
        <w:top w:val="none" w:sz="0" w:space="0" w:color="auto"/>
        <w:left w:val="none" w:sz="0" w:space="0" w:color="auto"/>
        <w:bottom w:val="none" w:sz="0" w:space="0" w:color="auto"/>
        <w:right w:val="none" w:sz="0" w:space="0" w:color="auto"/>
      </w:divBdr>
    </w:div>
    <w:div w:id="2017420836">
      <w:bodyDiv w:val="1"/>
      <w:marLeft w:val="0"/>
      <w:marRight w:val="0"/>
      <w:marTop w:val="0"/>
      <w:marBottom w:val="0"/>
      <w:divBdr>
        <w:top w:val="none" w:sz="0" w:space="0" w:color="auto"/>
        <w:left w:val="none" w:sz="0" w:space="0" w:color="auto"/>
        <w:bottom w:val="none" w:sz="0" w:space="0" w:color="auto"/>
        <w:right w:val="none" w:sz="0" w:space="0" w:color="auto"/>
      </w:divBdr>
    </w:div>
    <w:div w:id="2100786551">
      <w:bodyDiv w:val="1"/>
      <w:marLeft w:val="0"/>
      <w:marRight w:val="0"/>
      <w:marTop w:val="0"/>
      <w:marBottom w:val="0"/>
      <w:divBdr>
        <w:top w:val="none" w:sz="0" w:space="0" w:color="auto"/>
        <w:left w:val="none" w:sz="0" w:space="0" w:color="auto"/>
        <w:bottom w:val="none" w:sz="0" w:space="0" w:color="auto"/>
        <w:right w:val="none" w:sz="0" w:space="0" w:color="auto"/>
      </w:divBdr>
    </w:div>
    <w:div w:id="2110468279">
      <w:bodyDiv w:val="1"/>
      <w:marLeft w:val="0"/>
      <w:marRight w:val="0"/>
      <w:marTop w:val="0"/>
      <w:marBottom w:val="0"/>
      <w:divBdr>
        <w:top w:val="none" w:sz="0" w:space="0" w:color="auto"/>
        <w:left w:val="none" w:sz="0" w:space="0" w:color="auto"/>
        <w:bottom w:val="none" w:sz="0" w:space="0" w:color="auto"/>
        <w:right w:val="none" w:sz="0" w:space="0" w:color="auto"/>
      </w:divBdr>
    </w:div>
    <w:div w:id="2110852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2.png"/><Relationship Id="rId26" Type="http://schemas.openxmlformats.org/officeDocument/2006/relationships/image" Target="media/image10.jpg"/><Relationship Id="rId3" Type="http://schemas.openxmlformats.org/officeDocument/2006/relationships/customXml" Target="../customXml/item3.xml"/><Relationship Id="rId21" Type="http://schemas.openxmlformats.org/officeDocument/2006/relationships/image" Target="media/image5.jpg"/><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1.png"/><Relationship Id="rId25" Type="http://schemas.openxmlformats.org/officeDocument/2006/relationships/image" Target="media/image9.jp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jpg"/><Relationship Id="rId29"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8.jp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7.jpg"/><Relationship Id="rId28" Type="http://schemas.openxmlformats.org/officeDocument/2006/relationships/image" Target="media/image12.jp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jpg"/><Relationship Id="rId27" Type="http://schemas.openxmlformats.org/officeDocument/2006/relationships/image" Target="media/image11.jpg"/><Relationship Id="rId30" Type="http://schemas.openxmlformats.org/officeDocument/2006/relationships/header" Target="header4.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02"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BB26D0-1576-4558-A16C-C8582D9AAB8B}">
  <we:reference id="WA200010453" version="1.0.0.1" store="Omex" storeType="OMEX"/>
  <we:alternateReferences>
    <we:reference id="WA200010453" version="1.0.0.1" store="WA200010453" storeType="OMEX"/>
  </we:alternateReferences>
  <we:properties>
    <we:property name="claude.fileId" value="&quot;70cc87b0-8479-415c-a384-26ae51a83c05&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596a7eddb6777a4a2aa2241c758092e6">
  <xsd:schema xmlns:xsd="http://www.w3.org/2001/XMLSchema" xmlns:xs="http://www.w3.org/2001/XMLSchema" xmlns:p="http://schemas.microsoft.com/office/2006/metadata/properties" xmlns:ns3="b4f9f7ee-5770-4a14-8925-17f3d16e50b7" targetNamespace="http://schemas.microsoft.com/office/2006/metadata/properties" ma:root="true" ma:fieldsID="c70316d6ac8957b61e3c6910a7b9cb7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Che26</b:Tag>
    <b:SourceType>Report</b:SourceType>
    <b:Guid>{BAAEFF22-05A7-49E9-BB12-71839F02D5DF}</b:Guid>
    <b:Title>Manufacturing Threat Landscape 2025</b:Title>
    <b:Year>2026</b:Year>
    <b:Publisher>Check Point Software Technologies</b:Publisher>
    <b:Author>
      <b:Author>
        <b:Corporate>Check Point Research</b:Corporate>
      </b:Author>
    </b:Author>
    <b:URL>https://blog.checkpoint.com/security/why-manufacturing-cyber-security-is-becoming-more-complex-as-cyber-attacks-accelerate/</b:URL>
    <b:RefOrder>1</b:RefOrder>
  </b:Source>
  <b:Source>
    <b:Tag>Res26</b:Tag>
    <b:SourceType>Report</b:SourceType>
    <b:Guid>{EC022BE3-5377-444F-B53C-3493B6EBAC17}</b:Guid>
    <b:Author>
      <b:Author>
        <b:Corporate>Resilience</b:Corporate>
      </b:Author>
    </b:Author>
    <b:Title>The State of Cybersecurity in Manufacturing</b:Title>
    <b:Year>2026</b:Year>
    <b:Publisher> Resilience</b:Publisher>
    <b:RefOrder>2</b:RefOrder>
  </b:Source>
  <b:Source>
    <b:Tag>Eur25</b:Tag>
    <b:SourceType>Report</b:SourceType>
    <b:Guid>{C7863C27-8CA4-49D7-89E1-8ACF2976BC5C}</b:Guid>
    <b:Author>
      <b:Author>
        <b:Corporate>European Union Agency for Cybersecurity (ENISA)</b:Corporate>
      </b:Author>
    </b:Author>
    <b:Title>ENISA Threat Landscape 2025</b:Title>
    <b:Year>2025</b:Year>
    <b:City>ENISA</b:City>
    <b:RefOrder>3</b:RefOrder>
  </b:Source>
  <b:Source>
    <b:Tag>Sop25</b:Tag>
    <b:SourceType>Report</b:SourceType>
    <b:Guid>{EF5DAFC4-3BCF-45A9-B450-B8CF6ECF7BF6}</b:Guid>
    <b:Author>
      <b:Author>
        <b:Corporate>Sophos</b:Corporate>
      </b:Author>
    </b:Author>
    <b:Title>The State of Ransomware in Manufacturing and Production 2025</b:Title>
    <b:Year>2025</b:Year>
    <b:Publisher>Sophos</b:Publisher>
    <b:RefOrder>4</b:RefOrder>
  </b:Source>
  <b:Source>
    <b:Tag>Int22</b:Tag>
    <b:SourceType>Report</b:SourceType>
    <b:Guid>{C8A20E18-913B-471C-9540-69154436699B}</b:Guid>
    <b:Author>
      <b:Author>
        <b:Corporate>International Organization for Standardization</b:Corporate>
      </b:Author>
    </b:Author>
    <b:Title>ISO/IEC 27001:2022 — Information security, cybersecurity and privacy protection — Information security management systems — Requirements</b:Title>
    <b:Year>2022</b:Year>
    <b:Publisher>ISO</b:Publisher>
    <b:City>Geneva</b:City>
    <b:RefOrder>5</b:RefOrder>
  </b:Source>
  <b:Source>
    <b:Tag>Nat24</b:Tag>
    <b:SourceType>Report</b:SourceType>
    <b:Guid>{2412C0A9-69FC-4F3E-ABAA-4175B5D2F5D5}</b:Guid>
    <b:Title>The NIST Cybersecurity Framework (CSF) 2.0</b:Title>
    <b:Year>2024</b:Year>
    <b:Author>
      <b:Author>
        <b:Corporate>National Institute of Standards and Technology</b:Corporate>
      </b:Author>
    </b:Author>
    <b:Publisher>NIST</b:Publisher>
    <b:City>Gaithersburg, MD</b:City>
    <b:RefOrder>7</b:RefOrder>
  </b:Source>
  <b:Source>
    <b:Tag>Nat25</b:Tag>
    <b:SourceType>Report</b:SourceType>
    <b:Guid>{CED2F70C-605E-4DDF-B8F6-8020DB447500}</b:Guid>
    <b:Author>
      <b:Author>
        <b:Corporate>National Institute of Standards and Technology</b:Corporate>
      </b:Author>
    </b:Author>
    <b:Title>Cybersecurity Framework 2.0 Manufacturing Profile (Initial Public Draft)</b:Title>
    <b:Year>2025</b:Year>
    <b:Publisher>NIST</b:Publisher>
    <b:City>Gaithersburg, MD</b:City>
    <b:StandardNumber>NIST IR 8183r2 ipd</b:StandardNumber>
    <b:RefOrder>8</b:RefOrder>
  </b:Source>
  <b:Source>
    <b:Tag>Dra26</b:Tag>
    <b:SourceType>DocumentFromInternetSite</b:SourceType>
    <b:Guid>{26FF8227-10D4-4447-91CA-4FBA4C6068B3}</b:Guid>
    <b:Title>ISO 27001:2022: A Complete List of Changes</b:Title>
    <b:Year>2026</b:Year>
    <b:Author>
      <b:Author>
        <b:Corporate>Drata</b:Corporate>
      </b:Author>
    </b:Author>
    <b:YearAccessed>2026</b:YearAccessed>
    <b:MonthAccessed>August</b:MonthAccessed>
    <b:DayAccessed>10</b:DayAccessed>
    <b:URL>https://drata.com/learn/iso-27001/2022-update</b:URL>
    <b:InternetSiteTitle>Drata</b:InternetSiteTitle>
    <b:RefOrder>6</b:RefOrder>
  </b:Source>
  <b:Source>
    <b:Tag>Cor23</b:Tag>
    <b:SourceType>DocumentFromInternetSite</b:SourceType>
    <b:Guid>{2BF35782-2CB5-4BBD-A509-DF35F398CB5D}</b:Guid>
    <b:Author>
      <b:Author>
        <b:Corporate>Information Commissioner's Office</b:Corporate>
      </b:Author>
    </b:Author>
    <b:Title>A guide to the data protection principles</b:Title>
    <b:Year>2023</b:Year>
    <b:YearAccessed>2026</b:YearAccessed>
    <b:MonthAccessed>August</b:MonthAccessed>
    <b:DayAccessed>10</b:DayAccessed>
    <b:URL>https://ico.org.uk/for-organisations/uk-gdpr-guidance-and-resources/data-protection-principles/a-guide-to-the-data-protection-principles/</b:URL>
    <b:InternetSiteTitle>ICO</b:InternetSiteTitle>
    <b:RefOrder>9</b:RefOrder>
  </b:Source>
</b:Sources>
</file>

<file path=customXml/itemProps1.xml><?xml version="1.0" encoding="utf-8"?>
<ds:datastoreItem xmlns:ds="http://schemas.openxmlformats.org/officeDocument/2006/customXml" ds:itemID="{038C3BB9-4A66-481C-B418-4674078CA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B9978A-A03D-474F-A947-D51258526FB1}">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7FFBA47D-291B-4D2A-B5A8-859806760642}">
  <ds:schemaRefs>
    <ds:schemaRef ds:uri="http://schemas.microsoft.com/sharepoint/v3/contenttype/forms"/>
  </ds:schemaRefs>
</ds:datastoreItem>
</file>

<file path=customXml/itemProps4.xml><?xml version="1.0" encoding="utf-8"?>
<ds:datastoreItem xmlns:ds="http://schemas.openxmlformats.org/officeDocument/2006/customXml" ds:itemID="{53CB2920-021D-4399-92B6-591D3FDB9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2597</Words>
  <Characters>16627</Characters>
  <Application>Microsoft Office Word</Application>
  <DocSecurity>0</DocSecurity>
  <Lines>377</Lines>
  <Paragraphs>263</Paragraphs>
  <ScaleCrop>false</ScaleCrop>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Yaroslav Tsirul</cp:lastModifiedBy>
  <cp:revision>2</cp:revision>
  <dcterms:created xsi:type="dcterms:W3CDTF">2026-08-13T10:37:00Z</dcterms:created>
  <dcterms:modified xsi:type="dcterms:W3CDTF">2026-08-13T10:37:00Z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