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38603" w14:textId="77777777" w:rsidR="00DE3B54" w:rsidRPr="00316A73" w:rsidRDefault="00DE3B54" w:rsidP="0045298F">
      <w:pPr>
        <w:spacing w:after="360" w:line="240" w:lineRule="auto"/>
        <w:jc w:val="center"/>
        <w:rPr>
          <w:rFonts w:eastAsia="Arial" w:cs="Arial"/>
          <w:b/>
          <w:bCs/>
          <w:color w:val="000000" w:themeColor="text1"/>
          <w:sz w:val="32"/>
          <w:szCs w:val="32"/>
          <w:lang w:eastAsia="en-GB" w:bidi="bn-IN"/>
          <w14:ligatures w14:val="none"/>
        </w:rPr>
      </w:pPr>
      <w:proofErr w:type="spellStart"/>
      <w:r w:rsidRPr="00316A73">
        <w:rPr>
          <w:rFonts w:eastAsia="Arial" w:cs="Arial"/>
          <w:b/>
          <w:bCs/>
          <w:color w:val="000000" w:themeColor="text1"/>
          <w:sz w:val="32"/>
          <w:szCs w:val="32"/>
          <w:lang w:eastAsia="en-GB" w:bidi="bn-IN"/>
          <w14:ligatures w14:val="none"/>
        </w:rPr>
        <w:t>Bsc</w:t>
      </w:r>
      <w:proofErr w:type="spellEnd"/>
      <w:r w:rsidRPr="00316A73">
        <w:rPr>
          <w:rFonts w:eastAsia="Arial" w:cs="Arial"/>
          <w:b/>
          <w:bCs/>
          <w:color w:val="000000" w:themeColor="text1"/>
          <w:sz w:val="32"/>
          <w:szCs w:val="32"/>
          <w:lang w:eastAsia="en-GB" w:bidi="bn-IN"/>
          <w14:ligatures w14:val="none"/>
        </w:rPr>
        <w:t xml:space="preserve"> (Hons) Health and Social Care </w:t>
      </w:r>
    </w:p>
    <w:p w14:paraId="1E2F10A8" w14:textId="77777777" w:rsidR="00DE3B54" w:rsidRPr="00316A73" w:rsidRDefault="00DE3B54" w:rsidP="00DE3B54">
      <w:pPr>
        <w:rPr>
          <w:rFonts w:eastAsia="Arial" w:cs="Arial"/>
          <w:color w:val="000000" w:themeColor="text1"/>
          <w:lang w:eastAsia="en-GB" w:bidi="bn-IN"/>
          <w14:ligatures w14:val="none"/>
        </w:rPr>
      </w:pPr>
    </w:p>
    <w:p w14:paraId="7BF9D976" w14:textId="77777777" w:rsidR="00DE3B54" w:rsidRPr="00316A73" w:rsidRDefault="00DE3B54" w:rsidP="00DE3B54">
      <w:pPr>
        <w:rPr>
          <w:rFonts w:eastAsia="Arial" w:cs="Arial"/>
          <w:color w:val="000000" w:themeColor="text1"/>
          <w:lang w:eastAsia="en-GB" w:bidi="bn-IN"/>
          <w14:ligatures w14:val="none"/>
        </w:rPr>
      </w:pPr>
    </w:p>
    <w:p w14:paraId="174264AF" w14:textId="0DB5EA56" w:rsidR="00DE3B54" w:rsidRPr="00316A73" w:rsidRDefault="00DE3B54" w:rsidP="00DE3B54">
      <w:pPr>
        <w:rPr>
          <w:color w:val="000000" w:themeColor="text1"/>
        </w:rPr>
      </w:pPr>
      <w:r w:rsidRPr="000D3C0A">
        <w:rPr>
          <w:b/>
          <w:bCs/>
          <w:color w:val="000000" w:themeColor="text1"/>
        </w:rPr>
        <w:t>Module</w:t>
      </w:r>
      <w:r w:rsidRPr="00316A73">
        <w:rPr>
          <w:color w:val="000000" w:themeColor="text1"/>
        </w:rPr>
        <w:t xml:space="preserve">: Psychological Classifications and Provisions </w:t>
      </w:r>
    </w:p>
    <w:p w14:paraId="691D5CD9" w14:textId="0D2091AB" w:rsidR="00DE3B54" w:rsidRPr="00316A73" w:rsidRDefault="00DE3B54" w:rsidP="00DE3B54">
      <w:pPr>
        <w:rPr>
          <w:color w:val="000000" w:themeColor="text1"/>
        </w:rPr>
      </w:pPr>
      <w:r w:rsidRPr="00B849C3">
        <w:rPr>
          <w:b/>
          <w:bCs/>
          <w:color w:val="000000" w:themeColor="text1"/>
        </w:rPr>
        <w:t>Module Code</w:t>
      </w:r>
      <w:r w:rsidRPr="00316A73">
        <w:rPr>
          <w:color w:val="000000" w:themeColor="text1"/>
        </w:rPr>
        <w:t>: BMHP6029</w:t>
      </w:r>
    </w:p>
    <w:p w14:paraId="77E5A9D6" w14:textId="164DCC33" w:rsidR="00DE3B54" w:rsidRPr="00316A73" w:rsidRDefault="00DE3B54" w:rsidP="00DE3B54">
      <w:pPr>
        <w:rPr>
          <w:color w:val="000000" w:themeColor="text1"/>
        </w:rPr>
      </w:pPr>
      <w:r w:rsidRPr="00B849C3">
        <w:rPr>
          <w:b/>
          <w:bCs/>
          <w:color w:val="000000" w:themeColor="text1"/>
        </w:rPr>
        <w:t>Assignments</w:t>
      </w:r>
      <w:r w:rsidRPr="00316A73">
        <w:rPr>
          <w:color w:val="000000" w:themeColor="text1"/>
        </w:rPr>
        <w:t>: Written Assignment (Report)</w:t>
      </w:r>
    </w:p>
    <w:p w14:paraId="267FD16B" w14:textId="77777777" w:rsidR="00DE3B54" w:rsidRPr="00316A73" w:rsidRDefault="00DE3B54" w:rsidP="00DE3B54">
      <w:pPr>
        <w:rPr>
          <w:color w:val="000000" w:themeColor="text1"/>
        </w:rPr>
      </w:pPr>
      <w:r w:rsidRPr="00B849C3">
        <w:rPr>
          <w:b/>
          <w:bCs/>
          <w:color w:val="000000" w:themeColor="text1"/>
        </w:rPr>
        <w:t>Student Number</w:t>
      </w:r>
      <w:r w:rsidRPr="00316A73">
        <w:rPr>
          <w:color w:val="000000" w:themeColor="text1"/>
        </w:rPr>
        <w:t>: 2407750</w:t>
      </w:r>
    </w:p>
    <w:p w14:paraId="1091AE85" w14:textId="77777777" w:rsidR="00DE3B54" w:rsidRPr="00316A73" w:rsidRDefault="00DE3B54" w:rsidP="00DE3B54">
      <w:pPr>
        <w:rPr>
          <w:color w:val="000000" w:themeColor="text1"/>
        </w:rPr>
      </w:pPr>
      <w:r w:rsidRPr="00B849C3">
        <w:rPr>
          <w:b/>
          <w:bCs/>
          <w:color w:val="000000" w:themeColor="text1"/>
        </w:rPr>
        <w:t>Student Name</w:t>
      </w:r>
      <w:r w:rsidRPr="00316A73">
        <w:rPr>
          <w:color w:val="000000" w:themeColor="text1"/>
        </w:rPr>
        <w:t>: Mohammed Mobeen Ali</w:t>
      </w:r>
    </w:p>
    <w:p w14:paraId="18852D3D" w14:textId="5DAAED1A" w:rsidR="00DE3B54" w:rsidRPr="00FE504D" w:rsidRDefault="00DE3B54" w:rsidP="00DE3B54">
      <w:pPr>
        <w:rPr>
          <w:b/>
          <w:bCs/>
          <w:color w:val="000000" w:themeColor="text1"/>
        </w:rPr>
      </w:pPr>
      <w:r w:rsidRPr="00FE504D">
        <w:rPr>
          <w:b/>
          <w:bCs/>
          <w:color w:val="000000" w:themeColor="text1"/>
        </w:rPr>
        <w:t>Lecturer:</w:t>
      </w:r>
      <w:r w:rsidRPr="00316A73">
        <w:rPr>
          <w:color w:val="000000" w:themeColor="text1"/>
        </w:rPr>
        <w:t xml:space="preserve"> Neale Haddon</w:t>
      </w:r>
    </w:p>
    <w:p w14:paraId="193FB055" w14:textId="7577F70E" w:rsidR="00DE3B54" w:rsidRPr="00316A73" w:rsidRDefault="00DE3B54" w:rsidP="00DE3B54">
      <w:pPr>
        <w:rPr>
          <w:color w:val="000000" w:themeColor="text1"/>
        </w:rPr>
      </w:pPr>
      <w:r w:rsidRPr="00FE504D">
        <w:rPr>
          <w:b/>
          <w:bCs/>
          <w:color w:val="000000" w:themeColor="text1"/>
        </w:rPr>
        <w:t>Submission Date</w:t>
      </w:r>
      <w:r w:rsidRPr="00316A73">
        <w:rPr>
          <w:color w:val="000000" w:themeColor="text1"/>
        </w:rPr>
        <w:t>: 16</w:t>
      </w:r>
      <w:r w:rsidRPr="00316A73">
        <w:rPr>
          <w:color w:val="000000" w:themeColor="text1"/>
          <w:vertAlign w:val="superscript"/>
        </w:rPr>
        <w:t>th</w:t>
      </w:r>
      <w:r w:rsidRPr="00316A73">
        <w:rPr>
          <w:color w:val="000000" w:themeColor="text1"/>
        </w:rPr>
        <w:t xml:space="preserve"> November 2026</w:t>
      </w:r>
    </w:p>
    <w:p w14:paraId="04C283CD" w14:textId="354701C0" w:rsidR="00933BBD" w:rsidRPr="00316A73" w:rsidRDefault="00933BBD">
      <w:pPr>
        <w:spacing w:line="259" w:lineRule="auto"/>
        <w:jc w:val="left"/>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br w:type="page"/>
      </w:r>
    </w:p>
    <w:sdt>
      <w:sdtPr>
        <w:rPr>
          <w:rFonts w:ascii="Arial" w:eastAsiaTheme="minorHAnsi" w:hAnsi="Arial" w:cstheme="minorBidi"/>
          <w:color w:val="000000" w:themeColor="text1"/>
          <w:sz w:val="22"/>
          <w:szCs w:val="22"/>
          <w:lang w:val="en-GB"/>
          <w14:ligatures w14:val="standardContextual"/>
        </w:rPr>
        <w:id w:val="-1508133275"/>
        <w:docPartObj>
          <w:docPartGallery w:val="Table of Contents"/>
          <w:docPartUnique/>
        </w:docPartObj>
      </w:sdtPr>
      <w:sdtEndPr>
        <w:rPr>
          <w:b/>
          <w:bCs/>
          <w:noProof/>
        </w:rPr>
      </w:sdtEndPr>
      <w:sdtContent>
        <w:p w14:paraId="2422737B" w14:textId="21B14872" w:rsidR="00323729" w:rsidRDefault="00323729" w:rsidP="00323729">
          <w:pPr>
            <w:pStyle w:val="TOCHeading"/>
            <w:jc w:val="center"/>
            <w:rPr>
              <w:b/>
              <w:bCs/>
              <w:color w:val="000000" w:themeColor="text1"/>
            </w:rPr>
          </w:pPr>
          <w:r w:rsidRPr="00316A73">
            <w:rPr>
              <w:b/>
              <w:bCs/>
              <w:color w:val="000000" w:themeColor="text1"/>
            </w:rPr>
            <w:t>Table of Contents</w:t>
          </w:r>
        </w:p>
        <w:p w14:paraId="7FD32ABA" w14:textId="77777777" w:rsidR="00FE504D" w:rsidRPr="00FE504D" w:rsidRDefault="00FE504D" w:rsidP="00FE504D">
          <w:pPr>
            <w:rPr>
              <w:lang w:val="en-US"/>
            </w:rPr>
          </w:pPr>
        </w:p>
        <w:p w14:paraId="090D9C23" w14:textId="3D6E487A" w:rsidR="00323729" w:rsidRPr="00316A73" w:rsidRDefault="00323729">
          <w:pPr>
            <w:pStyle w:val="TOC1"/>
            <w:tabs>
              <w:tab w:val="right" w:leader="dot" w:pos="9016"/>
            </w:tabs>
            <w:rPr>
              <w:noProof/>
              <w:color w:val="000000" w:themeColor="text1"/>
            </w:rPr>
          </w:pPr>
          <w:r w:rsidRPr="00316A73">
            <w:rPr>
              <w:color w:val="000000" w:themeColor="text1"/>
            </w:rPr>
            <w:fldChar w:fldCharType="begin"/>
          </w:r>
          <w:r w:rsidRPr="00316A73">
            <w:rPr>
              <w:color w:val="000000" w:themeColor="text1"/>
            </w:rPr>
            <w:instrText xml:space="preserve"> TOC \o "1-3" \h \z \u </w:instrText>
          </w:r>
          <w:r w:rsidRPr="00316A73">
            <w:rPr>
              <w:color w:val="000000" w:themeColor="text1"/>
            </w:rPr>
            <w:fldChar w:fldCharType="separate"/>
          </w:r>
          <w:hyperlink w:anchor="_Toc241779732" w:history="1">
            <w:r w:rsidRPr="00316A73">
              <w:rPr>
                <w:rStyle w:val="Hyperlink"/>
                <w:rFonts w:eastAsia="Arial"/>
                <w:noProof/>
                <w:color w:val="000000" w:themeColor="text1"/>
                <w:lang w:eastAsia="en-GB"/>
              </w:rPr>
              <w:t>1. Introduction</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_Toc241779732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3</w:t>
            </w:r>
            <w:r w:rsidRPr="00316A73">
              <w:rPr>
                <w:noProof/>
                <w:webHidden/>
                <w:color w:val="000000" w:themeColor="text1"/>
              </w:rPr>
              <w:fldChar w:fldCharType="end"/>
            </w:r>
          </w:hyperlink>
        </w:p>
        <w:p w14:paraId="6A2BA4C8" w14:textId="705B5906" w:rsidR="00323729" w:rsidRPr="00316A73" w:rsidRDefault="00323729">
          <w:pPr>
            <w:pStyle w:val="TOC1"/>
            <w:tabs>
              <w:tab w:val="right" w:leader="dot" w:pos="9016"/>
            </w:tabs>
            <w:rPr>
              <w:noProof/>
              <w:color w:val="000000" w:themeColor="text1"/>
            </w:rPr>
          </w:pPr>
          <w:hyperlink w:anchor="_Toc241779733" w:history="1">
            <w:r w:rsidRPr="00316A73">
              <w:rPr>
                <w:rStyle w:val="Hyperlink"/>
                <w:rFonts w:eastAsia="Arial"/>
                <w:noProof/>
                <w:color w:val="000000" w:themeColor="text1"/>
                <w:lang w:eastAsia="en-GB"/>
              </w:rPr>
              <w:t>2. Classification and language in ICD-11</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_Toc241779733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3</w:t>
            </w:r>
            <w:r w:rsidRPr="00316A73">
              <w:rPr>
                <w:noProof/>
                <w:webHidden/>
                <w:color w:val="000000" w:themeColor="text1"/>
              </w:rPr>
              <w:fldChar w:fldCharType="end"/>
            </w:r>
          </w:hyperlink>
        </w:p>
        <w:p w14:paraId="275D8418" w14:textId="0E7213A9" w:rsidR="00323729" w:rsidRPr="00316A73" w:rsidRDefault="00323729">
          <w:pPr>
            <w:pStyle w:val="TOC1"/>
            <w:tabs>
              <w:tab w:val="right" w:leader="dot" w:pos="9016"/>
            </w:tabs>
            <w:rPr>
              <w:noProof/>
              <w:color w:val="000000" w:themeColor="text1"/>
            </w:rPr>
          </w:pPr>
          <w:hyperlink w:anchor="_Toc241779734" w:history="1">
            <w:r w:rsidRPr="00316A73">
              <w:rPr>
                <w:rStyle w:val="Hyperlink"/>
                <w:rFonts w:eastAsia="Arial"/>
                <w:noProof/>
                <w:color w:val="000000" w:themeColor="text1"/>
                <w:lang w:eastAsia="en-GB"/>
              </w:rPr>
              <w:t>3. Diagnosis: criteria and process</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_Toc241779734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4</w:t>
            </w:r>
            <w:r w:rsidRPr="00316A73">
              <w:rPr>
                <w:noProof/>
                <w:webHidden/>
                <w:color w:val="000000" w:themeColor="text1"/>
              </w:rPr>
              <w:fldChar w:fldCharType="end"/>
            </w:r>
          </w:hyperlink>
        </w:p>
        <w:p w14:paraId="49A154B9" w14:textId="59B3D319" w:rsidR="00323729" w:rsidRPr="00316A73" w:rsidRDefault="00323729">
          <w:pPr>
            <w:pStyle w:val="TOC1"/>
            <w:tabs>
              <w:tab w:val="right" w:leader="dot" w:pos="9016"/>
            </w:tabs>
            <w:rPr>
              <w:noProof/>
              <w:color w:val="000000" w:themeColor="text1"/>
            </w:rPr>
          </w:pPr>
          <w:hyperlink w:anchor="_Toc241779735" w:history="1">
            <w:r w:rsidRPr="00316A73">
              <w:rPr>
                <w:rStyle w:val="Hyperlink"/>
                <w:rFonts w:eastAsia="Arial"/>
                <w:noProof/>
                <w:color w:val="000000" w:themeColor="text1"/>
                <w:lang w:eastAsia="en-GB"/>
              </w:rPr>
              <w:t>4. Standard treatment: use, evidence and limits</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_Toc241779735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4</w:t>
            </w:r>
            <w:r w:rsidRPr="00316A73">
              <w:rPr>
                <w:noProof/>
                <w:webHidden/>
                <w:color w:val="000000" w:themeColor="text1"/>
              </w:rPr>
              <w:fldChar w:fldCharType="end"/>
            </w:r>
          </w:hyperlink>
        </w:p>
        <w:p w14:paraId="4D3C2C66" w14:textId="03D35D04" w:rsidR="00323729" w:rsidRPr="00316A73" w:rsidRDefault="00323729">
          <w:pPr>
            <w:pStyle w:val="TOC1"/>
            <w:tabs>
              <w:tab w:val="right" w:leader="dot" w:pos="9016"/>
            </w:tabs>
            <w:rPr>
              <w:noProof/>
              <w:color w:val="000000" w:themeColor="text1"/>
            </w:rPr>
          </w:pPr>
          <w:hyperlink w:anchor="_Toc241779736" w:history="1">
            <w:r w:rsidRPr="00316A73">
              <w:rPr>
                <w:rStyle w:val="Hyperlink"/>
                <w:rFonts w:eastAsia="Arial"/>
                <w:noProof/>
                <w:color w:val="000000" w:themeColor="text1"/>
                <w:lang w:eastAsia="en-GB"/>
              </w:rPr>
              <w:t>5. Rehabilitation and provision, then and now</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_Toc241779736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5</w:t>
            </w:r>
            <w:r w:rsidRPr="00316A73">
              <w:rPr>
                <w:noProof/>
                <w:webHidden/>
                <w:color w:val="000000" w:themeColor="text1"/>
              </w:rPr>
              <w:fldChar w:fldCharType="end"/>
            </w:r>
          </w:hyperlink>
        </w:p>
        <w:p w14:paraId="1880342D" w14:textId="56BF2A95" w:rsidR="00323729" w:rsidRPr="00316A73" w:rsidRDefault="00323729">
          <w:pPr>
            <w:pStyle w:val="TOC1"/>
            <w:tabs>
              <w:tab w:val="right" w:leader="dot" w:pos="9016"/>
            </w:tabs>
            <w:rPr>
              <w:noProof/>
              <w:color w:val="000000" w:themeColor="text1"/>
            </w:rPr>
          </w:pPr>
          <w:hyperlink w:anchor="_Toc241779737" w:history="1">
            <w:r w:rsidRPr="00316A73">
              <w:rPr>
                <w:rStyle w:val="Hyperlink"/>
                <w:rFonts w:eastAsia="Arial"/>
                <w:noProof/>
                <w:color w:val="000000" w:themeColor="text1"/>
                <w:lang w:eastAsia="en-GB"/>
              </w:rPr>
              <w:t>6. Current debates: neurodivergence, reclassification and impact</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_Toc241779737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6</w:t>
            </w:r>
            <w:r w:rsidRPr="00316A73">
              <w:rPr>
                <w:noProof/>
                <w:webHidden/>
                <w:color w:val="000000" w:themeColor="text1"/>
              </w:rPr>
              <w:fldChar w:fldCharType="end"/>
            </w:r>
          </w:hyperlink>
        </w:p>
        <w:p w14:paraId="095E6423" w14:textId="44AD0429" w:rsidR="00323729" w:rsidRPr="00316A73" w:rsidRDefault="00323729">
          <w:pPr>
            <w:pStyle w:val="TOC1"/>
            <w:tabs>
              <w:tab w:val="right" w:leader="dot" w:pos="9016"/>
            </w:tabs>
            <w:rPr>
              <w:noProof/>
              <w:color w:val="000000" w:themeColor="text1"/>
            </w:rPr>
          </w:pPr>
          <w:hyperlink w:anchor="_Toc241779738" w:history="1">
            <w:r w:rsidRPr="00316A73">
              <w:rPr>
                <w:rStyle w:val="Hyperlink"/>
                <w:rFonts w:eastAsia="Arial"/>
                <w:noProof/>
                <w:color w:val="000000" w:themeColor="text1"/>
                <w:lang w:eastAsia="en-GB"/>
              </w:rPr>
              <w:t>7. Recommendations and implications</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_Toc241779738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7</w:t>
            </w:r>
            <w:r w:rsidRPr="00316A73">
              <w:rPr>
                <w:noProof/>
                <w:webHidden/>
                <w:color w:val="000000" w:themeColor="text1"/>
              </w:rPr>
              <w:fldChar w:fldCharType="end"/>
            </w:r>
          </w:hyperlink>
        </w:p>
        <w:p w14:paraId="053458A0" w14:textId="6797DC12" w:rsidR="00323729" w:rsidRPr="00316A73" w:rsidRDefault="00323729">
          <w:pPr>
            <w:pStyle w:val="TOC1"/>
            <w:tabs>
              <w:tab w:val="right" w:leader="dot" w:pos="9016"/>
            </w:tabs>
            <w:rPr>
              <w:noProof/>
              <w:color w:val="000000" w:themeColor="text1"/>
            </w:rPr>
          </w:pPr>
          <w:hyperlink w:anchor="_Toc241779739" w:history="1">
            <w:r w:rsidRPr="00316A73">
              <w:rPr>
                <w:rStyle w:val="Hyperlink"/>
                <w:rFonts w:eastAsia="Arial"/>
                <w:noProof/>
                <w:color w:val="000000" w:themeColor="text1"/>
                <w:lang w:eastAsia="en-GB"/>
              </w:rPr>
              <w:t>8. Conclusion</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_Toc241779739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7</w:t>
            </w:r>
            <w:r w:rsidRPr="00316A73">
              <w:rPr>
                <w:noProof/>
                <w:webHidden/>
                <w:color w:val="000000" w:themeColor="text1"/>
              </w:rPr>
              <w:fldChar w:fldCharType="end"/>
            </w:r>
          </w:hyperlink>
        </w:p>
        <w:p w14:paraId="4438B7A9" w14:textId="56CC2BED" w:rsidR="00323729" w:rsidRPr="00316A73" w:rsidRDefault="00323729">
          <w:pPr>
            <w:pStyle w:val="TOC1"/>
            <w:tabs>
              <w:tab w:val="right" w:leader="dot" w:pos="9016"/>
            </w:tabs>
            <w:rPr>
              <w:noProof/>
              <w:color w:val="000000" w:themeColor="text1"/>
            </w:rPr>
          </w:pPr>
          <w:hyperlink w:anchor="_Toc241779740" w:history="1">
            <w:r w:rsidRPr="00316A73">
              <w:rPr>
                <w:rStyle w:val="Hyperlink"/>
                <w:rFonts w:eastAsia="Arial"/>
                <w:noProof/>
                <w:color w:val="000000" w:themeColor="text1"/>
                <w:lang w:eastAsia="en-GB"/>
              </w:rPr>
              <w:t>References</w:t>
            </w:r>
            <w:r w:rsidRPr="00316A73">
              <w:rPr>
                <w:noProof/>
                <w:webHidden/>
                <w:color w:val="000000" w:themeColor="text1"/>
              </w:rPr>
              <w:tab/>
            </w:r>
            <w:r w:rsidRPr="00316A73">
              <w:rPr>
                <w:noProof/>
                <w:webHidden/>
                <w:color w:val="000000" w:themeColor="text1"/>
              </w:rPr>
              <w:fldChar w:fldCharType="begin"/>
            </w:r>
            <w:r w:rsidRPr="00316A73">
              <w:rPr>
                <w:noProof/>
                <w:webHidden/>
                <w:color w:val="000000" w:themeColor="text1"/>
              </w:rPr>
              <w:instrText xml:space="preserve"> PAGEREF _Toc241779740 \h </w:instrText>
            </w:r>
            <w:r w:rsidRPr="00316A73">
              <w:rPr>
                <w:noProof/>
                <w:webHidden/>
                <w:color w:val="000000" w:themeColor="text1"/>
              </w:rPr>
            </w:r>
            <w:r w:rsidRPr="00316A73">
              <w:rPr>
                <w:noProof/>
                <w:webHidden/>
                <w:color w:val="000000" w:themeColor="text1"/>
              </w:rPr>
              <w:fldChar w:fldCharType="separate"/>
            </w:r>
            <w:r w:rsidRPr="00316A73">
              <w:rPr>
                <w:noProof/>
                <w:webHidden/>
                <w:color w:val="000000" w:themeColor="text1"/>
              </w:rPr>
              <w:t>8</w:t>
            </w:r>
            <w:r w:rsidRPr="00316A73">
              <w:rPr>
                <w:noProof/>
                <w:webHidden/>
                <w:color w:val="000000" w:themeColor="text1"/>
              </w:rPr>
              <w:fldChar w:fldCharType="end"/>
            </w:r>
          </w:hyperlink>
        </w:p>
        <w:p w14:paraId="58B4F85E" w14:textId="71BE0421" w:rsidR="00323729" w:rsidRPr="00316A73" w:rsidRDefault="00323729">
          <w:pPr>
            <w:rPr>
              <w:color w:val="000000" w:themeColor="text1"/>
            </w:rPr>
          </w:pPr>
          <w:r w:rsidRPr="00316A73">
            <w:rPr>
              <w:b/>
              <w:bCs/>
              <w:noProof/>
              <w:color w:val="000000" w:themeColor="text1"/>
            </w:rPr>
            <w:fldChar w:fldCharType="end"/>
          </w:r>
        </w:p>
      </w:sdtContent>
    </w:sdt>
    <w:p w14:paraId="001AF806" w14:textId="77777777" w:rsidR="00933BBD" w:rsidRPr="00316A73" w:rsidRDefault="00933BBD" w:rsidP="00933BBD">
      <w:pPr>
        <w:rPr>
          <w:color w:val="000000" w:themeColor="text1"/>
          <w:lang w:eastAsia="en-GB" w:bidi="bn-IN"/>
        </w:rPr>
      </w:pPr>
    </w:p>
    <w:p w14:paraId="678C33E7" w14:textId="08B01BD5" w:rsidR="00B232C4" w:rsidRPr="00316A73" w:rsidRDefault="00B232C4" w:rsidP="00B232C4">
      <w:pPr>
        <w:spacing w:line="259" w:lineRule="auto"/>
        <w:jc w:val="left"/>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br w:type="page"/>
      </w:r>
    </w:p>
    <w:p w14:paraId="378058BC" w14:textId="168F4AC6" w:rsidR="00575246" w:rsidRPr="00316A73" w:rsidRDefault="00575246" w:rsidP="00B232C4">
      <w:pPr>
        <w:pStyle w:val="Heading1"/>
        <w:rPr>
          <w:rFonts w:eastAsia="Arial"/>
          <w:b w:val="0"/>
          <w:color w:val="000000" w:themeColor="text1"/>
          <w:lang w:eastAsia="en-GB" w:bidi="bn-IN"/>
        </w:rPr>
      </w:pPr>
      <w:bookmarkStart w:id="0" w:name="_Toc241779732"/>
      <w:r w:rsidRPr="00316A73">
        <w:rPr>
          <w:rFonts w:eastAsia="Arial"/>
          <w:color w:val="000000" w:themeColor="text1"/>
          <w:lang w:eastAsia="en-GB" w:bidi="bn-IN"/>
        </w:rPr>
        <w:t xml:space="preserve">1. </w:t>
      </w:r>
      <w:r w:rsidRPr="00B361D9">
        <w:rPr>
          <w:rFonts w:eastAsia="Arial"/>
          <w:color w:val="000000" w:themeColor="text1"/>
          <w:u w:val="single"/>
          <w:lang w:eastAsia="en-GB" w:bidi="bn-IN"/>
        </w:rPr>
        <w:t>Introduction</w:t>
      </w:r>
      <w:bookmarkEnd w:id="0"/>
    </w:p>
    <w:p w14:paraId="51D8E782" w14:textId="64C609F5" w:rsidR="00575246" w:rsidRPr="00316A73" w:rsidRDefault="00D7544E" w:rsidP="00575246">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 xml:space="preserve">Social anxiety disorder must be given serious consideration since it is in high </w:t>
      </w:r>
      <w:r w:rsidR="00471979" w:rsidRPr="00316A73">
        <w:rPr>
          <w:rFonts w:eastAsia="Arial" w:cs="Arial"/>
          <w:color w:val="000000" w:themeColor="text1"/>
          <w:lang w:eastAsia="en-GB" w:bidi="bn-IN"/>
          <w14:ligatures w14:val="none"/>
        </w:rPr>
        <w:t>demand,</w:t>
      </w:r>
      <w:r w:rsidRPr="00316A73">
        <w:rPr>
          <w:rFonts w:eastAsia="Arial" w:cs="Arial"/>
          <w:color w:val="000000" w:themeColor="text1"/>
          <w:lang w:eastAsia="en-GB" w:bidi="bn-IN"/>
          <w14:ligatures w14:val="none"/>
        </w:rPr>
        <w:t xml:space="preserve"> and its limits are still controversial. According to World Health Organi</w:t>
      </w:r>
      <w:r w:rsidR="00116E16" w:rsidRPr="00316A73">
        <w:rPr>
          <w:rFonts w:eastAsia="Arial" w:cs="Arial"/>
          <w:color w:val="000000" w:themeColor="text1"/>
          <w:lang w:eastAsia="en-GB" w:bidi="bn-IN"/>
          <w14:ligatures w14:val="none"/>
        </w:rPr>
        <w:t>s</w:t>
      </w:r>
      <w:r w:rsidRPr="00316A73">
        <w:rPr>
          <w:rFonts w:eastAsia="Arial" w:cs="Arial"/>
          <w:color w:val="000000" w:themeColor="text1"/>
          <w:lang w:eastAsia="en-GB" w:bidi="bn-IN"/>
          <w14:ligatures w14:val="none"/>
        </w:rPr>
        <w:t>ation, 470 million individuals have an anxiety disorder in 2023 (World Health Organization, 2025). That number involves all forms of anxiety conditions and does not stand out social anxiety. This report asserts that ICD-11 provides more definite guidelines and cognitive behavioural therapy (CBT), a structured form of talking therapy is well supported. Practically, however,</w:t>
      </w:r>
      <w:r w:rsidR="00471979" w:rsidRPr="00316A73">
        <w:rPr>
          <w:rFonts w:eastAsia="Arial" w:cs="Arial"/>
          <w:color w:val="000000" w:themeColor="text1"/>
          <w:lang w:eastAsia="en-GB" w:bidi="bn-IN"/>
          <w14:ligatures w14:val="none"/>
        </w:rPr>
        <w:tab/>
      </w:r>
      <w:r w:rsidRPr="00316A73">
        <w:rPr>
          <w:rFonts w:eastAsia="Arial" w:cs="Arial"/>
          <w:color w:val="000000" w:themeColor="text1"/>
          <w:lang w:eastAsia="en-GB" w:bidi="bn-IN"/>
          <w14:ligatures w14:val="none"/>
        </w:rPr>
        <w:t xml:space="preserve"> blurred boundaries, overlap of the autism and disparate access mitigate the utility. The report thus </w:t>
      </w:r>
      <w:r w:rsidR="00471979" w:rsidRPr="00316A73">
        <w:rPr>
          <w:rFonts w:eastAsia="Arial" w:cs="Arial"/>
          <w:color w:val="000000" w:themeColor="text1"/>
          <w:lang w:eastAsia="en-GB" w:bidi="bn-IN"/>
          <w14:ligatures w14:val="none"/>
        </w:rPr>
        <w:t>analyses</w:t>
      </w:r>
      <w:r w:rsidRPr="00316A73">
        <w:rPr>
          <w:rFonts w:eastAsia="Arial" w:cs="Arial"/>
          <w:color w:val="000000" w:themeColor="text1"/>
          <w:lang w:eastAsia="en-GB" w:bidi="bn-IN"/>
          <w14:ligatures w14:val="none"/>
        </w:rPr>
        <w:t xml:space="preserve"> the classification, diagnosis, treatment and debates that are currently in existence before proposing change.</w:t>
      </w:r>
    </w:p>
    <w:p w14:paraId="09363D72" w14:textId="77777777" w:rsidR="00575246" w:rsidRPr="00316A73" w:rsidRDefault="00575246" w:rsidP="00B232C4">
      <w:pPr>
        <w:pStyle w:val="Heading1"/>
        <w:rPr>
          <w:rFonts w:eastAsia="Arial"/>
          <w:color w:val="000000" w:themeColor="text1"/>
          <w:lang w:eastAsia="en-GB" w:bidi="bn-IN"/>
        </w:rPr>
      </w:pPr>
      <w:bookmarkStart w:id="1" w:name="_Toc241779733"/>
      <w:r w:rsidRPr="00316A73">
        <w:rPr>
          <w:rFonts w:eastAsia="Arial"/>
          <w:color w:val="000000" w:themeColor="text1"/>
          <w:lang w:eastAsia="en-GB" w:bidi="bn-IN"/>
        </w:rPr>
        <w:t>2. Classification and language in ICD-11</w:t>
      </w:r>
      <w:bookmarkEnd w:id="1"/>
    </w:p>
    <w:p w14:paraId="185C8220"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 social anxiety disorder is coded 6B04 under the anxiety or fear-related disorders subgroup in Chapter 6 of ICD-11. In ICD-10, the condition was given the code F40.1 "social phobia," which falls under phobic anxiety disorders (</w:t>
      </w:r>
      <w:proofErr w:type="spellStart"/>
      <w:r w:rsidRPr="00316A73">
        <w:rPr>
          <w:rFonts w:eastAsia="Arial" w:cs="Arial"/>
          <w:color w:val="000000" w:themeColor="text1"/>
          <w:lang w:eastAsia="en-GB" w:bidi="bn-IN"/>
          <w14:ligatures w14:val="none"/>
        </w:rPr>
        <w:t>Domschke</w:t>
      </w:r>
      <w:proofErr w:type="spellEnd"/>
      <w:r w:rsidRPr="00316A73">
        <w:rPr>
          <w:rFonts w:eastAsia="Arial" w:cs="Arial"/>
          <w:color w:val="000000" w:themeColor="text1"/>
          <w:lang w:eastAsia="en-GB" w:bidi="bn-IN"/>
          <w14:ligatures w14:val="none"/>
        </w:rPr>
        <w:t xml:space="preserve"> and </w:t>
      </w:r>
      <w:proofErr w:type="spellStart"/>
      <w:r w:rsidRPr="00316A73">
        <w:rPr>
          <w:rFonts w:eastAsia="Arial" w:cs="Arial"/>
          <w:color w:val="000000" w:themeColor="text1"/>
          <w:lang w:eastAsia="en-GB" w:bidi="bn-IN"/>
          <w14:ligatures w14:val="none"/>
        </w:rPr>
        <w:t>Zwanziger</w:t>
      </w:r>
      <w:proofErr w:type="spellEnd"/>
      <w:r w:rsidRPr="00316A73">
        <w:rPr>
          <w:rFonts w:eastAsia="Arial" w:cs="Arial"/>
          <w:color w:val="000000" w:themeColor="text1"/>
          <w:lang w:eastAsia="en-GB" w:bidi="bn-IN"/>
          <w14:ligatures w14:val="none"/>
        </w:rPr>
        <w:t xml:space="preserve">, 2025). According to Reed et al. (2019), ICD-11 has been intended to be useful to the clinic and be used worldwide and, thus, the entries are based on fewer features. </w:t>
      </w:r>
      <w:proofErr w:type="spellStart"/>
      <w:r w:rsidRPr="00316A73">
        <w:rPr>
          <w:rFonts w:eastAsia="Arial" w:cs="Arial"/>
          <w:color w:val="000000" w:themeColor="text1"/>
          <w:lang w:eastAsia="en-GB" w:bidi="bn-IN"/>
          <w14:ligatures w14:val="none"/>
        </w:rPr>
        <w:t>Domschke</w:t>
      </w:r>
      <w:proofErr w:type="spellEnd"/>
      <w:r w:rsidRPr="00316A73">
        <w:rPr>
          <w:rFonts w:eastAsia="Arial" w:cs="Arial"/>
          <w:color w:val="000000" w:themeColor="text1"/>
          <w:lang w:eastAsia="en-GB" w:bidi="bn-IN"/>
          <w14:ligatures w14:val="none"/>
        </w:rPr>
        <w:t xml:space="preserve"> and </w:t>
      </w:r>
      <w:proofErr w:type="spellStart"/>
      <w:r w:rsidRPr="00316A73">
        <w:rPr>
          <w:rFonts w:eastAsia="Arial" w:cs="Arial"/>
          <w:color w:val="000000" w:themeColor="text1"/>
          <w:lang w:eastAsia="en-GB" w:bidi="bn-IN"/>
          <w14:ligatures w14:val="none"/>
        </w:rPr>
        <w:t>Zwanziger</w:t>
      </w:r>
      <w:proofErr w:type="spellEnd"/>
      <w:r w:rsidRPr="00316A73">
        <w:rPr>
          <w:rFonts w:eastAsia="Arial" w:cs="Arial"/>
          <w:color w:val="000000" w:themeColor="text1"/>
          <w:lang w:eastAsia="en-GB" w:bidi="bn-IN"/>
          <w14:ligatures w14:val="none"/>
        </w:rPr>
        <w:t xml:space="preserve"> (2025) further note that the rename eliminated the previous minimum number of symptoms and identification of culture specific presentations. Gaebel et al. (2020) overview the entire changes in the chapter.</w:t>
      </w:r>
    </w:p>
    <w:p w14:paraId="2FF8B1FC" w14:textId="1405C115"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 xml:space="preserve">It is phrased in a manner that conveys the understanding of the condition. Its use of the term disorder is a clinical limit with impairment, where expenditures are funded but where the individual is described as unwell, as well. This term is used instead of the term phobia, indicating irrational fear of a single object (Fell, </w:t>
      </w:r>
      <w:proofErr w:type="spellStart"/>
      <w:r w:rsidRPr="00316A73">
        <w:rPr>
          <w:rFonts w:eastAsia="Arial" w:cs="Arial"/>
          <w:color w:val="000000" w:themeColor="text1"/>
          <w:lang w:eastAsia="en-GB" w:bidi="bn-IN"/>
          <w14:ligatures w14:val="none"/>
        </w:rPr>
        <w:t>Chaieb</w:t>
      </w:r>
      <w:proofErr w:type="spellEnd"/>
      <w:r w:rsidRPr="00316A73">
        <w:rPr>
          <w:rFonts w:eastAsia="Arial" w:cs="Arial"/>
          <w:color w:val="000000" w:themeColor="text1"/>
          <w:lang w:eastAsia="en-GB" w:bidi="bn-IN"/>
          <w14:ligatures w14:val="none"/>
        </w:rPr>
        <w:t xml:space="preserve"> and Hoppe, 2023). Anxiety rather refers to a normal feeling, which fluctuates in intensity thereby suggesting a range. When a label includes a broader anxiety, it can help to absolve an individual; nonetheless, it can also make the disorder seem less serious. Such less dramatic tone may slow down the seeking of help among individuals who have severe impairment. ICD-11 does not imply any </w:t>
      </w:r>
      <w:r w:rsidR="00C527E1" w:rsidRPr="00316A73">
        <w:rPr>
          <w:rFonts w:eastAsia="Arial" w:cs="Arial"/>
          <w:color w:val="000000" w:themeColor="text1"/>
          <w:lang w:eastAsia="en-GB" w:bidi="bn-IN"/>
          <w14:ligatures w14:val="none"/>
        </w:rPr>
        <w:t>illness;</w:t>
      </w:r>
      <w:r w:rsidRPr="00316A73">
        <w:rPr>
          <w:rFonts w:eastAsia="Arial" w:cs="Arial"/>
          <w:color w:val="000000" w:themeColor="text1"/>
          <w:lang w:eastAsia="en-GB" w:bidi="bn-IN"/>
          <w14:ligatures w14:val="none"/>
        </w:rPr>
        <w:t xml:space="preserve"> thus it describes the condition as a specified pattern of symptoms (</w:t>
      </w:r>
      <w:proofErr w:type="spellStart"/>
      <w:r w:rsidRPr="00316A73">
        <w:rPr>
          <w:rFonts w:eastAsia="Arial" w:cs="Arial"/>
          <w:color w:val="000000" w:themeColor="text1"/>
          <w:lang w:eastAsia="en-GB" w:bidi="bn-IN"/>
          <w14:ligatures w14:val="none"/>
        </w:rPr>
        <w:t>Domschke</w:t>
      </w:r>
      <w:proofErr w:type="spellEnd"/>
      <w:r w:rsidRPr="00316A73">
        <w:rPr>
          <w:rFonts w:eastAsia="Arial" w:cs="Arial"/>
          <w:color w:val="000000" w:themeColor="text1"/>
          <w:lang w:eastAsia="en-GB" w:bidi="bn-IN"/>
          <w14:ligatures w14:val="none"/>
        </w:rPr>
        <w:t xml:space="preserve"> and </w:t>
      </w:r>
      <w:proofErr w:type="spellStart"/>
      <w:r w:rsidRPr="00316A73">
        <w:rPr>
          <w:rFonts w:eastAsia="Arial" w:cs="Arial"/>
          <w:color w:val="000000" w:themeColor="text1"/>
          <w:lang w:eastAsia="en-GB" w:bidi="bn-IN"/>
          <w14:ligatures w14:val="none"/>
        </w:rPr>
        <w:t>Zwanziger</w:t>
      </w:r>
      <w:proofErr w:type="spellEnd"/>
      <w:r w:rsidRPr="00316A73">
        <w:rPr>
          <w:rFonts w:eastAsia="Arial" w:cs="Arial"/>
          <w:color w:val="000000" w:themeColor="text1"/>
          <w:lang w:eastAsia="en-GB" w:bidi="bn-IN"/>
          <w14:ligatures w14:val="none"/>
        </w:rPr>
        <w:t>, 2025).</w:t>
      </w:r>
    </w:p>
    <w:p w14:paraId="0CDDCCD7" w14:textId="72D0D866" w:rsidR="00575246" w:rsidRPr="00316A73" w:rsidRDefault="00F63562" w:rsidP="00B232C4">
      <w:pPr>
        <w:rPr>
          <w:color w:val="000000" w:themeColor="text1"/>
          <w:lang w:eastAsia="en-GB" w:bidi="bn-IN"/>
        </w:rPr>
      </w:pPr>
      <w:r w:rsidRPr="00316A73">
        <w:rPr>
          <w:color w:val="000000" w:themeColor="text1"/>
          <w:lang w:eastAsia="en-GB" w:bidi="bn-IN"/>
        </w:rPr>
        <w:t>Abrams (2016) opposes the medical model that attributes the issue to the individual, and the social model that attributes the issue to obstacles. Curnow et al. (2023) use a neurodiversity-sensitive perspective and suggest that labels obscure the fact that environments make autistic individuals experience distress. Guidance books spell out optimal usage and, therefore, implementation might still be different than what is written.</w:t>
      </w:r>
    </w:p>
    <w:p w14:paraId="34080D2A" w14:textId="77777777" w:rsidR="00575246" w:rsidRPr="00316A73" w:rsidRDefault="00575246" w:rsidP="00B232C4">
      <w:pPr>
        <w:pStyle w:val="Heading1"/>
        <w:rPr>
          <w:rFonts w:eastAsia="Arial"/>
          <w:color w:val="000000" w:themeColor="text1"/>
          <w:lang w:eastAsia="en-GB" w:bidi="bn-IN"/>
        </w:rPr>
      </w:pPr>
      <w:bookmarkStart w:id="2" w:name="_Toc241779734"/>
      <w:r w:rsidRPr="00316A73">
        <w:rPr>
          <w:rFonts w:eastAsia="Arial"/>
          <w:color w:val="000000" w:themeColor="text1"/>
          <w:lang w:eastAsia="en-GB" w:bidi="bn-IN"/>
        </w:rPr>
        <w:t xml:space="preserve">3. </w:t>
      </w:r>
      <w:r w:rsidRPr="00B361D9">
        <w:rPr>
          <w:rFonts w:eastAsia="Arial"/>
          <w:color w:val="000000" w:themeColor="text1"/>
          <w:u w:val="single"/>
          <w:lang w:eastAsia="en-GB" w:bidi="bn-IN"/>
        </w:rPr>
        <w:t>Diagnosis: criteria and process</w:t>
      </w:r>
      <w:bookmarkEnd w:id="2"/>
    </w:p>
    <w:p w14:paraId="654681A3"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 ICD-11 defines social anxiety as a disorder with a succinct set of characteristics. The characteristics are the marked and consistent fear or anxiety during social situations, and fear of negative evaluation. These situations involve suffering and avoidance by patients leaving them severely impaired. The symptoms have to persist at least over several months and cannot be posed by other disorder (Reed et al., 2019). WHO (2024) distinguishes the disorder itself and normal shyness by means of impairment, which makes the test more of a functional than a personality assessment.</w:t>
      </w:r>
    </w:p>
    <w:p w14:paraId="5CE8416D"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NICE (2015) CG159 is now 11 years old and predates ICD-11. It recommends that clinicians should initially inquire about fear and avoidance. Assessors then screen distress and impairment and they screen other conditions. There are such common tools as the Mini-spin and the Liebowitz Social Anxiety Scale. These measures are based on self-report that is a measure of culture and insight. According to Reed et al. (2019), ICD-11 retains most entries in the form of yes or no choices. A patient slightly under the line can therefore not get any care.</w:t>
      </w:r>
    </w:p>
    <w:p w14:paraId="11C6209F" w14:textId="5CC877CE" w:rsidR="00575246"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 xml:space="preserve">The overlap of autism causes a second problem, and herein the reason is due to diagnostic overshadowing. Diagnostic overshadowing is when a clinician attributes new symptoms of a known diagnoses and leaves out another (Hallyburton, 2022). The range of the methods differences is seen in the finding of the anxiety rates in autistic adults between 10% and 54% by Curnow et al. (2023). Da Silva and colleagues (2025) include in those autistic adults the association of anxiety with sensory stress and exclusion. The criteria are thus appropriate to definite behaviours and orientation about functionality. They cannot be relied on by the clinician since vague duration, </w:t>
      </w:r>
      <w:r w:rsidR="00471979" w:rsidRPr="00316A73">
        <w:rPr>
          <w:rFonts w:eastAsia="Arial" w:cs="Arial"/>
          <w:color w:val="000000" w:themeColor="text1"/>
          <w:lang w:eastAsia="en-GB" w:bidi="bn-IN"/>
          <w14:ligatures w14:val="none"/>
        </w:rPr>
        <w:t>self-report</w:t>
      </w:r>
      <w:r w:rsidRPr="00316A73">
        <w:rPr>
          <w:rFonts w:eastAsia="Arial" w:cs="Arial"/>
          <w:color w:val="000000" w:themeColor="text1"/>
          <w:lang w:eastAsia="en-GB" w:bidi="bn-IN"/>
          <w14:ligatures w14:val="none"/>
        </w:rPr>
        <w:t xml:space="preserve"> and autism overlap all require judgement.</w:t>
      </w:r>
    </w:p>
    <w:p w14:paraId="78DE1F5E" w14:textId="77777777" w:rsidR="00575246" w:rsidRPr="00B361D9" w:rsidRDefault="00575246" w:rsidP="00B232C4">
      <w:pPr>
        <w:pStyle w:val="Heading1"/>
        <w:rPr>
          <w:rFonts w:eastAsia="Arial"/>
          <w:color w:val="000000" w:themeColor="text1"/>
          <w:u w:val="single"/>
          <w:lang w:eastAsia="en-GB" w:bidi="bn-IN"/>
        </w:rPr>
      </w:pPr>
      <w:bookmarkStart w:id="3" w:name="_Toc241779735"/>
      <w:r w:rsidRPr="00316A73">
        <w:rPr>
          <w:rFonts w:eastAsia="Arial"/>
          <w:color w:val="000000" w:themeColor="text1"/>
          <w:lang w:eastAsia="en-GB" w:bidi="bn-IN"/>
        </w:rPr>
        <w:t xml:space="preserve">4. </w:t>
      </w:r>
      <w:r w:rsidRPr="00B361D9">
        <w:rPr>
          <w:rFonts w:eastAsia="Arial"/>
          <w:color w:val="000000" w:themeColor="text1"/>
          <w:u w:val="single"/>
          <w:lang w:eastAsia="en-GB" w:bidi="bn-IN"/>
        </w:rPr>
        <w:t>Standard treatment: use, evidence and limits</w:t>
      </w:r>
      <w:bookmarkEnd w:id="3"/>
    </w:p>
    <w:p w14:paraId="58F09172"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 xml:space="preserve">NICE (2015) CG159 puts psychological therapy first in its recommendations for adults. It </w:t>
      </w:r>
      <w:proofErr w:type="spellStart"/>
      <w:r w:rsidRPr="00316A73">
        <w:rPr>
          <w:rFonts w:eastAsia="Arial" w:cs="Arial"/>
          <w:color w:val="000000" w:themeColor="text1"/>
          <w:lang w:eastAsia="en-GB" w:bidi="bn-IN"/>
          <w14:ligatures w14:val="none"/>
        </w:rPr>
        <w:t>favors</w:t>
      </w:r>
      <w:proofErr w:type="spellEnd"/>
      <w:r w:rsidRPr="00316A73">
        <w:rPr>
          <w:rFonts w:eastAsia="Arial" w:cs="Arial"/>
          <w:color w:val="000000" w:themeColor="text1"/>
          <w:lang w:eastAsia="en-GB" w:bidi="bn-IN"/>
          <w14:ligatures w14:val="none"/>
        </w:rPr>
        <w:t xml:space="preserve"> individual CBT that is based on the Clark and Wells or Heimberg models and has some choice of supported self-help. It identifies escitalopram and sertraline as the first-choice drugs, which are SSRIs, and are medications that increase the amount of serotonin in the brain. This gives the reason why CBT is successful in this disorder as explained by Clark and Wells (1995). The belief in anxious behaviour is kept on by self-focused attention and safety behaviours, thus making the events of the behavioural tests to the therapy.</w:t>
      </w:r>
    </w:p>
    <w:p w14:paraId="2008A339"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 recent evidence embraces CBT, but it has significant limitations. Xiong et al. (2026) combined 104 studies of 10,708 individuals and placed CBT at the top of the list (standardised mean difference -0.80). They however rated certainty of the evidence as mostly low to moderate. The highest ranking indicates which treatment performed the best in the combined information, but does not imply that the estimate is safe. Low certainty implies that the actual effect may be different thus the direction rather than size of the effect should be relied upon by the clinicians.</w:t>
      </w:r>
    </w:p>
    <w:p w14:paraId="066A8F43"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Reasonably enough, Mayo-Wilson et al. (2014) arrived at such a conclusion and discovered that individual CBT was more effective than other alternatives tested. The comparison of numerous treatments simultaneously in their network meta-analysis, which is appropriate to this question. I think that medicine should be used in cases where there is treatment to be performed although therapy is done second in NICE (2015).</w:t>
      </w:r>
    </w:p>
    <w:p w14:paraId="4106B0BE" w14:textId="154DFE42"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 format of delivery also is important since it modifies access to treatment. Winter et al. (2023) were able to pool 31 studies and discovered that remote CBT was as effective as face-to-face therapy. No difference was reali</w:t>
      </w:r>
      <w:r w:rsidR="0061163B" w:rsidRPr="00316A73">
        <w:rPr>
          <w:rFonts w:eastAsia="Arial" w:cs="Arial"/>
          <w:color w:val="000000" w:themeColor="text1"/>
          <w:lang w:eastAsia="en-GB" w:bidi="bn-IN"/>
          <w14:ligatures w14:val="none"/>
        </w:rPr>
        <w:t>s</w:t>
      </w:r>
      <w:r w:rsidRPr="00316A73">
        <w:rPr>
          <w:rFonts w:eastAsia="Arial" w:cs="Arial"/>
          <w:color w:val="000000" w:themeColor="text1"/>
          <w:lang w:eastAsia="en-GB" w:bidi="bn-IN"/>
          <w14:ligatures w14:val="none"/>
        </w:rPr>
        <w:t>ed between remote, individual and group formats according to the findings of Hall et al. (2025). Then in a small trial, Winter et al. (2025) found that 57% of participants had ceased to meet the diagnostic criteria, following videoconference CBT.</w:t>
      </w:r>
    </w:p>
    <w:p w14:paraId="4FF13D44" w14:textId="38B733BA" w:rsidR="00575246"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Discuss an imaginary adult who experiences social anxiety, low mood and a long wait. Video therapy would perhaps reduce the wait and maybe trial evidence shows that to be a wise choice. It might not work when the individual does not have his own space, or when the low mood dampens interest. According to NHS England Digital (2026), the overall recovery rate of Talking Therapies is 50.5%. That number is merely a rough stanza, as it does not refer to the social anxiety outcomes.</w:t>
      </w:r>
    </w:p>
    <w:p w14:paraId="74C82E72" w14:textId="77777777" w:rsidR="00575246" w:rsidRPr="00B9118B" w:rsidRDefault="00575246" w:rsidP="00B232C4">
      <w:pPr>
        <w:pStyle w:val="Heading1"/>
        <w:rPr>
          <w:rFonts w:eastAsia="Arial"/>
          <w:color w:val="000000" w:themeColor="text1"/>
          <w:u w:val="single"/>
          <w:lang w:eastAsia="en-GB" w:bidi="bn-IN"/>
        </w:rPr>
      </w:pPr>
      <w:bookmarkStart w:id="4" w:name="_Toc241779736"/>
      <w:r w:rsidRPr="00316A73">
        <w:rPr>
          <w:rFonts w:eastAsia="Arial"/>
          <w:color w:val="000000" w:themeColor="text1"/>
          <w:lang w:eastAsia="en-GB" w:bidi="bn-IN"/>
        </w:rPr>
        <w:t xml:space="preserve">5. </w:t>
      </w:r>
      <w:r w:rsidRPr="00B9118B">
        <w:rPr>
          <w:rFonts w:eastAsia="Arial"/>
          <w:color w:val="000000" w:themeColor="text1"/>
          <w:u w:val="single"/>
          <w:lang w:eastAsia="en-GB" w:bidi="bn-IN"/>
        </w:rPr>
        <w:t>Rehabilitation and provision, then and now</w:t>
      </w:r>
      <w:bookmarkEnd w:id="4"/>
    </w:p>
    <w:p w14:paraId="1A2BF5F8" w14:textId="3F07E595"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 xml:space="preserve">ICD-11 links diagnosis to loss of functioning in everyday life hence recovery will involve improved functioning and reduction of symptoms. WHO (2010) provides WHODAS 2.0 as an associated measure of </w:t>
      </w:r>
      <w:r w:rsidR="00471979" w:rsidRPr="00316A73">
        <w:rPr>
          <w:rFonts w:eastAsia="Arial" w:cs="Arial"/>
          <w:color w:val="000000" w:themeColor="text1"/>
          <w:lang w:eastAsia="en-GB" w:bidi="bn-IN"/>
          <w14:ligatures w14:val="none"/>
        </w:rPr>
        <w:t>function,</w:t>
      </w:r>
      <w:r w:rsidRPr="00316A73">
        <w:rPr>
          <w:rFonts w:eastAsia="Arial" w:cs="Arial"/>
          <w:color w:val="000000" w:themeColor="text1"/>
          <w:lang w:eastAsia="en-GB" w:bidi="bn-IN"/>
          <w14:ligatures w14:val="none"/>
        </w:rPr>
        <w:t xml:space="preserve"> but it does not fall within but adjacent to the diagnosis.</w:t>
      </w:r>
    </w:p>
    <w:p w14:paraId="2387F245" w14:textId="1C268C56"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History describes the contemporary model since the priorities of the model were informed by previous provision. In 1980, DSMI defined social phobia, a time when speciali</w:t>
      </w:r>
      <w:r w:rsidR="0061163B" w:rsidRPr="00316A73">
        <w:rPr>
          <w:rFonts w:eastAsia="Arial" w:cs="Arial"/>
          <w:color w:val="000000" w:themeColor="text1"/>
          <w:lang w:eastAsia="en-GB" w:bidi="bn-IN"/>
          <w14:ligatures w14:val="none"/>
        </w:rPr>
        <w:t>s</w:t>
      </w:r>
      <w:r w:rsidRPr="00316A73">
        <w:rPr>
          <w:rFonts w:eastAsia="Arial" w:cs="Arial"/>
          <w:color w:val="000000" w:themeColor="text1"/>
          <w:lang w:eastAsia="en-GB" w:bidi="bn-IN"/>
          <w14:ligatures w14:val="none"/>
        </w:rPr>
        <w:t xml:space="preserve">ed speaking therapy was scarce (Clark et al., 2017). IAPT started in 2008 and expanded into NHS Talking Therapies. The previous provisions restrictions developed a model that values volume and speed. That expansion provided most adults with an initial access to CBT, yet it brought speed and recovery rates to the forefront of success. Adults who experience mild or moderate symptoms will experience the greatest benefits, whereas those with complex needs could lose out when it comes to short courses that do not suit (NHS England, 2019). </w:t>
      </w:r>
    </w:p>
    <w:p w14:paraId="25AC4745" w14:textId="3165FABA" w:rsidR="00575246"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Urpi et al. (2019) define recovery as oneness, hope, identity, meaning and empowerment. Nawaz et al. (2026) attribute such perception to practice and suggest post-recovery monitoring and evident exit routes. According to NHS England Digital (2025), 1.81 million referrals can be observed, 91.6% of which are seen within six weeks and 50.5% recovered. I did not miss much evidence of rehabilitation which related to social anxiety, and any absence of that is a result in itself.</w:t>
      </w:r>
    </w:p>
    <w:p w14:paraId="5D36EEDE" w14:textId="77777777" w:rsidR="00575246" w:rsidRPr="00B9118B" w:rsidRDefault="00575246" w:rsidP="00B232C4">
      <w:pPr>
        <w:pStyle w:val="Heading1"/>
        <w:rPr>
          <w:rFonts w:eastAsia="Arial"/>
          <w:color w:val="000000" w:themeColor="text1"/>
          <w:u w:val="single"/>
          <w:lang w:eastAsia="en-GB" w:bidi="bn-IN"/>
        </w:rPr>
      </w:pPr>
      <w:bookmarkStart w:id="5" w:name="_Toc241779737"/>
      <w:r w:rsidRPr="00316A73">
        <w:rPr>
          <w:rFonts w:eastAsia="Arial"/>
          <w:color w:val="000000" w:themeColor="text1"/>
          <w:lang w:eastAsia="en-GB" w:bidi="bn-IN"/>
        </w:rPr>
        <w:t xml:space="preserve">6. </w:t>
      </w:r>
      <w:r w:rsidRPr="00B9118B">
        <w:rPr>
          <w:rFonts w:eastAsia="Arial"/>
          <w:color w:val="000000" w:themeColor="text1"/>
          <w:u w:val="single"/>
          <w:lang w:eastAsia="en-GB" w:bidi="bn-IN"/>
        </w:rPr>
        <w:t>Current debates: neurodivergence, reclassification and impact</w:t>
      </w:r>
      <w:bookmarkEnd w:id="5"/>
    </w:p>
    <w:p w14:paraId="2660EDE7" w14:textId="4F9032ED"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 first discussion revolves around thresholds and questions whether medicalising common shyness. According to critics, the broad generali</w:t>
      </w:r>
      <w:r w:rsidR="00116E16" w:rsidRPr="00316A73">
        <w:rPr>
          <w:rFonts w:eastAsia="Arial" w:cs="Arial"/>
          <w:color w:val="000000" w:themeColor="text1"/>
          <w:lang w:eastAsia="en-GB" w:bidi="bn-IN"/>
          <w14:ligatures w14:val="none"/>
        </w:rPr>
        <w:t>s</w:t>
      </w:r>
      <w:r w:rsidRPr="00316A73">
        <w:rPr>
          <w:rFonts w:eastAsia="Arial" w:cs="Arial"/>
          <w:color w:val="000000" w:themeColor="text1"/>
          <w:lang w:eastAsia="en-GB" w:bidi="bn-IN"/>
          <w14:ligatures w14:val="none"/>
        </w:rPr>
        <w:t xml:space="preserve">ation makes shyness, perceived as normal, a disease. Grover, </w:t>
      </w:r>
      <w:proofErr w:type="spellStart"/>
      <w:r w:rsidRPr="00316A73">
        <w:rPr>
          <w:rFonts w:eastAsia="Arial" w:cs="Arial"/>
          <w:color w:val="000000" w:themeColor="text1"/>
          <w:lang w:eastAsia="en-GB" w:bidi="bn-IN"/>
          <w14:ligatures w14:val="none"/>
        </w:rPr>
        <w:t>Shouan</w:t>
      </w:r>
      <w:proofErr w:type="spellEnd"/>
      <w:r w:rsidRPr="00316A73">
        <w:rPr>
          <w:rFonts w:eastAsia="Arial" w:cs="Arial"/>
          <w:color w:val="000000" w:themeColor="text1"/>
          <w:lang w:eastAsia="en-GB" w:bidi="bn-IN"/>
          <w14:ligatures w14:val="none"/>
        </w:rPr>
        <w:t xml:space="preserve"> and </w:t>
      </w:r>
      <w:proofErr w:type="spellStart"/>
      <w:r w:rsidRPr="00316A73">
        <w:rPr>
          <w:rFonts w:eastAsia="Arial" w:cs="Arial"/>
          <w:color w:val="000000" w:themeColor="text1"/>
          <w:lang w:eastAsia="en-GB" w:bidi="bn-IN"/>
          <w14:ligatures w14:val="none"/>
        </w:rPr>
        <w:t>Sahoo</w:t>
      </w:r>
      <w:proofErr w:type="spellEnd"/>
      <w:r w:rsidRPr="00316A73">
        <w:rPr>
          <w:rFonts w:eastAsia="Arial" w:cs="Arial"/>
          <w:color w:val="000000" w:themeColor="text1"/>
          <w:lang w:eastAsia="en-GB" w:bidi="bn-IN"/>
          <w14:ligatures w14:val="none"/>
        </w:rPr>
        <w:t xml:space="preserve"> (2020) demonstrates the ability of labels to provoke stigma, which is discouraging due to seeking care. Advocates respond that an official diagnosis provides access to an otherwise funded treatment to individuals whose impairment does exist. The informed opinion is real on both sides since the at least several months wording is not clear. The previous minimum number of symptoms has disappeared, making the threshold more a matter of clinical judgement (</w:t>
      </w:r>
      <w:proofErr w:type="spellStart"/>
      <w:r w:rsidRPr="00316A73">
        <w:rPr>
          <w:rFonts w:eastAsia="Arial" w:cs="Arial"/>
          <w:color w:val="000000" w:themeColor="text1"/>
          <w:lang w:eastAsia="en-GB" w:bidi="bn-IN"/>
          <w14:ligatures w14:val="none"/>
        </w:rPr>
        <w:t>Domschke</w:t>
      </w:r>
      <w:proofErr w:type="spellEnd"/>
      <w:r w:rsidRPr="00316A73">
        <w:rPr>
          <w:rFonts w:eastAsia="Arial" w:cs="Arial"/>
          <w:color w:val="000000" w:themeColor="text1"/>
          <w:lang w:eastAsia="en-GB" w:bidi="bn-IN"/>
          <w14:ligatures w14:val="none"/>
        </w:rPr>
        <w:t xml:space="preserve"> and </w:t>
      </w:r>
      <w:proofErr w:type="spellStart"/>
      <w:r w:rsidRPr="00316A73">
        <w:rPr>
          <w:rFonts w:eastAsia="Arial" w:cs="Arial"/>
          <w:color w:val="000000" w:themeColor="text1"/>
          <w:lang w:eastAsia="en-GB" w:bidi="bn-IN"/>
          <w14:ligatures w14:val="none"/>
        </w:rPr>
        <w:t>Zwanziger</w:t>
      </w:r>
      <w:proofErr w:type="spellEnd"/>
      <w:r w:rsidRPr="00316A73">
        <w:rPr>
          <w:rFonts w:eastAsia="Arial" w:cs="Arial"/>
          <w:color w:val="000000" w:themeColor="text1"/>
          <w:lang w:eastAsia="en-GB" w:bidi="bn-IN"/>
          <w14:ligatures w14:val="none"/>
        </w:rPr>
        <w:t>, 2025).</w:t>
      </w:r>
    </w:p>
    <w:p w14:paraId="6F938BE2"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 second debate is related to autism overlap, as social anxiety can be mistakenly understood as an autism. Equally, when the apparent distress is attributed to anxiety, autism might remain invisible. This decision is important as the ICD-11 rule precludes the explanation of symptoms as a consequence of another disorder. Torices Callejo et al. (2025) combined 13 cohorts and discovered that there was no statistically significant connection between anxiety and autistic traits. The level of variation between studies was extremely high, thus restricting solid conclusions. According to Curnow et al. (2023), there were anxiety rates that ranged between 10% and 54% indicating weak and mixed methods.</w:t>
      </w:r>
    </w:p>
    <w:p w14:paraId="0A6A5C8F"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 third controversy is related to neurodiversity-based care and its objectives. Curnow et al. (2023) evaluated 32 reviews, with none of the interventions found to be evidence based. They claim that a great number of strategies force neuro-normality rather than minimise distress. The reasoning, provided by Abrams (2016), is that the distress arising due to the barriers makes the person to be trained to fit them turn the problem around. The conflicting argument is that CBT can benefit many autistic adults provided that clinicians make changes to it. The evidence can most strongly endorse that perspective, since no review achieved an evidence-based rating.</w:t>
      </w:r>
    </w:p>
    <w:p w14:paraId="093FECE7" w14:textId="5CA6724D" w:rsidR="00575246"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 xml:space="preserve">These controversies transform everyday practice since it takes time to conduct assessments to make the distinction between the anxiety and autism. This period increases the wait lists unless it is financed by services securing longer appointments. NICE (2015) CG159 is older than ICD-11, which impacts guidance and classification. Reed et al. (2019) and Gaebel et al. (2020) demonstrate that reclassification can be used to assist clinicians. The financing then determines whether that objective the target patients. Rational individuals will vary by the fact that parties have got a genuine danger of either omitted care or unnecessary </w:t>
      </w:r>
      <w:r w:rsidR="009B60F1" w:rsidRPr="00316A73">
        <w:rPr>
          <w:rFonts w:eastAsia="Arial" w:cs="Arial"/>
          <w:color w:val="000000" w:themeColor="text1"/>
          <w:lang w:eastAsia="en-GB" w:bidi="bn-IN"/>
          <w14:ligatures w14:val="none"/>
        </w:rPr>
        <w:t>labelling</w:t>
      </w:r>
      <w:r w:rsidRPr="00316A73">
        <w:rPr>
          <w:rFonts w:eastAsia="Arial" w:cs="Arial"/>
          <w:color w:val="000000" w:themeColor="text1"/>
          <w:lang w:eastAsia="en-GB" w:bidi="bn-IN"/>
          <w14:ligatures w14:val="none"/>
        </w:rPr>
        <w:t>. Keeping the diagnosis and modifying assessment and treatment of the autistic adults has the strongest evidence.</w:t>
      </w:r>
    </w:p>
    <w:p w14:paraId="74701110" w14:textId="77777777" w:rsidR="00575246" w:rsidRPr="00316A73" w:rsidRDefault="00575246" w:rsidP="00B232C4">
      <w:pPr>
        <w:pStyle w:val="Heading1"/>
        <w:rPr>
          <w:rFonts w:eastAsia="Arial"/>
          <w:color w:val="000000" w:themeColor="text1"/>
          <w:lang w:eastAsia="en-GB" w:bidi="bn-IN"/>
        </w:rPr>
      </w:pPr>
      <w:bookmarkStart w:id="6" w:name="_Toc241779738"/>
      <w:r w:rsidRPr="00316A73">
        <w:rPr>
          <w:rFonts w:eastAsia="Arial"/>
          <w:color w:val="000000" w:themeColor="text1"/>
          <w:lang w:eastAsia="en-GB" w:bidi="bn-IN"/>
        </w:rPr>
        <w:t xml:space="preserve">7. </w:t>
      </w:r>
      <w:r w:rsidRPr="00B9118B">
        <w:rPr>
          <w:rFonts w:eastAsia="Arial"/>
          <w:color w:val="000000" w:themeColor="text1"/>
          <w:u w:val="single"/>
          <w:lang w:eastAsia="en-GB" w:bidi="bn-IN"/>
        </w:rPr>
        <w:t>Recommendations and implications</w:t>
      </w:r>
      <w:bookmarkEnd w:id="6"/>
    </w:p>
    <w:p w14:paraId="4B6F123B"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There are four changes/evidence that come out of the evidence and they are ranked in the following order of most realistic. First, social anxiety outcomes must be reported separately as a part of national Talking Therapies data, since they are overshadowed by the general recovery rate. This is not expensive, although there is a risk of inconsistent coding. To practice it has more definite goals, and to policy it dictates funds. Researchers were also able to make comparisons of the outcomes of social anxiety in the services.</w:t>
      </w:r>
    </w:p>
    <w:p w14:paraId="7F1B2E62"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Second, NICE ought to update CG159 to incorporate ICD-11 and the evidence of remote-delivery in Winter et al. (2023). The price is a grading review that is slow and costly. It would provide more consistency in the opinions given in practice and leave research with clear and open questions.</w:t>
      </w:r>
    </w:p>
    <w:p w14:paraId="50CF5458" w14:textId="77777777" w:rsidR="00F63562"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Third, the services must include scheduled relapse prevention and return-to-work/study support, as per Nawaz et al. (2026). The staff time requires financing and that is the primary risk. There is permanent recovery of patients, and policy accrues a broader spectrum of success. This is also the connection of care with ICD-11 emphasis on daily functioning.</w:t>
      </w:r>
    </w:p>
    <w:p w14:paraId="4F628420" w14:textId="3CE39FCB" w:rsidR="00575246" w:rsidRPr="00316A73" w:rsidRDefault="00F63562" w:rsidP="00F63562">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Fourth, the assessment and CBT ought to be co-created with autistic adults, and put to the test, responding to a gap in Curnow et al. (2023). This is a change that is the most difficult as it requires a period of training, and lax criteria might increase over-diagnosis. Most importantly, though, it is important to research and equity.</w:t>
      </w:r>
    </w:p>
    <w:p w14:paraId="1173A621" w14:textId="77777777" w:rsidR="00575246" w:rsidRPr="00316A73" w:rsidRDefault="00575246" w:rsidP="00B232C4">
      <w:pPr>
        <w:pStyle w:val="Heading1"/>
        <w:rPr>
          <w:rFonts w:eastAsia="Arial"/>
          <w:color w:val="000000" w:themeColor="text1"/>
          <w:lang w:eastAsia="en-GB" w:bidi="bn-IN"/>
        </w:rPr>
      </w:pPr>
      <w:bookmarkStart w:id="7" w:name="_Toc241779739"/>
      <w:r w:rsidRPr="00316A73">
        <w:rPr>
          <w:rFonts w:eastAsia="Arial"/>
          <w:color w:val="000000" w:themeColor="text1"/>
          <w:lang w:eastAsia="en-GB" w:bidi="bn-IN"/>
        </w:rPr>
        <w:t xml:space="preserve">8. </w:t>
      </w:r>
      <w:r w:rsidRPr="00FE504D">
        <w:rPr>
          <w:rFonts w:eastAsia="Arial"/>
          <w:color w:val="000000" w:themeColor="text1"/>
          <w:u w:val="single"/>
          <w:lang w:eastAsia="en-GB" w:bidi="bn-IN"/>
        </w:rPr>
        <w:t>Conclusion</w:t>
      </w:r>
      <w:bookmarkEnd w:id="7"/>
    </w:p>
    <w:p w14:paraId="1CB9060C" w14:textId="0F669D6C" w:rsidR="00575246" w:rsidRPr="00316A73" w:rsidRDefault="00F63562" w:rsidP="00575246">
      <w:pPr>
        <w:spacing w:after="140"/>
        <w:rPr>
          <w:rFonts w:eastAsia="Arial" w:cs="Arial"/>
          <w:color w:val="000000" w:themeColor="text1"/>
          <w:lang w:eastAsia="en-GB" w:bidi="bn-IN"/>
          <w14:ligatures w14:val="none"/>
        </w:rPr>
      </w:pPr>
      <w:r w:rsidRPr="00316A73">
        <w:rPr>
          <w:rFonts w:eastAsia="Arial" w:cs="Arial"/>
          <w:color w:val="000000" w:themeColor="text1"/>
          <w:lang w:eastAsia="en-GB" w:bidi="bn-IN"/>
          <w14:ligatures w14:val="none"/>
        </w:rPr>
        <w:t>The thesis is partially supported by the evidence, as ICD-11 provides better criteria, and CBT has the most substantial support. Nevertheless, uncertain conditions, ambiguous thresholds and an overlapping with autism undermine belief in both. The biggest constraint will be that the majority of evidence will be based on general anxiety outcomes and limited numbers of autistic adults. Data available on fitting autistic adults is thus still tentative pending the testing of adapted therapies. The diagnosis can still be useful provided it is used carefully by clinicians.</w:t>
      </w:r>
    </w:p>
    <w:p w14:paraId="0129CDD5" w14:textId="77777777" w:rsidR="00575246" w:rsidRPr="00B9118B" w:rsidRDefault="00575246" w:rsidP="00B232C4">
      <w:pPr>
        <w:pStyle w:val="Heading1"/>
        <w:rPr>
          <w:rFonts w:eastAsia="Arial"/>
          <w:color w:val="000000" w:themeColor="text1"/>
          <w:u w:val="single"/>
          <w:lang w:eastAsia="en-GB" w:bidi="bn-IN"/>
        </w:rPr>
      </w:pPr>
      <w:bookmarkStart w:id="8" w:name="_Toc241779740"/>
      <w:r w:rsidRPr="00B9118B">
        <w:rPr>
          <w:rFonts w:eastAsia="Arial"/>
          <w:color w:val="000000" w:themeColor="text1"/>
          <w:u w:val="single"/>
          <w:lang w:eastAsia="en-GB" w:bidi="bn-IN"/>
        </w:rPr>
        <w:t>References</w:t>
      </w:r>
      <w:bookmarkEnd w:id="8"/>
    </w:p>
    <w:p w14:paraId="24515715"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Abrams, T. (2016) </w:t>
      </w:r>
      <w:r w:rsidRPr="00316A73">
        <w:rPr>
          <w:i/>
          <w:iCs/>
          <w:color w:val="000000" w:themeColor="text1"/>
          <w:lang w:eastAsia="en-GB" w:bidi="bn-IN"/>
        </w:rPr>
        <w:t>Heidegger and the politics of disablement</w:t>
      </w:r>
      <w:r w:rsidRPr="00316A73">
        <w:rPr>
          <w:color w:val="000000" w:themeColor="text1"/>
          <w:lang w:eastAsia="en-GB" w:bidi="bn-IN"/>
        </w:rPr>
        <w:t>. London: Palgrave Macmillan.</w:t>
      </w:r>
    </w:p>
    <w:p w14:paraId="5F867D05"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Clark, D.M. and Wells, A. (1995) 'A cognitive model of social phobia', in Heimberg, R.G., Liebowitz, M.R., Hope, D.A. and Schneier, F.R. (eds.) </w:t>
      </w:r>
      <w:r w:rsidRPr="00316A73">
        <w:rPr>
          <w:i/>
          <w:iCs/>
          <w:color w:val="000000" w:themeColor="text1"/>
          <w:lang w:eastAsia="en-GB" w:bidi="bn-IN"/>
        </w:rPr>
        <w:t>Social phobia: diagnosis, assessment, and treatment</w:t>
      </w:r>
      <w:r w:rsidRPr="00316A73">
        <w:rPr>
          <w:color w:val="000000" w:themeColor="text1"/>
          <w:lang w:eastAsia="en-GB" w:bidi="bn-IN"/>
        </w:rPr>
        <w:t>. New York: Guilford Press, pp. 69–93.</w:t>
      </w:r>
    </w:p>
    <w:p w14:paraId="45771217" w14:textId="77777777" w:rsidR="00DA69CC" w:rsidRPr="00316A73" w:rsidRDefault="00DA69CC" w:rsidP="00DA69CC">
      <w:pPr>
        <w:rPr>
          <w:color w:val="000000" w:themeColor="text1"/>
          <w:lang w:eastAsia="en-GB" w:bidi="bn-IN"/>
        </w:rPr>
      </w:pPr>
      <w:r w:rsidRPr="00316A73">
        <w:rPr>
          <w:color w:val="000000" w:themeColor="text1"/>
          <w:lang w:eastAsia="en-GB" w:bidi="bn-IN"/>
        </w:rPr>
        <w:t>Clark, L.A., Cuthbert, B., Lewis-Fernández, R., Narrow, W.E. and Reed, G.M. (2017) 'Three approaches to understanding and classifying mental disorder: ICD-11, DSM-5, and the National Institute of Mental Health's research domain criteria (</w:t>
      </w:r>
      <w:proofErr w:type="spellStart"/>
      <w:r w:rsidRPr="00316A73">
        <w:rPr>
          <w:color w:val="000000" w:themeColor="text1"/>
          <w:lang w:eastAsia="en-GB" w:bidi="bn-IN"/>
        </w:rPr>
        <w:t>RDoC</w:t>
      </w:r>
      <w:proofErr w:type="spellEnd"/>
      <w:r w:rsidRPr="00316A73">
        <w:rPr>
          <w:color w:val="000000" w:themeColor="text1"/>
          <w:lang w:eastAsia="en-GB" w:bidi="bn-IN"/>
        </w:rPr>
        <w:t xml:space="preserve">)', </w:t>
      </w:r>
      <w:r w:rsidRPr="00316A73">
        <w:rPr>
          <w:i/>
          <w:iCs/>
          <w:color w:val="000000" w:themeColor="text1"/>
          <w:lang w:eastAsia="en-GB" w:bidi="bn-IN"/>
        </w:rPr>
        <w:t>Psychological Science in the Public Interest</w:t>
      </w:r>
      <w:r w:rsidRPr="00316A73">
        <w:rPr>
          <w:color w:val="000000" w:themeColor="text1"/>
          <w:lang w:eastAsia="en-GB" w:bidi="bn-IN"/>
        </w:rPr>
        <w:t xml:space="preserve">, 18(2), pp. 72–145. Available at: </w:t>
      </w:r>
      <w:hyperlink r:id="rId7" w:history="1">
        <w:r w:rsidRPr="00316A73">
          <w:rPr>
            <w:rStyle w:val="Hyperlink"/>
            <w:color w:val="000000" w:themeColor="text1"/>
            <w:lang w:eastAsia="en-GB" w:bidi="bn-IN"/>
          </w:rPr>
          <w:t>https://doi.org/10.1177/1529100617727266</w:t>
        </w:r>
      </w:hyperlink>
      <w:r w:rsidRPr="00316A73">
        <w:rPr>
          <w:color w:val="000000" w:themeColor="text1"/>
          <w:lang w:eastAsia="en-GB" w:bidi="bn-IN"/>
        </w:rPr>
        <w:t xml:space="preserve"> (Accessed: 30 September 2026).</w:t>
      </w:r>
    </w:p>
    <w:p w14:paraId="03FDDE11"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Curnow, E., Rutherford, M., </w:t>
      </w:r>
      <w:proofErr w:type="spellStart"/>
      <w:r w:rsidRPr="00316A73">
        <w:rPr>
          <w:color w:val="000000" w:themeColor="text1"/>
          <w:lang w:eastAsia="en-GB" w:bidi="bn-IN"/>
        </w:rPr>
        <w:t>Maciver</w:t>
      </w:r>
      <w:proofErr w:type="spellEnd"/>
      <w:r w:rsidRPr="00316A73">
        <w:rPr>
          <w:color w:val="000000" w:themeColor="text1"/>
          <w:lang w:eastAsia="en-GB" w:bidi="bn-IN"/>
        </w:rPr>
        <w:t xml:space="preserve">, D., Johnston, L., Prior, S., Boilson, M., Shah, P.J., Jenkins, N. and Meff, T. (2023) 'Mental health in autistic adults: a rapid review of prevalence of psychiatric disorders and umbrella review of the effectiveness of interventions within a neurodiversity informed perspective', </w:t>
      </w:r>
      <w:r w:rsidRPr="00316A73">
        <w:rPr>
          <w:i/>
          <w:iCs/>
          <w:color w:val="000000" w:themeColor="text1"/>
          <w:lang w:eastAsia="en-GB" w:bidi="bn-IN"/>
        </w:rPr>
        <w:t>PLOS ONE</w:t>
      </w:r>
      <w:r w:rsidRPr="00316A73">
        <w:rPr>
          <w:color w:val="000000" w:themeColor="text1"/>
          <w:lang w:eastAsia="en-GB" w:bidi="bn-IN"/>
        </w:rPr>
        <w:t xml:space="preserve">, 18(7), e0288275. Available at: </w:t>
      </w:r>
      <w:hyperlink r:id="rId8" w:history="1">
        <w:r w:rsidRPr="00316A73">
          <w:rPr>
            <w:rStyle w:val="Hyperlink"/>
            <w:color w:val="000000" w:themeColor="text1"/>
            <w:lang w:eastAsia="en-GB" w:bidi="bn-IN"/>
          </w:rPr>
          <w:t>https://doi.org/10.1371/journal.pone.0288275</w:t>
        </w:r>
      </w:hyperlink>
      <w:r w:rsidRPr="00316A73">
        <w:rPr>
          <w:color w:val="000000" w:themeColor="text1"/>
          <w:lang w:eastAsia="en-GB" w:bidi="bn-IN"/>
        </w:rPr>
        <w:t xml:space="preserve"> (Accessed: 30 September 2026).</w:t>
      </w:r>
    </w:p>
    <w:p w14:paraId="3D3CE042"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Da Silva, A.B., Berry, E., Craig, S. and Doumas, M. (2025) 'A systematic review of autistic adults' experiences of anxiety from a qualitative perspective', </w:t>
      </w:r>
      <w:r w:rsidRPr="00316A73">
        <w:rPr>
          <w:i/>
          <w:iCs/>
          <w:color w:val="000000" w:themeColor="text1"/>
          <w:lang w:eastAsia="en-GB" w:bidi="bn-IN"/>
        </w:rPr>
        <w:t>Journal of Autism and Developmental Disorders</w:t>
      </w:r>
      <w:r w:rsidRPr="00316A73">
        <w:rPr>
          <w:color w:val="000000" w:themeColor="text1"/>
          <w:lang w:eastAsia="en-GB" w:bidi="bn-IN"/>
        </w:rPr>
        <w:t xml:space="preserve">. Available at: </w:t>
      </w:r>
      <w:hyperlink r:id="rId9" w:history="1">
        <w:r w:rsidRPr="00316A73">
          <w:rPr>
            <w:rStyle w:val="Hyperlink"/>
            <w:color w:val="000000" w:themeColor="text1"/>
            <w:lang w:eastAsia="en-GB" w:bidi="bn-IN"/>
          </w:rPr>
          <w:t>https://doi.org/10.1007/s10803-025-07025-1</w:t>
        </w:r>
      </w:hyperlink>
      <w:r w:rsidRPr="00316A73">
        <w:rPr>
          <w:color w:val="000000" w:themeColor="text1"/>
          <w:lang w:eastAsia="en-GB" w:bidi="bn-IN"/>
        </w:rPr>
        <w:t xml:space="preserve"> (Accessed: 30 September 2026).</w:t>
      </w:r>
    </w:p>
    <w:p w14:paraId="637412A6"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Domschke, K. and </w:t>
      </w:r>
      <w:proofErr w:type="spellStart"/>
      <w:r w:rsidRPr="00316A73">
        <w:rPr>
          <w:color w:val="000000" w:themeColor="text1"/>
          <w:lang w:eastAsia="en-GB" w:bidi="bn-IN"/>
        </w:rPr>
        <w:t>Zwanzger</w:t>
      </w:r>
      <w:proofErr w:type="spellEnd"/>
      <w:r w:rsidRPr="00316A73">
        <w:rPr>
          <w:color w:val="000000" w:themeColor="text1"/>
          <w:lang w:eastAsia="en-GB" w:bidi="bn-IN"/>
        </w:rPr>
        <w:t xml:space="preserve">, P. (2025) 'Taxonomy of anxiety disorders: a comparison of ICD-10 and ICD-11', </w:t>
      </w:r>
      <w:r w:rsidRPr="00316A73">
        <w:rPr>
          <w:i/>
          <w:iCs/>
          <w:color w:val="000000" w:themeColor="text1"/>
          <w:lang w:eastAsia="en-GB" w:bidi="bn-IN"/>
        </w:rPr>
        <w:t xml:space="preserve">Der </w:t>
      </w:r>
      <w:proofErr w:type="spellStart"/>
      <w:r w:rsidRPr="00316A73">
        <w:rPr>
          <w:i/>
          <w:iCs/>
          <w:color w:val="000000" w:themeColor="text1"/>
          <w:lang w:eastAsia="en-GB" w:bidi="bn-IN"/>
        </w:rPr>
        <w:t>Nervenarzt</w:t>
      </w:r>
      <w:proofErr w:type="spellEnd"/>
      <w:r w:rsidRPr="00316A73">
        <w:rPr>
          <w:color w:val="000000" w:themeColor="text1"/>
          <w:lang w:eastAsia="en-GB" w:bidi="bn-IN"/>
        </w:rPr>
        <w:t xml:space="preserve">, 96(S1), pp. 1–5. Available at: </w:t>
      </w:r>
      <w:hyperlink r:id="rId10" w:history="1">
        <w:r w:rsidRPr="00316A73">
          <w:rPr>
            <w:rStyle w:val="Hyperlink"/>
            <w:color w:val="000000" w:themeColor="text1"/>
            <w:lang w:eastAsia="en-GB" w:bidi="bn-IN"/>
          </w:rPr>
          <w:t>https://doi.org/10.1007/s00115-025-01842-6</w:t>
        </w:r>
      </w:hyperlink>
      <w:r w:rsidRPr="00316A73">
        <w:rPr>
          <w:color w:val="000000" w:themeColor="text1"/>
          <w:lang w:eastAsia="en-GB" w:bidi="bn-IN"/>
        </w:rPr>
        <w:t xml:space="preserve"> (Accessed: 30 September 2026).</w:t>
      </w:r>
    </w:p>
    <w:p w14:paraId="76FC5FDD"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Fell, J., </w:t>
      </w:r>
      <w:proofErr w:type="spellStart"/>
      <w:r w:rsidRPr="00316A73">
        <w:rPr>
          <w:color w:val="000000" w:themeColor="text1"/>
          <w:lang w:eastAsia="en-GB" w:bidi="bn-IN"/>
        </w:rPr>
        <w:t>Chaieb</w:t>
      </w:r>
      <w:proofErr w:type="spellEnd"/>
      <w:r w:rsidRPr="00316A73">
        <w:rPr>
          <w:color w:val="000000" w:themeColor="text1"/>
          <w:lang w:eastAsia="en-GB" w:bidi="bn-IN"/>
        </w:rPr>
        <w:t xml:space="preserve">, L. and Hoppe, C. (2023) 'Mind wandering in anxiety disorders: a status report', </w:t>
      </w:r>
      <w:r w:rsidRPr="00316A73">
        <w:rPr>
          <w:i/>
          <w:iCs/>
          <w:color w:val="000000" w:themeColor="text1"/>
          <w:lang w:eastAsia="en-GB" w:bidi="bn-IN"/>
        </w:rPr>
        <w:t xml:space="preserve">Neuroscience &amp; </w:t>
      </w:r>
      <w:proofErr w:type="spellStart"/>
      <w:r w:rsidRPr="00316A73">
        <w:rPr>
          <w:i/>
          <w:iCs/>
          <w:color w:val="000000" w:themeColor="text1"/>
          <w:lang w:eastAsia="en-GB" w:bidi="bn-IN"/>
        </w:rPr>
        <w:t>Biobehavioral</w:t>
      </w:r>
      <w:proofErr w:type="spellEnd"/>
      <w:r w:rsidRPr="00316A73">
        <w:rPr>
          <w:i/>
          <w:iCs/>
          <w:color w:val="000000" w:themeColor="text1"/>
          <w:lang w:eastAsia="en-GB" w:bidi="bn-IN"/>
        </w:rPr>
        <w:t xml:space="preserve"> Reviews</w:t>
      </w:r>
      <w:r w:rsidRPr="00316A73">
        <w:rPr>
          <w:color w:val="000000" w:themeColor="text1"/>
          <w:lang w:eastAsia="en-GB" w:bidi="bn-IN"/>
        </w:rPr>
        <w:t xml:space="preserve">, 155, p. 105432. Available at: </w:t>
      </w:r>
      <w:hyperlink r:id="rId11" w:history="1">
        <w:r w:rsidRPr="00316A73">
          <w:rPr>
            <w:rStyle w:val="Hyperlink"/>
            <w:color w:val="000000" w:themeColor="text1"/>
            <w:lang w:eastAsia="en-GB" w:bidi="bn-IN"/>
          </w:rPr>
          <w:t>https://doi.org/10.1016/j.neubiorev.2023.105432</w:t>
        </w:r>
      </w:hyperlink>
      <w:r w:rsidRPr="00316A73">
        <w:rPr>
          <w:color w:val="000000" w:themeColor="text1"/>
          <w:lang w:eastAsia="en-GB" w:bidi="bn-IN"/>
        </w:rPr>
        <w:t xml:space="preserve"> (Accessed: 30 September 2026).</w:t>
      </w:r>
    </w:p>
    <w:p w14:paraId="4AF6A143"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Gaebel, W., Stricker, J. and Kerst, A. (2020) 'Changes from ICD-10 to ICD-11 and future directions in psychiatric classification', </w:t>
      </w:r>
      <w:r w:rsidRPr="00316A73">
        <w:rPr>
          <w:i/>
          <w:iCs/>
          <w:color w:val="000000" w:themeColor="text1"/>
          <w:lang w:eastAsia="en-GB" w:bidi="bn-IN"/>
        </w:rPr>
        <w:t>Dialogues in Clinical Neuroscience</w:t>
      </w:r>
      <w:r w:rsidRPr="00316A73">
        <w:rPr>
          <w:color w:val="000000" w:themeColor="text1"/>
          <w:lang w:eastAsia="en-GB" w:bidi="bn-IN"/>
        </w:rPr>
        <w:t xml:space="preserve">, 22(1), pp. 7–15. Available at: </w:t>
      </w:r>
      <w:hyperlink r:id="rId12" w:history="1">
        <w:r w:rsidRPr="00316A73">
          <w:rPr>
            <w:rStyle w:val="Hyperlink"/>
            <w:color w:val="000000" w:themeColor="text1"/>
            <w:lang w:eastAsia="en-GB" w:bidi="bn-IN"/>
          </w:rPr>
          <w:t>https://doi.org/10.31887/dcns.2020.22.1/wgaebel</w:t>
        </w:r>
      </w:hyperlink>
      <w:r w:rsidRPr="00316A73">
        <w:rPr>
          <w:color w:val="000000" w:themeColor="text1"/>
          <w:lang w:eastAsia="en-GB" w:bidi="bn-IN"/>
        </w:rPr>
        <w:t xml:space="preserve"> (Accessed: 30 September 2026).</w:t>
      </w:r>
    </w:p>
    <w:p w14:paraId="72956A78"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Grover, S., </w:t>
      </w:r>
      <w:proofErr w:type="spellStart"/>
      <w:r w:rsidRPr="00316A73">
        <w:rPr>
          <w:color w:val="000000" w:themeColor="text1"/>
          <w:lang w:eastAsia="en-GB" w:bidi="bn-IN"/>
        </w:rPr>
        <w:t>Shouan</w:t>
      </w:r>
      <w:proofErr w:type="spellEnd"/>
      <w:r w:rsidRPr="00316A73">
        <w:rPr>
          <w:color w:val="000000" w:themeColor="text1"/>
          <w:lang w:eastAsia="en-GB" w:bidi="bn-IN"/>
        </w:rPr>
        <w:t xml:space="preserve">, A. and Sahoo, S. (2020) 'Labels used for persons with severe mental illness and their stigma experience in North India', </w:t>
      </w:r>
      <w:r w:rsidRPr="00316A73">
        <w:rPr>
          <w:i/>
          <w:iCs/>
          <w:color w:val="000000" w:themeColor="text1"/>
          <w:lang w:eastAsia="en-GB" w:bidi="bn-IN"/>
        </w:rPr>
        <w:t>Asian Journal of Psychiatry</w:t>
      </w:r>
      <w:r w:rsidRPr="00316A73">
        <w:rPr>
          <w:color w:val="000000" w:themeColor="text1"/>
          <w:lang w:eastAsia="en-GB" w:bidi="bn-IN"/>
        </w:rPr>
        <w:t xml:space="preserve">, 48, p. 101909. Available at: </w:t>
      </w:r>
      <w:hyperlink r:id="rId13" w:history="1">
        <w:r w:rsidRPr="00316A73">
          <w:rPr>
            <w:rStyle w:val="Hyperlink"/>
            <w:color w:val="000000" w:themeColor="text1"/>
            <w:lang w:eastAsia="en-GB" w:bidi="bn-IN"/>
          </w:rPr>
          <w:t>https://doi.org/10.1016/j.ajp.2019.101909</w:t>
        </w:r>
      </w:hyperlink>
      <w:r w:rsidRPr="00316A73">
        <w:rPr>
          <w:color w:val="000000" w:themeColor="text1"/>
          <w:lang w:eastAsia="en-GB" w:bidi="bn-IN"/>
        </w:rPr>
        <w:t xml:space="preserve"> (Accessed: 30 September 2026).</w:t>
      </w:r>
    </w:p>
    <w:p w14:paraId="69226358"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Hall, M., Luo, A., Bhullar, N., Moses, K. and Wootton, B.M. (2024) 'Cognitive behaviour therapy for social anxiety disorder: a systematic review and meta-analysis investigating different treatment formats', </w:t>
      </w:r>
      <w:r w:rsidRPr="00316A73">
        <w:rPr>
          <w:i/>
          <w:iCs/>
          <w:color w:val="000000" w:themeColor="text1"/>
          <w:lang w:eastAsia="en-GB" w:bidi="bn-IN"/>
        </w:rPr>
        <w:t>Australian Psychologist</w:t>
      </w:r>
      <w:r w:rsidRPr="00316A73">
        <w:rPr>
          <w:color w:val="000000" w:themeColor="text1"/>
          <w:lang w:eastAsia="en-GB" w:bidi="bn-IN"/>
        </w:rPr>
        <w:t xml:space="preserve">, 60(1), pp. 1–14. Available at: </w:t>
      </w:r>
      <w:hyperlink r:id="rId14" w:history="1">
        <w:r w:rsidRPr="00316A73">
          <w:rPr>
            <w:rStyle w:val="Hyperlink"/>
            <w:color w:val="000000" w:themeColor="text1"/>
            <w:lang w:eastAsia="en-GB" w:bidi="bn-IN"/>
          </w:rPr>
          <w:t>https://doi.org/10.1080/00050067.2024.2356804</w:t>
        </w:r>
      </w:hyperlink>
      <w:r w:rsidRPr="00316A73">
        <w:rPr>
          <w:color w:val="000000" w:themeColor="text1"/>
          <w:lang w:eastAsia="en-GB" w:bidi="bn-IN"/>
        </w:rPr>
        <w:t xml:space="preserve"> (Accessed: 30 September 2026).</w:t>
      </w:r>
    </w:p>
    <w:p w14:paraId="674A1A95"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Hallyburton, A. (2022) 'Diagnostic overshadowing: an evolutionary concept analysis on the misattribution of physical symptoms to pre-existing psychological illnesses', </w:t>
      </w:r>
      <w:r w:rsidRPr="00316A73">
        <w:rPr>
          <w:i/>
          <w:iCs/>
          <w:color w:val="000000" w:themeColor="text1"/>
          <w:lang w:eastAsia="en-GB" w:bidi="bn-IN"/>
        </w:rPr>
        <w:t>International Journal of Mental Health Nursing</w:t>
      </w:r>
      <w:r w:rsidRPr="00316A73">
        <w:rPr>
          <w:color w:val="000000" w:themeColor="text1"/>
          <w:lang w:eastAsia="en-GB" w:bidi="bn-IN"/>
        </w:rPr>
        <w:t xml:space="preserve">, 31(6). Available at: </w:t>
      </w:r>
      <w:hyperlink r:id="rId15" w:history="1">
        <w:r w:rsidRPr="00316A73">
          <w:rPr>
            <w:rStyle w:val="Hyperlink"/>
            <w:color w:val="000000" w:themeColor="text1"/>
            <w:lang w:eastAsia="en-GB" w:bidi="bn-IN"/>
          </w:rPr>
          <w:t>https://doi.org/10.1111/inm.13034</w:t>
        </w:r>
      </w:hyperlink>
      <w:r w:rsidRPr="00316A73">
        <w:rPr>
          <w:color w:val="000000" w:themeColor="text1"/>
          <w:lang w:eastAsia="en-GB" w:bidi="bn-IN"/>
        </w:rPr>
        <w:t xml:space="preserve"> (Accessed: 30 September 2026).</w:t>
      </w:r>
    </w:p>
    <w:p w14:paraId="20EAAA63"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Mayo-Wilson, E., Dias, S., </w:t>
      </w:r>
      <w:proofErr w:type="spellStart"/>
      <w:r w:rsidRPr="00316A73">
        <w:rPr>
          <w:color w:val="000000" w:themeColor="text1"/>
          <w:lang w:eastAsia="en-GB" w:bidi="bn-IN"/>
        </w:rPr>
        <w:t>Mavranezouli</w:t>
      </w:r>
      <w:proofErr w:type="spellEnd"/>
      <w:r w:rsidRPr="00316A73">
        <w:rPr>
          <w:color w:val="000000" w:themeColor="text1"/>
          <w:lang w:eastAsia="en-GB" w:bidi="bn-IN"/>
        </w:rPr>
        <w:t xml:space="preserve">, I., Kew, K., Clark, D.M., Ades, A.E. and Pilling, S. (2014) 'Psychological and pharmacological interventions for social anxiety disorder in adults: a systematic review and network meta-analysis', </w:t>
      </w:r>
      <w:r w:rsidRPr="00316A73">
        <w:rPr>
          <w:i/>
          <w:iCs/>
          <w:color w:val="000000" w:themeColor="text1"/>
          <w:lang w:eastAsia="en-GB" w:bidi="bn-IN"/>
        </w:rPr>
        <w:t>The Lancet Psychiatry</w:t>
      </w:r>
      <w:r w:rsidRPr="00316A73">
        <w:rPr>
          <w:color w:val="000000" w:themeColor="text1"/>
          <w:lang w:eastAsia="en-GB" w:bidi="bn-IN"/>
        </w:rPr>
        <w:t xml:space="preserve">, 1(5), pp. 368–376. Available at: </w:t>
      </w:r>
      <w:hyperlink r:id="rId16" w:history="1">
        <w:r w:rsidRPr="00316A73">
          <w:rPr>
            <w:rStyle w:val="Hyperlink"/>
            <w:color w:val="000000" w:themeColor="text1"/>
            <w:lang w:eastAsia="en-GB" w:bidi="bn-IN"/>
          </w:rPr>
          <w:t>https://doi.org/10.1016/s2215-0366(14)70329-3</w:t>
        </w:r>
      </w:hyperlink>
      <w:r w:rsidRPr="00316A73">
        <w:rPr>
          <w:color w:val="000000" w:themeColor="text1"/>
          <w:lang w:eastAsia="en-GB" w:bidi="bn-IN"/>
        </w:rPr>
        <w:t xml:space="preserve"> (Accessed: 30 September 2026).</w:t>
      </w:r>
    </w:p>
    <w:p w14:paraId="65974CCA"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National Institute for Health and Care Excellence (NICE) (2015) </w:t>
      </w:r>
      <w:r w:rsidRPr="00316A73">
        <w:rPr>
          <w:i/>
          <w:iCs/>
          <w:color w:val="000000" w:themeColor="text1"/>
          <w:lang w:eastAsia="en-GB" w:bidi="bn-IN"/>
        </w:rPr>
        <w:t>Surveillance report: social anxiety disorder (2013) NICE guideline CG159, surveillance decision and reason for the decision</w:t>
      </w:r>
      <w:r w:rsidRPr="00316A73">
        <w:rPr>
          <w:color w:val="000000" w:themeColor="text1"/>
          <w:lang w:eastAsia="en-GB" w:bidi="bn-IN"/>
        </w:rPr>
        <w:t xml:space="preserve">. Available at: </w:t>
      </w:r>
      <w:hyperlink r:id="rId17" w:history="1">
        <w:r w:rsidRPr="00316A73">
          <w:rPr>
            <w:rStyle w:val="Hyperlink"/>
            <w:color w:val="000000" w:themeColor="text1"/>
            <w:lang w:eastAsia="en-GB" w:bidi="bn-IN"/>
          </w:rPr>
          <w:t>https://www.nice.org.uk/guidance/cg159/evidence/surveillance-review-decision-september-2015-pdf-547753069</w:t>
        </w:r>
      </w:hyperlink>
      <w:r w:rsidRPr="00316A73">
        <w:rPr>
          <w:color w:val="000000" w:themeColor="text1"/>
          <w:lang w:eastAsia="en-GB" w:bidi="bn-IN"/>
        </w:rPr>
        <w:t xml:space="preserve"> (Accessed: 30 September 2026).</w:t>
      </w:r>
    </w:p>
    <w:p w14:paraId="7869BD64"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Nawaz, S., Bee, P. and </w:t>
      </w:r>
      <w:proofErr w:type="spellStart"/>
      <w:r w:rsidRPr="00316A73">
        <w:rPr>
          <w:color w:val="000000" w:themeColor="text1"/>
          <w:lang w:eastAsia="en-GB" w:bidi="bn-IN"/>
        </w:rPr>
        <w:t>Faija</w:t>
      </w:r>
      <w:proofErr w:type="spellEnd"/>
      <w:r w:rsidRPr="00316A73">
        <w:rPr>
          <w:color w:val="000000" w:themeColor="text1"/>
          <w:lang w:eastAsia="en-GB" w:bidi="bn-IN"/>
        </w:rPr>
        <w:t xml:space="preserve">, C. (2026) 'Sustaining recovery after low-intensity treatment for anxiety and depression in NHS Talking Therapies: a multiphase participatory and consensus-building study of stakeholder priorities and recommendations', </w:t>
      </w:r>
      <w:r w:rsidRPr="00316A73">
        <w:rPr>
          <w:i/>
          <w:iCs/>
          <w:color w:val="000000" w:themeColor="text1"/>
          <w:lang w:eastAsia="en-GB" w:bidi="bn-IN"/>
        </w:rPr>
        <w:t>Depression and Anxiety</w:t>
      </w:r>
      <w:r w:rsidRPr="00316A73">
        <w:rPr>
          <w:color w:val="000000" w:themeColor="text1"/>
          <w:lang w:eastAsia="en-GB" w:bidi="bn-IN"/>
        </w:rPr>
        <w:t xml:space="preserve">, 2026(1). Available at: </w:t>
      </w:r>
      <w:hyperlink r:id="rId18" w:history="1">
        <w:r w:rsidRPr="00316A73">
          <w:rPr>
            <w:rStyle w:val="Hyperlink"/>
            <w:color w:val="000000" w:themeColor="text1"/>
            <w:lang w:eastAsia="en-GB" w:bidi="bn-IN"/>
          </w:rPr>
          <w:t>https://doi.org/10.1155/da/9916526</w:t>
        </w:r>
      </w:hyperlink>
      <w:r w:rsidRPr="00316A73">
        <w:rPr>
          <w:color w:val="000000" w:themeColor="text1"/>
          <w:lang w:eastAsia="en-GB" w:bidi="bn-IN"/>
        </w:rPr>
        <w:t xml:space="preserve"> (Accessed: 30 September 2026).</w:t>
      </w:r>
    </w:p>
    <w:p w14:paraId="0B93A7A2"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NHS England (2019) </w:t>
      </w:r>
      <w:r w:rsidRPr="00316A73">
        <w:rPr>
          <w:i/>
          <w:iCs/>
          <w:color w:val="000000" w:themeColor="text1"/>
          <w:lang w:eastAsia="en-GB" w:bidi="bn-IN"/>
        </w:rPr>
        <w:t>Improving access to psychological therapies</w:t>
      </w:r>
      <w:r w:rsidRPr="00316A73">
        <w:rPr>
          <w:color w:val="000000" w:themeColor="text1"/>
          <w:lang w:eastAsia="en-GB" w:bidi="bn-IN"/>
        </w:rPr>
        <w:t xml:space="preserve">. Available at: </w:t>
      </w:r>
      <w:hyperlink r:id="rId19" w:history="1">
        <w:r w:rsidRPr="00316A73">
          <w:rPr>
            <w:rStyle w:val="Hyperlink"/>
            <w:color w:val="000000" w:themeColor="text1"/>
            <w:lang w:eastAsia="en-GB" w:bidi="bn-IN"/>
          </w:rPr>
          <w:t>https://www.hee.nhs.uk/our-work/mental-health/improving-access-psychological-therapies</w:t>
        </w:r>
      </w:hyperlink>
      <w:r w:rsidRPr="00316A73">
        <w:rPr>
          <w:color w:val="000000" w:themeColor="text1"/>
          <w:lang w:eastAsia="en-GB" w:bidi="bn-IN"/>
        </w:rPr>
        <w:t xml:space="preserve"> (Accessed: 30 September 2026).</w:t>
      </w:r>
    </w:p>
    <w:p w14:paraId="3A92A088"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NHS England Digital (2026) </w:t>
      </w:r>
      <w:r w:rsidRPr="00316A73">
        <w:rPr>
          <w:i/>
          <w:iCs/>
          <w:color w:val="000000" w:themeColor="text1"/>
          <w:lang w:eastAsia="en-GB" w:bidi="bn-IN"/>
        </w:rPr>
        <w:t>NHS Talking Therapies for anxiety and depression, annual reports, 2024-25</w:t>
      </w:r>
      <w:r w:rsidRPr="00316A73">
        <w:rPr>
          <w:color w:val="000000" w:themeColor="text1"/>
          <w:lang w:eastAsia="en-GB" w:bidi="bn-IN"/>
        </w:rPr>
        <w:t xml:space="preserve">. Available at: </w:t>
      </w:r>
      <w:hyperlink r:id="rId20" w:history="1">
        <w:r w:rsidRPr="00316A73">
          <w:rPr>
            <w:rStyle w:val="Hyperlink"/>
            <w:color w:val="000000" w:themeColor="text1"/>
            <w:lang w:eastAsia="en-GB" w:bidi="bn-IN"/>
          </w:rPr>
          <w:t>https://digital.nhs.uk/data-and-information/publications/statistical/nhs-talking-therapies-for-anxiety-and-depression-annual-reports/2024-25</w:t>
        </w:r>
      </w:hyperlink>
      <w:r w:rsidRPr="00316A73">
        <w:rPr>
          <w:color w:val="000000" w:themeColor="text1"/>
          <w:lang w:eastAsia="en-GB" w:bidi="bn-IN"/>
        </w:rPr>
        <w:t xml:space="preserve"> (Accessed: 30 September 2026).</w:t>
      </w:r>
    </w:p>
    <w:p w14:paraId="26256177"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Reed, G.M., First, M.B., Kogan, C.S., Hyman, S.E., Gureje, O., Gaebel, W., Maj, M., Stein, D.J., </w:t>
      </w:r>
      <w:proofErr w:type="spellStart"/>
      <w:r w:rsidRPr="00316A73">
        <w:rPr>
          <w:color w:val="000000" w:themeColor="text1"/>
          <w:lang w:eastAsia="en-GB" w:bidi="bn-IN"/>
        </w:rPr>
        <w:t>Maercker</w:t>
      </w:r>
      <w:proofErr w:type="spellEnd"/>
      <w:r w:rsidRPr="00316A73">
        <w:rPr>
          <w:color w:val="000000" w:themeColor="text1"/>
          <w:lang w:eastAsia="en-GB" w:bidi="bn-IN"/>
        </w:rPr>
        <w:t xml:space="preserve">, A., Tyrer, P., Claudino, A., </w:t>
      </w:r>
      <w:proofErr w:type="spellStart"/>
      <w:r w:rsidRPr="00316A73">
        <w:rPr>
          <w:color w:val="000000" w:themeColor="text1"/>
          <w:lang w:eastAsia="en-GB" w:bidi="bn-IN"/>
        </w:rPr>
        <w:t>Garralda</w:t>
      </w:r>
      <w:proofErr w:type="spellEnd"/>
      <w:r w:rsidRPr="00316A73">
        <w:rPr>
          <w:color w:val="000000" w:themeColor="text1"/>
          <w:lang w:eastAsia="en-GB" w:bidi="bn-IN"/>
        </w:rPr>
        <w:t>, E., Salvador-</w:t>
      </w:r>
      <w:proofErr w:type="spellStart"/>
      <w:r w:rsidRPr="00316A73">
        <w:rPr>
          <w:color w:val="000000" w:themeColor="text1"/>
          <w:lang w:eastAsia="en-GB" w:bidi="bn-IN"/>
        </w:rPr>
        <w:t>Carulla</w:t>
      </w:r>
      <w:proofErr w:type="spellEnd"/>
      <w:r w:rsidRPr="00316A73">
        <w:rPr>
          <w:color w:val="000000" w:themeColor="text1"/>
          <w:lang w:eastAsia="en-GB" w:bidi="bn-IN"/>
        </w:rPr>
        <w:t xml:space="preserve">, L., Ray, R., Saunders, J.B., Dua, T., Poznyak, V., Medina-Mora, M.E., Pike, K.M., Ayuso-Mateos, J.L., Kanba, S., Keeley, J.W., Khoury, B., </w:t>
      </w:r>
      <w:proofErr w:type="spellStart"/>
      <w:r w:rsidRPr="00316A73">
        <w:rPr>
          <w:color w:val="000000" w:themeColor="text1"/>
          <w:lang w:eastAsia="en-GB" w:bidi="bn-IN"/>
        </w:rPr>
        <w:t>Krasnov</w:t>
      </w:r>
      <w:proofErr w:type="spellEnd"/>
      <w:r w:rsidRPr="00316A73">
        <w:rPr>
          <w:color w:val="000000" w:themeColor="text1"/>
          <w:lang w:eastAsia="en-GB" w:bidi="bn-IN"/>
        </w:rPr>
        <w:t xml:space="preserve">, V.N., </w:t>
      </w:r>
      <w:proofErr w:type="spellStart"/>
      <w:r w:rsidRPr="00316A73">
        <w:rPr>
          <w:color w:val="000000" w:themeColor="text1"/>
          <w:lang w:eastAsia="en-GB" w:bidi="bn-IN"/>
        </w:rPr>
        <w:t>Kulygina</w:t>
      </w:r>
      <w:proofErr w:type="spellEnd"/>
      <w:r w:rsidRPr="00316A73">
        <w:rPr>
          <w:color w:val="000000" w:themeColor="text1"/>
          <w:lang w:eastAsia="en-GB" w:bidi="bn-IN"/>
        </w:rPr>
        <w:t xml:space="preserve">, M., Lovell, A.M., de Jesus Mari, J., Maruta, T., Matsumoto, C., Rebello, T.J., Roberts, M.C., Robles, R., Sharan, P., Zhao, M., Jablensky, A., </w:t>
      </w:r>
      <w:proofErr w:type="spellStart"/>
      <w:r w:rsidRPr="00316A73">
        <w:rPr>
          <w:color w:val="000000" w:themeColor="text1"/>
          <w:lang w:eastAsia="en-GB" w:bidi="bn-IN"/>
        </w:rPr>
        <w:t>Udomratn</w:t>
      </w:r>
      <w:proofErr w:type="spellEnd"/>
      <w:r w:rsidRPr="00316A73">
        <w:rPr>
          <w:color w:val="000000" w:themeColor="text1"/>
          <w:lang w:eastAsia="en-GB" w:bidi="bn-IN"/>
        </w:rPr>
        <w:t xml:space="preserve">, P., Rahimi-Movaghar, A., Rydelius, P.-A., </w:t>
      </w:r>
      <w:proofErr w:type="spellStart"/>
      <w:r w:rsidRPr="00316A73">
        <w:rPr>
          <w:color w:val="000000" w:themeColor="text1"/>
          <w:lang w:eastAsia="en-GB" w:bidi="bn-IN"/>
        </w:rPr>
        <w:t>Bährer</w:t>
      </w:r>
      <w:proofErr w:type="spellEnd"/>
      <w:r w:rsidRPr="00316A73">
        <w:rPr>
          <w:color w:val="000000" w:themeColor="text1"/>
          <w:lang w:eastAsia="en-GB" w:bidi="bn-IN"/>
        </w:rPr>
        <w:t xml:space="preserve">-Kohler, S., Watts, A.D. and Saxena, S. (2019) 'Innovations and changes in the ICD-11 classification of mental, behavioural and neurodevelopmental disorders', </w:t>
      </w:r>
      <w:r w:rsidRPr="00316A73">
        <w:rPr>
          <w:i/>
          <w:iCs/>
          <w:color w:val="000000" w:themeColor="text1"/>
          <w:lang w:eastAsia="en-GB" w:bidi="bn-IN"/>
        </w:rPr>
        <w:t>World Psychiatry</w:t>
      </w:r>
      <w:r w:rsidRPr="00316A73">
        <w:rPr>
          <w:color w:val="000000" w:themeColor="text1"/>
          <w:lang w:eastAsia="en-GB" w:bidi="bn-IN"/>
        </w:rPr>
        <w:t xml:space="preserve">, 18(1), pp. 3–19. Available at: </w:t>
      </w:r>
      <w:hyperlink r:id="rId21" w:history="1">
        <w:r w:rsidRPr="00316A73">
          <w:rPr>
            <w:rStyle w:val="Hyperlink"/>
            <w:color w:val="000000" w:themeColor="text1"/>
            <w:lang w:eastAsia="en-GB" w:bidi="bn-IN"/>
          </w:rPr>
          <w:t>https://onlinelibrary.wiley.com/doi/full/10.1002/wps.20611</w:t>
        </w:r>
      </w:hyperlink>
      <w:r w:rsidRPr="00316A73">
        <w:rPr>
          <w:color w:val="000000" w:themeColor="text1"/>
          <w:lang w:eastAsia="en-GB" w:bidi="bn-IN"/>
        </w:rPr>
        <w:t xml:space="preserve"> (Accessed: 30 September 2026).</w:t>
      </w:r>
    </w:p>
    <w:p w14:paraId="0318E6D4"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Torices Callejo, L., Herrero, L. and Pérez Nieto, M.Á. (2025) 'Anxiety and autistic traits in adults: a systematic review and meta-analysis', </w:t>
      </w:r>
      <w:r w:rsidRPr="00316A73">
        <w:rPr>
          <w:i/>
          <w:iCs/>
          <w:color w:val="000000" w:themeColor="text1"/>
          <w:lang w:eastAsia="en-GB" w:bidi="bn-IN"/>
        </w:rPr>
        <w:t>Frontiers in Psychology</w:t>
      </w:r>
      <w:r w:rsidRPr="00316A73">
        <w:rPr>
          <w:color w:val="000000" w:themeColor="text1"/>
          <w:lang w:eastAsia="en-GB" w:bidi="bn-IN"/>
        </w:rPr>
        <w:t xml:space="preserve">, 16, 1680267. Available at: </w:t>
      </w:r>
      <w:hyperlink r:id="rId22" w:history="1">
        <w:r w:rsidRPr="00316A73">
          <w:rPr>
            <w:rStyle w:val="Hyperlink"/>
            <w:color w:val="000000" w:themeColor="text1"/>
            <w:lang w:eastAsia="en-GB" w:bidi="bn-IN"/>
          </w:rPr>
          <w:t>https://doi.org/10.3389/fpsyg.2025.1680267</w:t>
        </w:r>
      </w:hyperlink>
      <w:r w:rsidRPr="00316A73">
        <w:rPr>
          <w:color w:val="000000" w:themeColor="text1"/>
          <w:lang w:eastAsia="en-GB" w:bidi="bn-IN"/>
        </w:rPr>
        <w:t xml:space="preserve"> (Accessed: 30 September 2026).</w:t>
      </w:r>
    </w:p>
    <w:p w14:paraId="6D5C0943"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Urpi, A.B., Slade, M., Manley, D. and Pardo-Hernandez, H. (2019) 'Conceptual framework for personal recovery in mental health among children and adolescents: a systematic review and narrative synthesis protocol', </w:t>
      </w:r>
      <w:r w:rsidRPr="00316A73">
        <w:rPr>
          <w:i/>
          <w:iCs/>
          <w:color w:val="000000" w:themeColor="text1"/>
          <w:lang w:eastAsia="en-GB" w:bidi="bn-IN"/>
        </w:rPr>
        <w:t>BMJ Open</w:t>
      </w:r>
      <w:r w:rsidRPr="00316A73">
        <w:rPr>
          <w:color w:val="000000" w:themeColor="text1"/>
          <w:lang w:eastAsia="en-GB" w:bidi="bn-IN"/>
        </w:rPr>
        <w:t xml:space="preserve">, 9(8). Available at: </w:t>
      </w:r>
      <w:hyperlink r:id="rId23" w:history="1">
        <w:r w:rsidRPr="00316A73">
          <w:rPr>
            <w:rStyle w:val="Hyperlink"/>
            <w:color w:val="000000" w:themeColor="text1"/>
            <w:lang w:eastAsia="en-GB" w:bidi="bn-IN"/>
          </w:rPr>
          <w:t>https://doi.org/10.1136/bmjopen-2019-029300</w:t>
        </w:r>
      </w:hyperlink>
      <w:r w:rsidRPr="00316A73">
        <w:rPr>
          <w:color w:val="000000" w:themeColor="text1"/>
          <w:lang w:eastAsia="en-GB" w:bidi="bn-IN"/>
        </w:rPr>
        <w:t xml:space="preserve"> (Accessed: 30 September 2026).</w:t>
      </w:r>
    </w:p>
    <w:p w14:paraId="7EDC3CA9"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Winter, H.R., Norton, A.R., Burley, J.L. and Wootton, B.M. (2023) 'Remote cognitive behaviour therapy for social anxiety disorder: a meta-analysis', </w:t>
      </w:r>
      <w:r w:rsidRPr="00316A73">
        <w:rPr>
          <w:i/>
          <w:iCs/>
          <w:color w:val="000000" w:themeColor="text1"/>
          <w:lang w:eastAsia="en-GB" w:bidi="bn-IN"/>
        </w:rPr>
        <w:t>Journal of Anxiety Disorders</w:t>
      </w:r>
      <w:r w:rsidRPr="00316A73">
        <w:rPr>
          <w:color w:val="000000" w:themeColor="text1"/>
          <w:lang w:eastAsia="en-GB" w:bidi="bn-IN"/>
        </w:rPr>
        <w:t xml:space="preserve">, 100, p. 102787. Available at: </w:t>
      </w:r>
      <w:hyperlink r:id="rId24" w:history="1">
        <w:r w:rsidRPr="00316A73">
          <w:rPr>
            <w:rStyle w:val="Hyperlink"/>
            <w:color w:val="000000" w:themeColor="text1"/>
            <w:lang w:eastAsia="en-GB" w:bidi="bn-IN"/>
          </w:rPr>
          <w:t>https://doi.org/10.1016/j.janxdis.2023.102787</w:t>
        </w:r>
      </w:hyperlink>
      <w:r w:rsidRPr="00316A73">
        <w:rPr>
          <w:color w:val="000000" w:themeColor="text1"/>
          <w:lang w:eastAsia="en-GB" w:bidi="bn-IN"/>
        </w:rPr>
        <w:t xml:space="preserve"> (Accessed: 30 September 2026).</w:t>
      </w:r>
    </w:p>
    <w:p w14:paraId="621010C2"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Winter, H.R., Norton, A.R. and Wootton, B.M. (2025) 'Videoconferencing-delivered cognitive behavioural therapy for social anxiety disorder: a randomised controlled trial', </w:t>
      </w:r>
      <w:r w:rsidRPr="00316A73">
        <w:rPr>
          <w:i/>
          <w:iCs/>
          <w:color w:val="000000" w:themeColor="text1"/>
          <w:lang w:eastAsia="en-GB" w:bidi="bn-IN"/>
        </w:rPr>
        <w:t>Cognitive Behaviour Therapy</w:t>
      </w:r>
      <w:r w:rsidRPr="00316A73">
        <w:rPr>
          <w:color w:val="000000" w:themeColor="text1"/>
          <w:lang w:eastAsia="en-GB" w:bidi="bn-IN"/>
        </w:rPr>
        <w:t xml:space="preserve">, 55(6), pp. 880–896. Available at: </w:t>
      </w:r>
      <w:hyperlink r:id="rId25" w:history="1">
        <w:r w:rsidRPr="00316A73">
          <w:rPr>
            <w:rStyle w:val="Hyperlink"/>
            <w:color w:val="000000" w:themeColor="text1"/>
            <w:lang w:eastAsia="en-GB" w:bidi="bn-IN"/>
          </w:rPr>
          <w:t>https://doi.org/10.1080/16506073.2025.2540916</w:t>
        </w:r>
      </w:hyperlink>
      <w:r w:rsidRPr="00316A73">
        <w:rPr>
          <w:color w:val="000000" w:themeColor="text1"/>
          <w:lang w:eastAsia="en-GB" w:bidi="bn-IN"/>
        </w:rPr>
        <w:t xml:space="preserve"> (Accessed: 30 September 2026).</w:t>
      </w:r>
    </w:p>
    <w:p w14:paraId="1D5FDBF0"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World Health Organization (2025) </w:t>
      </w:r>
      <w:r w:rsidRPr="00316A73">
        <w:rPr>
          <w:i/>
          <w:iCs/>
          <w:color w:val="000000" w:themeColor="text1"/>
          <w:lang w:eastAsia="en-GB" w:bidi="bn-IN"/>
        </w:rPr>
        <w:t>Anxiety disorders</w:t>
      </w:r>
      <w:r w:rsidRPr="00316A73">
        <w:rPr>
          <w:color w:val="000000" w:themeColor="text1"/>
          <w:lang w:eastAsia="en-GB" w:bidi="bn-IN"/>
        </w:rPr>
        <w:t xml:space="preserve">. Available at: </w:t>
      </w:r>
      <w:hyperlink r:id="rId26" w:history="1">
        <w:r w:rsidRPr="00316A73">
          <w:rPr>
            <w:rStyle w:val="Hyperlink"/>
            <w:color w:val="000000" w:themeColor="text1"/>
            <w:lang w:eastAsia="en-GB" w:bidi="bn-IN"/>
          </w:rPr>
          <w:t>https://www.who.int/news-room/fact-sheets/detail/anxiety-disorders</w:t>
        </w:r>
      </w:hyperlink>
      <w:r w:rsidRPr="00316A73">
        <w:rPr>
          <w:color w:val="000000" w:themeColor="text1"/>
          <w:lang w:eastAsia="en-GB" w:bidi="bn-IN"/>
        </w:rPr>
        <w:t xml:space="preserve"> (Accessed: 30 September 2026).</w:t>
      </w:r>
    </w:p>
    <w:p w14:paraId="01854A87" w14:textId="77777777" w:rsidR="00DA69CC" w:rsidRPr="00316A73" w:rsidRDefault="00DA69CC" w:rsidP="00DA69CC">
      <w:pPr>
        <w:rPr>
          <w:color w:val="000000" w:themeColor="text1"/>
          <w:lang w:eastAsia="en-GB" w:bidi="bn-IN"/>
        </w:rPr>
      </w:pPr>
      <w:r w:rsidRPr="00316A73">
        <w:rPr>
          <w:color w:val="000000" w:themeColor="text1"/>
          <w:lang w:eastAsia="en-GB" w:bidi="bn-IN"/>
        </w:rPr>
        <w:t xml:space="preserve">Xiong, Y., Xiao, N., Ding, X., Zhang, J. and Luo, H. (2026) 'Comparative effectiveness of non-pharmacological interventions for social anxiety disorder in adults: a systematic review and meta-analysis', </w:t>
      </w:r>
      <w:r w:rsidRPr="00316A73">
        <w:rPr>
          <w:i/>
          <w:iCs/>
          <w:color w:val="000000" w:themeColor="text1"/>
          <w:lang w:eastAsia="en-GB" w:bidi="bn-IN"/>
        </w:rPr>
        <w:t>Frontiers in Psychology</w:t>
      </w:r>
      <w:r w:rsidRPr="00316A73">
        <w:rPr>
          <w:color w:val="000000" w:themeColor="text1"/>
          <w:lang w:eastAsia="en-GB" w:bidi="bn-IN"/>
        </w:rPr>
        <w:t xml:space="preserve">, 17, 1787151. Available at: </w:t>
      </w:r>
      <w:hyperlink r:id="rId27" w:history="1">
        <w:r w:rsidRPr="00316A73">
          <w:rPr>
            <w:rStyle w:val="Hyperlink"/>
            <w:color w:val="000000" w:themeColor="text1"/>
            <w:lang w:eastAsia="en-GB" w:bidi="bn-IN"/>
          </w:rPr>
          <w:t>https://doi.org/10.3389/fpsyg.2026.1787151</w:t>
        </w:r>
      </w:hyperlink>
      <w:r w:rsidRPr="00316A73">
        <w:rPr>
          <w:color w:val="000000" w:themeColor="text1"/>
          <w:lang w:eastAsia="en-GB" w:bidi="bn-IN"/>
        </w:rPr>
        <w:t xml:space="preserve"> (Accessed: 30 September 2026).</w:t>
      </w:r>
    </w:p>
    <w:p w14:paraId="7F9B8938" w14:textId="77777777" w:rsidR="00C671CA" w:rsidRPr="00316A73" w:rsidRDefault="00C671CA" w:rsidP="00DA69CC">
      <w:pPr>
        <w:rPr>
          <w:color w:val="000000" w:themeColor="text1"/>
          <w:lang w:eastAsia="en-GB" w:bidi="bn-IN"/>
        </w:rPr>
      </w:pPr>
    </w:p>
    <w:sectPr w:rsidR="00C671CA" w:rsidRPr="00316A73" w:rsidSect="00575246">
      <w:footerReference w:type="default" r:id="rId2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6AEC2" w14:textId="77777777" w:rsidR="00CB259F" w:rsidRDefault="00CB259F">
      <w:pPr>
        <w:spacing w:after="0" w:line="240" w:lineRule="auto"/>
      </w:pPr>
      <w:r>
        <w:separator/>
      </w:r>
    </w:p>
  </w:endnote>
  <w:endnote w:type="continuationSeparator" w:id="0">
    <w:p w14:paraId="5FD3B5C0" w14:textId="77777777" w:rsidR="00CB259F" w:rsidRDefault="00CB2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F8515" w14:textId="77777777" w:rsidR="00575246" w:rsidRDefault="00575246">
    <w:pPr>
      <w:jc w:val="center"/>
    </w:pPr>
    <w:r>
      <w:rPr>
        <w:sz w:val="20"/>
        <w:szCs w:val="20"/>
      </w:rPr>
      <w:fldChar w:fldCharType="begin"/>
    </w:r>
    <w:r>
      <w:rPr>
        <w:rFonts w:eastAsia="Arial" w:cs="Arial"/>
        <w:sz w:val="20"/>
        <w:szCs w:val="20"/>
      </w:rPr>
      <w:instrText>PAGE</w:instrText>
    </w:r>
    <w:r>
      <w:rPr>
        <w:sz w:val="20"/>
        <w:szCs w:val="20"/>
      </w:rPr>
      <w:fldChar w:fldCharType="separate"/>
    </w:r>
    <w:r>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69822" w14:textId="77777777" w:rsidR="00CB259F" w:rsidRDefault="00CB259F">
      <w:pPr>
        <w:spacing w:after="0" w:line="240" w:lineRule="auto"/>
      </w:pPr>
      <w:r>
        <w:separator/>
      </w:r>
    </w:p>
  </w:footnote>
  <w:footnote w:type="continuationSeparator" w:id="0">
    <w:p w14:paraId="208DC379" w14:textId="77777777" w:rsidR="00CB259F" w:rsidRDefault="00CB25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6"/>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22D"/>
    <w:rsid w:val="0000498A"/>
    <w:rsid w:val="00005D8D"/>
    <w:rsid w:val="0004122D"/>
    <w:rsid w:val="00047C1D"/>
    <w:rsid w:val="000A416E"/>
    <w:rsid w:val="000D3C0A"/>
    <w:rsid w:val="00116E16"/>
    <w:rsid w:val="00137917"/>
    <w:rsid w:val="00151FEB"/>
    <w:rsid w:val="001A3124"/>
    <w:rsid w:val="002E0DD0"/>
    <w:rsid w:val="003013FC"/>
    <w:rsid w:val="00316A73"/>
    <w:rsid w:val="00323729"/>
    <w:rsid w:val="0037758C"/>
    <w:rsid w:val="003A6B1E"/>
    <w:rsid w:val="0045298F"/>
    <w:rsid w:val="00471979"/>
    <w:rsid w:val="0048346B"/>
    <w:rsid w:val="004E5C20"/>
    <w:rsid w:val="00575246"/>
    <w:rsid w:val="005A0951"/>
    <w:rsid w:val="0061163B"/>
    <w:rsid w:val="006827FB"/>
    <w:rsid w:val="00740C86"/>
    <w:rsid w:val="007744B4"/>
    <w:rsid w:val="00775292"/>
    <w:rsid w:val="007A4073"/>
    <w:rsid w:val="008241C0"/>
    <w:rsid w:val="008A11DE"/>
    <w:rsid w:val="008C2D83"/>
    <w:rsid w:val="00933BBD"/>
    <w:rsid w:val="00936611"/>
    <w:rsid w:val="0094221D"/>
    <w:rsid w:val="009B60F1"/>
    <w:rsid w:val="00A3228B"/>
    <w:rsid w:val="00A52FD4"/>
    <w:rsid w:val="00AE593B"/>
    <w:rsid w:val="00AE6B25"/>
    <w:rsid w:val="00B232C4"/>
    <w:rsid w:val="00B361D9"/>
    <w:rsid w:val="00B849C3"/>
    <w:rsid w:val="00B9118B"/>
    <w:rsid w:val="00C527E1"/>
    <w:rsid w:val="00C671CA"/>
    <w:rsid w:val="00CB259F"/>
    <w:rsid w:val="00D7544E"/>
    <w:rsid w:val="00D952E0"/>
    <w:rsid w:val="00DA69CC"/>
    <w:rsid w:val="00DE3B54"/>
    <w:rsid w:val="00E27D5E"/>
    <w:rsid w:val="00F147B5"/>
    <w:rsid w:val="00F63562"/>
    <w:rsid w:val="00F718E0"/>
    <w:rsid w:val="00F83EC9"/>
    <w:rsid w:val="00FB74DA"/>
    <w:rsid w:val="00FE504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B5C25"/>
  <w15:chartTrackingRefBased/>
  <w15:docId w15:val="{F37F29C1-0AE5-4F7D-B445-F7232BDF9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2C4"/>
    <w:pPr>
      <w:spacing w:line="360" w:lineRule="auto"/>
      <w:jc w:val="both"/>
    </w:pPr>
    <w:rPr>
      <w:rFonts w:ascii="Arial" w:hAnsi="Arial"/>
    </w:rPr>
  </w:style>
  <w:style w:type="paragraph" w:styleId="Heading1">
    <w:name w:val="heading 1"/>
    <w:basedOn w:val="Normal"/>
    <w:next w:val="Normal"/>
    <w:link w:val="Heading1Char"/>
    <w:uiPriority w:val="9"/>
    <w:qFormat/>
    <w:rsid w:val="00B232C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semiHidden/>
    <w:unhideWhenUsed/>
    <w:qFormat/>
    <w:rsid w:val="000412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12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2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12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12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2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2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2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2C4"/>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semiHidden/>
    <w:rsid w:val="000412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12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2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12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12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2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2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22D"/>
    <w:rPr>
      <w:rFonts w:eastAsiaTheme="majorEastAsia" w:cstheme="majorBidi"/>
      <w:color w:val="272727" w:themeColor="text1" w:themeTint="D8"/>
    </w:rPr>
  </w:style>
  <w:style w:type="paragraph" w:styleId="Title">
    <w:name w:val="Title"/>
    <w:basedOn w:val="Normal"/>
    <w:next w:val="Normal"/>
    <w:link w:val="TitleChar"/>
    <w:uiPriority w:val="10"/>
    <w:qFormat/>
    <w:rsid w:val="000412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2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2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2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22D"/>
    <w:pPr>
      <w:spacing w:before="160"/>
      <w:jc w:val="center"/>
    </w:pPr>
    <w:rPr>
      <w:i/>
      <w:iCs/>
      <w:color w:val="404040" w:themeColor="text1" w:themeTint="BF"/>
    </w:rPr>
  </w:style>
  <w:style w:type="character" w:customStyle="1" w:styleId="QuoteChar">
    <w:name w:val="Quote Char"/>
    <w:basedOn w:val="DefaultParagraphFont"/>
    <w:link w:val="Quote"/>
    <w:uiPriority w:val="29"/>
    <w:rsid w:val="0004122D"/>
    <w:rPr>
      <w:i/>
      <w:iCs/>
      <w:color w:val="404040" w:themeColor="text1" w:themeTint="BF"/>
    </w:rPr>
  </w:style>
  <w:style w:type="paragraph" w:styleId="ListParagraph">
    <w:name w:val="List Paragraph"/>
    <w:basedOn w:val="Normal"/>
    <w:uiPriority w:val="34"/>
    <w:qFormat/>
    <w:rsid w:val="0004122D"/>
    <w:pPr>
      <w:ind w:left="720"/>
      <w:contextualSpacing/>
    </w:pPr>
  </w:style>
  <w:style w:type="character" w:styleId="IntenseEmphasis">
    <w:name w:val="Intense Emphasis"/>
    <w:basedOn w:val="DefaultParagraphFont"/>
    <w:uiPriority w:val="21"/>
    <w:qFormat/>
    <w:rsid w:val="0004122D"/>
    <w:rPr>
      <w:i/>
      <w:iCs/>
      <w:color w:val="0F4761" w:themeColor="accent1" w:themeShade="BF"/>
    </w:rPr>
  </w:style>
  <w:style w:type="paragraph" w:styleId="IntenseQuote">
    <w:name w:val="Intense Quote"/>
    <w:basedOn w:val="Normal"/>
    <w:next w:val="Normal"/>
    <w:link w:val="IntenseQuoteChar"/>
    <w:uiPriority w:val="30"/>
    <w:qFormat/>
    <w:rsid w:val="000412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22D"/>
    <w:rPr>
      <w:i/>
      <w:iCs/>
      <w:color w:val="0F4761" w:themeColor="accent1" w:themeShade="BF"/>
    </w:rPr>
  </w:style>
  <w:style w:type="character" w:styleId="IntenseReference">
    <w:name w:val="Intense Reference"/>
    <w:basedOn w:val="DefaultParagraphFont"/>
    <w:uiPriority w:val="32"/>
    <w:qFormat/>
    <w:rsid w:val="0004122D"/>
    <w:rPr>
      <w:b/>
      <w:bCs/>
      <w:smallCaps/>
      <w:color w:val="0F4761" w:themeColor="accent1" w:themeShade="BF"/>
      <w:spacing w:val="5"/>
    </w:rPr>
  </w:style>
  <w:style w:type="character" w:styleId="Hyperlink">
    <w:name w:val="Hyperlink"/>
    <w:basedOn w:val="DefaultParagraphFont"/>
    <w:uiPriority w:val="99"/>
    <w:unhideWhenUsed/>
    <w:rsid w:val="00DA69CC"/>
    <w:rPr>
      <w:color w:val="467886" w:themeColor="hyperlink"/>
      <w:u w:val="single"/>
    </w:rPr>
  </w:style>
  <w:style w:type="character" w:styleId="UnresolvedMention">
    <w:name w:val="Unresolved Mention"/>
    <w:basedOn w:val="DefaultParagraphFont"/>
    <w:uiPriority w:val="99"/>
    <w:semiHidden/>
    <w:unhideWhenUsed/>
    <w:rsid w:val="00DA69CC"/>
    <w:rPr>
      <w:color w:val="605E5C"/>
      <w:shd w:val="clear" w:color="auto" w:fill="E1DFDD"/>
    </w:rPr>
  </w:style>
  <w:style w:type="paragraph" w:styleId="TOCHeading">
    <w:name w:val="TOC Heading"/>
    <w:basedOn w:val="Heading1"/>
    <w:next w:val="Normal"/>
    <w:uiPriority w:val="39"/>
    <w:unhideWhenUsed/>
    <w:qFormat/>
    <w:rsid w:val="00323729"/>
    <w:pPr>
      <w:spacing w:before="240" w:after="0" w:line="259" w:lineRule="auto"/>
      <w:jc w:val="left"/>
      <w:outlineLvl w:val="9"/>
    </w:pPr>
    <w:rPr>
      <w:rFonts w:asciiTheme="majorHAnsi" w:hAnsiTheme="majorHAnsi"/>
      <w:b w:val="0"/>
      <w:sz w:val="32"/>
      <w:szCs w:val="32"/>
      <w:lang w:val="en-US"/>
      <w14:ligatures w14:val="none"/>
    </w:rPr>
  </w:style>
  <w:style w:type="paragraph" w:styleId="TOC1">
    <w:name w:val="toc 1"/>
    <w:basedOn w:val="Normal"/>
    <w:next w:val="Normal"/>
    <w:autoRedefine/>
    <w:uiPriority w:val="39"/>
    <w:unhideWhenUsed/>
    <w:rsid w:val="0032372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88275" TargetMode="External" /><Relationship Id="rId13" Type="http://schemas.openxmlformats.org/officeDocument/2006/relationships/hyperlink" Target="https://doi.org/10.1016/j.ajp.2019.101909" TargetMode="External" /><Relationship Id="rId18" Type="http://schemas.openxmlformats.org/officeDocument/2006/relationships/hyperlink" Target="https://doi.org/10.1155/da/9916526" TargetMode="External" /><Relationship Id="rId26" Type="http://schemas.openxmlformats.org/officeDocument/2006/relationships/hyperlink" Target="https://www.who.int/news-room/fact-sheets/detail/anxiety-disorders" TargetMode="External" /><Relationship Id="rId3" Type="http://schemas.openxmlformats.org/officeDocument/2006/relationships/settings" Target="settings.xml" /><Relationship Id="rId21" Type="http://schemas.openxmlformats.org/officeDocument/2006/relationships/hyperlink" Target="https://onlinelibrary.wiley.com/doi/full/10.1002/wps.20611" TargetMode="External" /><Relationship Id="rId7" Type="http://schemas.openxmlformats.org/officeDocument/2006/relationships/hyperlink" Target="https://doi.org/10.1177/1529100617727266" TargetMode="External" /><Relationship Id="rId12" Type="http://schemas.openxmlformats.org/officeDocument/2006/relationships/hyperlink" Target="https://doi.org/10.31887/dcns.2020.22.1/wgaebel" TargetMode="External" /><Relationship Id="rId17" Type="http://schemas.openxmlformats.org/officeDocument/2006/relationships/hyperlink" Target="https://www.nice.org.uk/guidance/cg159/evidence/surveillance-review-decision-september-2015-pdf-547753069" TargetMode="External" /><Relationship Id="rId25" Type="http://schemas.openxmlformats.org/officeDocument/2006/relationships/hyperlink" Target="https://doi.org/10.1080/16506073.2025.2540916" TargetMode="External" /><Relationship Id="rId2" Type="http://schemas.openxmlformats.org/officeDocument/2006/relationships/styles" Target="styles.xml" /><Relationship Id="rId16" Type="http://schemas.openxmlformats.org/officeDocument/2006/relationships/hyperlink" Target="https://doi.org/10.1016/s2215-0366(14)70329-3" TargetMode="External" /><Relationship Id="rId20" Type="http://schemas.openxmlformats.org/officeDocument/2006/relationships/hyperlink" Target="https://digital.nhs.uk/data-and-information/publications/statistical/nhs-talking-therapies-for-anxiety-and-depression-annual-reports/2024-25"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1016/j.neubiorev.2023.105432" TargetMode="External" /><Relationship Id="rId24" Type="http://schemas.openxmlformats.org/officeDocument/2006/relationships/hyperlink" Target="https://doi.org/10.1016/j.janxdis.2023.102787" TargetMode="External" /><Relationship Id="rId5" Type="http://schemas.openxmlformats.org/officeDocument/2006/relationships/footnotes" Target="footnotes.xml" /><Relationship Id="rId15" Type="http://schemas.openxmlformats.org/officeDocument/2006/relationships/hyperlink" Target="https://doi.org/10.1111/inm.13034" TargetMode="External" /><Relationship Id="rId23" Type="http://schemas.openxmlformats.org/officeDocument/2006/relationships/hyperlink" Target="https://doi.org/10.1136/bmjopen-2019-029300" TargetMode="External" /><Relationship Id="rId28" Type="http://schemas.openxmlformats.org/officeDocument/2006/relationships/footer" Target="footer1.xml" /><Relationship Id="rId10" Type="http://schemas.openxmlformats.org/officeDocument/2006/relationships/hyperlink" Target="https://doi.org/10.1007/s00115-025-01842-6" TargetMode="External" /><Relationship Id="rId19" Type="http://schemas.openxmlformats.org/officeDocument/2006/relationships/hyperlink" Target="https://www.hee.nhs.uk/our-work/mental-health/improving-access-psychological-therapies" TargetMode="External" /><Relationship Id="rId4" Type="http://schemas.openxmlformats.org/officeDocument/2006/relationships/webSettings" Target="webSettings.xml" /><Relationship Id="rId9" Type="http://schemas.openxmlformats.org/officeDocument/2006/relationships/hyperlink" Target="https://doi.org/10.1007/s10803-025-07025-1" TargetMode="External" /><Relationship Id="rId14" Type="http://schemas.openxmlformats.org/officeDocument/2006/relationships/hyperlink" Target="https://doi.org/10.1080/00050067.2024.2356804" TargetMode="External" /><Relationship Id="rId22" Type="http://schemas.openxmlformats.org/officeDocument/2006/relationships/hyperlink" Target="https://doi.org/10.3389/fpsyg.2025.1680267" TargetMode="External" /><Relationship Id="rId27" Type="http://schemas.openxmlformats.org/officeDocument/2006/relationships/hyperlink" Target="https://doi.org/10.3389/fpsyg.2026.1787151"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98796-7171-4952-822B-95DF5F659F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3528</Words>
  <Characters>20113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Mursaleen Ali</cp:lastModifiedBy>
  <cp:revision>2</cp:revision>
  <dcterms:created xsi:type="dcterms:W3CDTF">2026-10-05T21:37:00Z</dcterms:created>
  <dcterms:modified xsi:type="dcterms:W3CDTF">2026-10-05T21:37:00Z</dcterms:modified>
</cp:coreProperties>
</file>