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C27B59" w14:textId="77777777" w:rsidR="00ED7373" w:rsidRDefault="00ED7373" w:rsidP="00E4112E">
      <w:pPr>
        <w:jc w:val="center"/>
        <w:rPr>
          <w:rFonts w:ascii="Verdana" w:hAnsi="Verdana"/>
          <w:b/>
          <w:sz w:val="36"/>
          <w:szCs w:val="36"/>
        </w:rPr>
      </w:pPr>
    </w:p>
    <w:p w14:paraId="29AE1BD8" w14:textId="77777777" w:rsidR="00ED7373" w:rsidRDefault="00ED7373" w:rsidP="00E4112E">
      <w:pPr>
        <w:jc w:val="center"/>
        <w:rPr>
          <w:rFonts w:ascii="Verdana" w:hAnsi="Verdana"/>
          <w:b/>
          <w:sz w:val="36"/>
          <w:szCs w:val="36"/>
        </w:rPr>
      </w:pPr>
    </w:p>
    <w:p w14:paraId="199AB1D2" w14:textId="77777777" w:rsidR="00ED7373" w:rsidRDefault="00ED7373" w:rsidP="00E4112E">
      <w:pPr>
        <w:jc w:val="center"/>
        <w:rPr>
          <w:rFonts w:ascii="Verdana" w:hAnsi="Verdana"/>
          <w:b/>
          <w:sz w:val="36"/>
          <w:szCs w:val="36"/>
        </w:rPr>
      </w:pPr>
    </w:p>
    <w:p w14:paraId="6ABEDA93" w14:textId="77777777" w:rsidR="00ED7373" w:rsidRDefault="00ED7373" w:rsidP="00E4112E">
      <w:pPr>
        <w:jc w:val="center"/>
        <w:rPr>
          <w:rFonts w:ascii="Verdana" w:hAnsi="Verdana"/>
          <w:b/>
          <w:sz w:val="36"/>
          <w:szCs w:val="36"/>
        </w:rPr>
      </w:pPr>
    </w:p>
    <w:p w14:paraId="0400E006" w14:textId="77777777" w:rsidR="00ED7373" w:rsidRDefault="00ED7373" w:rsidP="00E4112E">
      <w:pPr>
        <w:jc w:val="center"/>
        <w:rPr>
          <w:rFonts w:ascii="Verdana" w:hAnsi="Verdana"/>
          <w:b/>
          <w:sz w:val="36"/>
          <w:szCs w:val="36"/>
        </w:rPr>
      </w:pPr>
    </w:p>
    <w:p w14:paraId="6E6A6F16" w14:textId="36D4279F" w:rsidR="0079052A" w:rsidRPr="00ED7373" w:rsidRDefault="0079052A" w:rsidP="00E4112E">
      <w:pPr>
        <w:jc w:val="center"/>
        <w:rPr>
          <w:rFonts w:ascii="Verdana" w:hAnsi="Verdana"/>
          <w:b/>
          <w:sz w:val="36"/>
          <w:szCs w:val="36"/>
        </w:rPr>
      </w:pPr>
      <w:r w:rsidRPr="00ED7373">
        <w:rPr>
          <w:rFonts w:ascii="Verdana" w:hAnsi="Verdana"/>
          <w:b/>
          <w:sz w:val="36"/>
          <w:szCs w:val="36"/>
        </w:rPr>
        <w:t xml:space="preserve">Analysing the La </w:t>
      </w:r>
      <w:proofErr w:type="spellStart"/>
      <w:r w:rsidRPr="00ED7373">
        <w:rPr>
          <w:rFonts w:ascii="Verdana" w:hAnsi="Verdana"/>
          <w:b/>
          <w:sz w:val="36"/>
          <w:szCs w:val="36"/>
        </w:rPr>
        <w:t>Ghorfa</w:t>
      </w:r>
      <w:proofErr w:type="spellEnd"/>
      <w:r w:rsidRPr="00ED7373">
        <w:rPr>
          <w:rFonts w:ascii="Verdana" w:hAnsi="Verdana"/>
          <w:b/>
          <w:sz w:val="36"/>
          <w:szCs w:val="36"/>
        </w:rPr>
        <w:t xml:space="preserve"> Stelae and its Implications on Our Understanding of Roman Africa</w:t>
      </w:r>
    </w:p>
    <w:p w14:paraId="21CE4F19" w14:textId="02BD2364" w:rsidR="00EC163A" w:rsidRDefault="00EC163A" w:rsidP="0079052A"/>
    <w:p w14:paraId="2D03545F" w14:textId="73C89E52" w:rsidR="00EC163A" w:rsidRDefault="00EC163A" w:rsidP="0079052A"/>
    <w:p w14:paraId="726EB083" w14:textId="3F6BBFD2" w:rsidR="00EC163A" w:rsidRDefault="00ED7373" w:rsidP="0079052A">
      <w:r>
        <w:t xml:space="preserve">                              </w:t>
      </w:r>
    </w:p>
    <w:p w14:paraId="2F1FE65B" w14:textId="75D500A1" w:rsidR="00EC163A" w:rsidRDefault="00EC163A" w:rsidP="0079052A"/>
    <w:p w14:paraId="07861CF3" w14:textId="3F113E84" w:rsidR="00EC163A" w:rsidRDefault="00EC163A" w:rsidP="0079052A"/>
    <w:p w14:paraId="13981630" w14:textId="4C97E6CF" w:rsidR="00EC163A" w:rsidRPr="008B6CA6" w:rsidRDefault="00EC163A" w:rsidP="00FB0B96">
      <w:pPr>
        <w:jc w:val="center"/>
        <w:rPr>
          <w:b/>
          <w:sz w:val="24"/>
          <w:szCs w:val="24"/>
        </w:rPr>
      </w:pPr>
    </w:p>
    <w:p w14:paraId="7A7E75F4" w14:textId="7AC85C97" w:rsidR="00EC163A" w:rsidRPr="008B6CA6" w:rsidRDefault="00ED7373" w:rsidP="00FB0B96">
      <w:pPr>
        <w:jc w:val="center"/>
        <w:rPr>
          <w:b/>
          <w:sz w:val="24"/>
          <w:szCs w:val="24"/>
        </w:rPr>
      </w:pPr>
      <w:r w:rsidRPr="008B6CA6">
        <w:rPr>
          <w:b/>
          <w:sz w:val="24"/>
          <w:szCs w:val="24"/>
        </w:rPr>
        <w:t>Name: Brinelle Cladson James</w:t>
      </w:r>
    </w:p>
    <w:p w14:paraId="53926C4D" w14:textId="7394FF91" w:rsidR="00ED7373" w:rsidRPr="008B6CA6" w:rsidRDefault="00874199" w:rsidP="00FB0B96">
      <w:pPr>
        <w:jc w:val="center"/>
        <w:rPr>
          <w:b/>
          <w:sz w:val="24"/>
          <w:szCs w:val="24"/>
        </w:rPr>
      </w:pPr>
      <w:r w:rsidRPr="008B6CA6">
        <w:rPr>
          <w:b/>
          <w:sz w:val="24"/>
          <w:szCs w:val="24"/>
        </w:rPr>
        <w:t>Student Number: 1602107</w:t>
      </w:r>
    </w:p>
    <w:p w14:paraId="01B3F2ED" w14:textId="361D617A" w:rsidR="00874199" w:rsidRPr="008B6CA6" w:rsidRDefault="00874199" w:rsidP="00FB0B96">
      <w:pPr>
        <w:jc w:val="center"/>
        <w:rPr>
          <w:b/>
          <w:sz w:val="24"/>
          <w:szCs w:val="24"/>
        </w:rPr>
      </w:pPr>
      <w:r w:rsidRPr="008B6CA6">
        <w:rPr>
          <w:b/>
          <w:sz w:val="24"/>
          <w:szCs w:val="24"/>
        </w:rPr>
        <w:t>Module: CLAH</w:t>
      </w:r>
      <w:r w:rsidR="00FB0B96" w:rsidRPr="008B6CA6">
        <w:rPr>
          <w:b/>
          <w:sz w:val="24"/>
          <w:szCs w:val="24"/>
        </w:rPr>
        <w:t>7017</w:t>
      </w:r>
    </w:p>
    <w:p w14:paraId="28C9C4CA" w14:textId="5F8F54CB" w:rsidR="00EC163A" w:rsidRDefault="00EC163A" w:rsidP="0079052A"/>
    <w:p w14:paraId="18B4E0AA" w14:textId="6E1BA954" w:rsidR="00EC163A" w:rsidRDefault="00EC163A" w:rsidP="0079052A"/>
    <w:p w14:paraId="363BF7F9" w14:textId="35A4DA0F" w:rsidR="00EC163A" w:rsidRDefault="00EC163A" w:rsidP="0079052A"/>
    <w:p w14:paraId="104E39AF" w14:textId="2407A5F3" w:rsidR="00EC163A" w:rsidRDefault="00EC163A" w:rsidP="0079052A"/>
    <w:p w14:paraId="547617AB" w14:textId="5176E465" w:rsidR="00EC163A" w:rsidRDefault="00EC163A" w:rsidP="0079052A"/>
    <w:p w14:paraId="5924D866" w14:textId="758E957F" w:rsidR="00EC163A" w:rsidRDefault="00EC163A" w:rsidP="0079052A"/>
    <w:p w14:paraId="7A0A1E2C" w14:textId="713473B2" w:rsidR="00EC163A" w:rsidRDefault="00EC163A" w:rsidP="0079052A"/>
    <w:p w14:paraId="04475B4B" w14:textId="408607D0" w:rsidR="00EC163A" w:rsidRDefault="00EC163A" w:rsidP="0079052A"/>
    <w:p w14:paraId="70E69FE9" w14:textId="5A919651" w:rsidR="00EC163A" w:rsidRDefault="00EC163A" w:rsidP="0079052A"/>
    <w:p w14:paraId="1E409831" w14:textId="2F1B3F75" w:rsidR="00EC163A" w:rsidRDefault="00EC163A" w:rsidP="0079052A"/>
    <w:p w14:paraId="73173F4C" w14:textId="2F4D2EEB" w:rsidR="00EC163A" w:rsidRDefault="00EC163A" w:rsidP="0079052A"/>
    <w:p w14:paraId="3F0DCCE8" w14:textId="77777777" w:rsidR="00EC163A" w:rsidRDefault="00EC163A" w:rsidP="0079052A"/>
    <w:p w14:paraId="0434802E" w14:textId="066D5B6E" w:rsidR="0079052A" w:rsidRPr="00B13B22" w:rsidRDefault="0079052A" w:rsidP="0079052A">
      <w:pPr>
        <w:rPr>
          <w:rFonts w:ascii="Verdana" w:hAnsi="Verdana"/>
        </w:rPr>
      </w:pPr>
      <w:r w:rsidRPr="00B13B22">
        <w:rPr>
          <w:rFonts w:ascii="Verdana" w:hAnsi="Verdana"/>
        </w:rPr>
        <w:t xml:space="preserve">During the Carthaginian period in North Africa, not much of the inland was occupied. Though cities with commercial importance grew, the Carthaginians left the local Berber population to themselves. Even so, Neo-Punic inscriptions of later centuries show that Punic influences were strong in regions such as </w:t>
      </w:r>
      <w:proofErr w:type="spellStart"/>
      <w:r w:rsidRPr="00B13B22">
        <w:rPr>
          <w:rFonts w:ascii="Verdana" w:hAnsi="Verdana"/>
        </w:rPr>
        <w:t>Maktar</w:t>
      </w:r>
      <w:proofErr w:type="spellEnd"/>
      <w:r w:rsidRPr="00B13B22">
        <w:rPr>
          <w:rFonts w:ascii="Verdana" w:hAnsi="Verdana"/>
        </w:rPr>
        <w:t xml:space="preserve">, </w:t>
      </w:r>
      <w:proofErr w:type="spellStart"/>
      <w:r w:rsidRPr="00B13B22">
        <w:rPr>
          <w:rFonts w:ascii="Verdana" w:hAnsi="Verdana"/>
        </w:rPr>
        <w:t>Thugga</w:t>
      </w:r>
      <w:proofErr w:type="spellEnd"/>
      <w:r w:rsidRPr="00B13B22">
        <w:rPr>
          <w:rFonts w:ascii="Verdana" w:hAnsi="Verdana"/>
        </w:rPr>
        <w:t xml:space="preserve">, and the westward areas. After the Carthaginian Empire’s defeat to Rome in 146 BC, and after the inclusion of Juba, the territory came to be known as Africa </w:t>
      </w:r>
      <w:proofErr w:type="spellStart"/>
      <w:r w:rsidRPr="00B13B22">
        <w:rPr>
          <w:rFonts w:ascii="Verdana" w:hAnsi="Verdana"/>
        </w:rPr>
        <w:t>Proconsularis</w:t>
      </w:r>
      <w:proofErr w:type="spellEnd"/>
      <w:r w:rsidRPr="00B13B22">
        <w:rPr>
          <w:rFonts w:ascii="Verdana" w:hAnsi="Verdana"/>
        </w:rPr>
        <w:t>. Even so, Roman influence did not develop until the latter part of the 1st century AD;</w:t>
      </w:r>
      <w:r w:rsidR="0007346B" w:rsidRPr="00B13B22">
        <w:rPr>
          <w:rFonts w:ascii="Verdana" w:hAnsi="Verdana"/>
        </w:rPr>
        <w:t xml:space="preserve"> when Roman </w:t>
      </w:r>
      <w:r w:rsidR="00601730" w:rsidRPr="00B13B22">
        <w:rPr>
          <w:rFonts w:ascii="Verdana" w:hAnsi="Verdana"/>
        </w:rPr>
        <w:t>sovereignty</w:t>
      </w:r>
      <w:r w:rsidR="00F176A5" w:rsidRPr="00B13B22">
        <w:rPr>
          <w:rFonts w:ascii="Verdana" w:hAnsi="Verdana"/>
        </w:rPr>
        <w:t xml:space="preserve"> was extended among the nomadic </w:t>
      </w:r>
      <w:r w:rsidR="00601730" w:rsidRPr="00B13B22">
        <w:rPr>
          <w:rFonts w:ascii="Verdana" w:hAnsi="Verdana"/>
        </w:rPr>
        <w:t>interiors and so</w:t>
      </w:r>
      <w:r w:rsidRPr="00B13B22">
        <w:rPr>
          <w:rFonts w:ascii="Verdana" w:hAnsi="Verdana"/>
        </w:rPr>
        <w:t xml:space="preserve"> the imperial cults spread inwards to the mountains of Central Tunisia</w:t>
      </w:r>
      <w:r w:rsidR="00AD0644" w:rsidRPr="00B13B22">
        <w:rPr>
          <w:rStyle w:val="FootnoteReference"/>
          <w:rFonts w:ascii="Verdana" w:hAnsi="Verdana"/>
        </w:rPr>
        <w:footnoteReference w:id="1"/>
      </w:r>
      <w:r w:rsidRPr="00B13B22">
        <w:rPr>
          <w:rFonts w:ascii="Verdana" w:hAnsi="Verdana"/>
        </w:rPr>
        <w:t xml:space="preserve">. </w:t>
      </w:r>
    </w:p>
    <w:p w14:paraId="6D260873" w14:textId="66C9BC54" w:rsidR="0079052A" w:rsidRPr="00B13B22" w:rsidRDefault="0079052A" w:rsidP="0079052A">
      <w:pPr>
        <w:rPr>
          <w:rFonts w:ascii="Verdana" w:hAnsi="Verdana"/>
        </w:rPr>
      </w:pPr>
      <w:r w:rsidRPr="00B13B22">
        <w:rPr>
          <w:rFonts w:ascii="Verdana" w:hAnsi="Verdana"/>
        </w:rPr>
        <w:t xml:space="preserve">The La </w:t>
      </w:r>
      <w:proofErr w:type="spellStart"/>
      <w:r w:rsidRPr="00B13B22">
        <w:rPr>
          <w:rFonts w:ascii="Verdana" w:hAnsi="Verdana"/>
        </w:rPr>
        <w:t>Ghorfa</w:t>
      </w:r>
      <w:proofErr w:type="spellEnd"/>
      <w:r w:rsidRPr="00B13B22">
        <w:rPr>
          <w:rFonts w:ascii="Verdana" w:hAnsi="Verdana"/>
        </w:rPr>
        <w:t xml:space="preserve"> stelae were discovered in the 19th Century, and since then more than 40 of them have surfaced. The name La </w:t>
      </w:r>
      <w:proofErr w:type="spellStart"/>
      <w:r w:rsidRPr="00B13B22">
        <w:rPr>
          <w:rFonts w:ascii="Verdana" w:hAnsi="Verdana"/>
        </w:rPr>
        <w:t>Ghorfa</w:t>
      </w:r>
      <w:proofErr w:type="spellEnd"/>
      <w:r w:rsidRPr="00B13B22">
        <w:rPr>
          <w:rFonts w:ascii="Verdana" w:hAnsi="Verdana"/>
        </w:rPr>
        <w:t xml:space="preserve"> itself seems to be a problematic term as the stelae were not found in the plains of </w:t>
      </w:r>
      <w:proofErr w:type="spellStart"/>
      <w:r w:rsidRPr="00B13B22">
        <w:rPr>
          <w:rFonts w:ascii="Verdana" w:hAnsi="Verdana"/>
        </w:rPr>
        <w:t>Ghorfa</w:t>
      </w:r>
      <w:proofErr w:type="spellEnd"/>
      <w:r w:rsidRPr="00B13B22">
        <w:rPr>
          <w:rFonts w:ascii="Verdana" w:hAnsi="Verdana"/>
        </w:rPr>
        <w:t xml:space="preserve"> has it was first believed but came from the </w:t>
      </w:r>
      <w:proofErr w:type="spellStart"/>
      <w:r w:rsidRPr="00B13B22">
        <w:rPr>
          <w:rFonts w:ascii="Verdana" w:hAnsi="Verdana"/>
        </w:rPr>
        <w:t>Maktar</w:t>
      </w:r>
      <w:proofErr w:type="spellEnd"/>
      <w:r w:rsidRPr="00B13B22">
        <w:rPr>
          <w:rFonts w:ascii="Verdana" w:hAnsi="Verdana"/>
        </w:rPr>
        <w:t xml:space="preserve"> region in central Tunisia</w:t>
      </w:r>
      <w:r w:rsidR="00BD4904" w:rsidRPr="00B13B22">
        <w:rPr>
          <w:rStyle w:val="FootnoteReference"/>
          <w:rFonts w:ascii="Verdana" w:hAnsi="Verdana"/>
        </w:rPr>
        <w:footnoteReference w:id="2"/>
      </w:r>
      <w:r w:rsidRPr="00B13B22">
        <w:rPr>
          <w:rFonts w:ascii="Verdana" w:hAnsi="Verdana"/>
        </w:rPr>
        <w:t xml:space="preserve">. Moore agrees with the conclusions of </w:t>
      </w:r>
      <w:proofErr w:type="spellStart"/>
      <w:r w:rsidRPr="00B13B22">
        <w:rPr>
          <w:rFonts w:ascii="Verdana" w:hAnsi="Verdana"/>
        </w:rPr>
        <w:t>M'Charek</w:t>
      </w:r>
      <w:proofErr w:type="spellEnd"/>
      <w:r w:rsidRPr="00B13B22">
        <w:rPr>
          <w:rFonts w:ascii="Verdana" w:hAnsi="Verdana"/>
        </w:rPr>
        <w:t xml:space="preserve"> as it places the group in an agricultural zone where votive offering was crucial to a good harvest. The western part of this agrarian zone became a hub of cross-cultural identity as Punic, Numidian and Roman groups met, and this gave rise to the La </w:t>
      </w:r>
      <w:proofErr w:type="spellStart"/>
      <w:r w:rsidRPr="00B13B22">
        <w:rPr>
          <w:rFonts w:ascii="Verdana" w:hAnsi="Verdana"/>
        </w:rPr>
        <w:t>Ghorfa</w:t>
      </w:r>
      <w:proofErr w:type="spellEnd"/>
      <w:r w:rsidRPr="00B13B22">
        <w:rPr>
          <w:rFonts w:ascii="Verdana" w:hAnsi="Verdana"/>
        </w:rPr>
        <w:t xml:space="preserve"> stelae. Pickard states that he saw the 1st half of the 2nd Century AD as a 'renaissance' in the Numidian kingdom as the La </w:t>
      </w:r>
      <w:proofErr w:type="spellStart"/>
      <w:r w:rsidRPr="00B13B22">
        <w:rPr>
          <w:rFonts w:ascii="Verdana" w:hAnsi="Verdana"/>
        </w:rPr>
        <w:t>Ghorfa</w:t>
      </w:r>
      <w:proofErr w:type="spellEnd"/>
      <w:r w:rsidRPr="00B13B22">
        <w:rPr>
          <w:rFonts w:ascii="Verdana" w:hAnsi="Verdana"/>
        </w:rPr>
        <w:t xml:space="preserve"> stelae show their figures more anthropomorphic and natural, yet they were distinct from Greco-Roman art due to the blurring of real and supernatural, using frontality, symmetry and showing no concern for space and proportions. </w:t>
      </w:r>
    </w:p>
    <w:p w14:paraId="671F1644" w14:textId="58F97E0F" w:rsidR="0079052A" w:rsidRPr="00B13B22" w:rsidRDefault="0079052A" w:rsidP="0079052A">
      <w:pPr>
        <w:rPr>
          <w:rFonts w:ascii="Verdana" w:hAnsi="Verdana"/>
        </w:rPr>
      </w:pPr>
      <w:r w:rsidRPr="00B13B22">
        <w:rPr>
          <w:rFonts w:ascii="Verdana" w:hAnsi="Verdana"/>
        </w:rPr>
        <w:t>The stelae are found in various sizes, though their shape mainly remains consistent, they have a rectangular body of 0.38m wide, 0.15m thick and an average height of 5m. Due to the Roman influence on their art, the stelae began to look decorated and natural compared to abstract Punic style. The stelae started to look more compartmentalised and had a strict layout</w:t>
      </w:r>
      <w:r w:rsidR="00A500F7" w:rsidRPr="00B13B22">
        <w:rPr>
          <w:rStyle w:val="FootnoteReference"/>
          <w:rFonts w:ascii="Verdana" w:hAnsi="Verdana"/>
        </w:rPr>
        <w:footnoteReference w:id="3"/>
      </w:r>
      <w:r w:rsidRPr="00B13B22">
        <w:rPr>
          <w:rFonts w:ascii="Verdana" w:hAnsi="Verdana"/>
        </w:rPr>
        <w:t xml:space="preserve">. The stelae now consisted of three registers, the top register contained deities, the middle register included the </w:t>
      </w:r>
      <w:proofErr w:type="spellStart"/>
      <w:r w:rsidRPr="00B13B22">
        <w:rPr>
          <w:rFonts w:ascii="Verdana" w:hAnsi="Verdana"/>
        </w:rPr>
        <w:t>dedicant</w:t>
      </w:r>
      <w:proofErr w:type="spellEnd"/>
      <w:r w:rsidRPr="00B13B22">
        <w:rPr>
          <w:rFonts w:ascii="Verdana" w:hAnsi="Verdana"/>
        </w:rPr>
        <w:t xml:space="preserve"> and an altar, and the last register consisted of the animal that had been offered and/or Atlantes who seem to be carrying the offering scene on their hands.</w:t>
      </w:r>
    </w:p>
    <w:p w14:paraId="2EA61D86" w14:textId="77777777" w:rsidR="0079052A" w:rsidRPr="00B13B22" w:rsidRDefault="0079052A" w:rsidP="0079052A">
      <w:pPr>
        <w:rPr>
          <w:rFonts w:ascii="Verdana" w:hAnsi="Verdana"/>
        </w:rPr>
      </w:pPr>
      <w:r w:rsidRPr="00B13B22">
        <w:rPr>
          <w:rFonts w:ascii="Verdana" w:hAnsi="Verdana"/>
        </w:rPr>
        <w:t>Registers</w:t>
      </w:r>
    </w:p>
    <w:p w14:paraId="35C769F5" w14:textId="71AD5240" w:rsidR="0079052A" w:rsidRPr="00B13B22" w:rsidRDefault="0079052A" w:rsidP="0079052A">
      <w:pPr>
        <w:rPr>
          <w:rFonts w:ascii="Verdana" w:hAnsi="Verdana"/>
        </w:rPr>
      </w:pPr>
      <w:r w:rsidRPr="00B13B22">
        <w:rPr>
          <w:rFonts w:ascii="Verdana" w:hAnsi="Verdana"/>
        </w:rPr>
        <w:t xml:space="preserve">Unlike stelae found in other regions of the African </w:t>
      </w:r>
      <w:proofErr w:type="spellStart"/>
      <w:r w:rsidRPr="00B13B22">
        <w:rPr>
          <w:rFonts w:ascii="Verdana" w:hAnsi="Verdana"/>
        </w:rPr>
        <w:t>Proconsularis</w:t>
      </w:r>
      <w:proofErr w:type="spellEnd"/>
      <w:r w:rsidRPr="00B13B22">
        <w:rPr>
          <w:rFonts w:ascii="Verdana" w:hAnsi="Verdana"/>
        </w:rPr>
        <w:t xml:space="preserve">, the top register in the La </w:t>
      </w:r>
      <w:proofErr w:type="spellStart"/>
      <w:r w:rsidRPr="00B13B22">
        <w:rPr>
          <w:rFonts w:ascii="Verdana" w:hAnsi="Verdana"/>
        </w:rPr>
        <w:t>Ghorfa</w:t>
      </w:r>
      <w:proofErr w:type="spellEnd"/>
      <w:r w:rsidRPr="00B13B22">
        <w:rPr>
          <w:rFonts w:ascii="Verdana" w:hAnsi="Verdana"/>
        </w:rPr>
        <w:t xml:space="preserve"> stelae show no indication that the offerings were indicated for </w:t>
      </w:r>
      <w:proofErr w:type="spellStart"/>
      <w:r w:rsidRPr="00B13B22">
        <w:rPr>
          <w:rFonts w:ascii="Verdana" w:hAnsi="Verdana"/>
        </w:rPr>
        <w:t>Ba'al</w:t>
      </w:r>
      <w:proofErr w:type="spellEnd"/>
      <w:r w:rsidRPr="00B13B22">
        <w:rPr>
          <w:rFonts w:ascii="Verdana" w:hAnsi="Verdana"/>
        </w:rPr>
        <w:t xml:space="preserve"> or Saturn. In fact, the stelae are a combination of Punic beliefs and Roman culture. On top of the undamaged stelae, we see the Punic symbol of the 'Sign of </w:t>
      </w:r>
      <w:proofErr w:type="spellStart"/>
      <w:r w:rsidRPr="00B13B22">
        <w:rPr>
          <w:rFonts w:ascii="Verdana" w:hAnsi="Verdana"/>
        </w:rPr>
        <w:t>Tanit</w:t>
      </w:r>
      <w:proofErr w:type="spellEnd"/>
      <w:r w:rsidRPr="00B13B22">
        <w:rPr>
          <w:rFonts w:ascii="Verdana" w:hAnsi="Verdana"/>
        </w:rPr>
        <w:t xml:space="preserve">,' though it could be believed that the sign indicates that the stelae were dedicated to the Punic gods </w:t>
      </w:r>
      <w:proofErr w:type="spellStart"/>
      <w:r w:rsidRPr="00B13B22">
        <w:rPr>
          <w:rFonts w:ascii="Verdana" w:hAnsi="Verdana"/>
        </w:rPr>
        <w:t>Ba'al</w:t>
      </w:r>
      <w:proofErr w:type="spellEnd"/>
      <w:r w:rsidRPr="00B13B22">
        <w:rPr>
          <w:rFonts w:ascii="Verdana" w:hAnsi="Verdana"/>
        </w:rPr>
        <w:t xml:space="preserve"> and his counterpart </w:t>
      </w:r>
      <w:proofErr w:type="spellStart"/>
      <w:r w:rsidRPr="00B13B22">
        <w:rPr>
          <w:rFonts w:ascii="Verdana" w:hAnsi="Verdana"/>
        </w:rPr>
        <w:t>Tanit</w:t>
      </w:r>
      <w:proofErr w:type="spellEnd"/>
      <w:r w:rsidRPr="00B13B22">
        <w:rPr>
          <w:rFonts w:ascii="Verdana" w:hAnsi="Verdana"/>
        </w:rPr>
        <w:t>, Moore states that it is unclear to whom does this divine symbol indicate</w:t>
      </w:r>
      <w:r w:rsidR="00854EC4" w:rsidRPr="00B13B22">
        <w:rPr>
          <w:rStyle w:val="FootnoteReference"/>
          <w:rFonts w:ascii="Verdana" w:hAnsi="Verdana"/>
        </w:rPr>
        <w:footnoteReference w:id="4"/>
      </w:r>
      <w:r w:rsidRPr="00B13B22">
        <w:rPr>
          <w:rFonts w:ascii="Verdana" w:hAnsi="Verdana"/>
        </w:rPr>
        <w:t xml:space="preserve">. The abstract sign is further </w:t>
      </w:r>
      <w:r w:rsidRPr="00B13B22">
        <w:rPr>
          <w:rFonts w:ascii="Verdana" w:hAnsi="Verdana"/>
        </w:rPr>
        <w:lastRenderedPageBreak/>
        <w:t>'</w:t>
      </w:r>
      <w:proofErr w:type="spellStart"/>
      <w:r w:rsidRPr="00B13B22">
        <w:rPr>
          <w:rFonts w:ascii="Verdana" w:hAnsi="Verdana"/>
        </w:rPr>
        <w:t>romanised</w:t>
      </w:r>
      <w:proofErr w:type="spellEnd"/>
      <w:r w:rsidRPr="00B13B22">
        <w:rPr>
          <w:rFonts w:ascii="Verdana" w:hAnsi="Verdana"/>
        </w:rPr>
        <w:t>' as it is having hands that hold grapes and pomegranates and its rectangular body transforms into a robe. Yet, this humanised form lacks and distinctive sexual features that would help determine the God or Goddess worshipped here. Sculpted above the sign are the images of a disc and crescent which could represent Sol and Luna. Replacing the disc in some stelae is a wreath that contains a human face. It is not clear if these faces represent either a male or female form further confusing the object of the stelae. The top register next contains Greco-Roman gods such as Dionysus, Venus, and Eros. The Hellenistic figure of Dionysus could also be interpreted as Liber Pater who shared his appearance and functions with Dionysus. Though he was a minor Roman god, the cult of Liber Pater was rather prominent in Roman Africa identifying him as the god of proper civic behaviour</w:t>
      </w:r>
      <w:r w:rsidR="00433D23" w:rsidRPr="00B13B22">
        <w:rPr>
          <w:rStyle w:val="FootnoteReference"/>
          <w:rFonts w:ascii="Verdana" w:hAnsi="Verdana"/>
        </w:rPr>
        <w:footnoteReference w:id="5"/>
      </w:r>
      <w:r w:rsidRPr="00B13B22">
        <w:rPr>
          <w:rFonts w:ascii="Verdana" w:hAnsi="Verdana"/>
        </w:rPr>
        <w:t xml:space="preserve">. Liber Pater is coupled with Venus who was very prominent in the </w:t>
      </w:r>
      <w:proofErr w:type="spellStart"/>
      <w:r w:rsidRPr="00B13B22">
        <w:rPr>
          <w:rFonts w:ascii="Verdana" w:hAnsi="Verdana"/>
        </w:rPr>
        <w:t>Proconsularis</w:t>
      </w:r>
      <w:proofErr w:type="spellEnd"/>
      <w:r w:rsidRPr="00B13B22">
        <w:rPr>
          <w:rFonts w:ascii="Verdana" w:hAnsi="Verdana"/>
        </w:rPr>
        <w:t xml:space="preserve">. These gods, along with Eros, represented fertility and fecundity. In some stelae, these gods are replaced with Jupiter and the Dioscuri. These stelae have a formal setting as Jupiter is seated along with the Dioscuri, holding his bolt and his eagle is placed next to him. These formal stelae seem to represent a formal relationship between the </w:t>
      </w:r>
      <w:proofErr w:type="spellStart"/>
      <w:r w:rsidRPr="00B13B22">
        <w:rPr>
          <w:rFonts w:ascii="Verdana" w:hAnsi="Verdana"/>
        </w:rPr>
        <w:t>dedicant</w:t>
      </w:r>
      <w:proofErr w:type="spellEnd"/>
      <w:r w:rsidRPr="00B13B22">
        <w:rPr>
          <w:rFonts w:ascii="Verdana" w:hAnsi="Verdana"/>
        </w:rPr>
        <w:t xml:space="preserve"> and the god.</w:t>
      </w:r>
      <w:r w:rsidR="003F366F" w:rsidRPr="00B13B22">
        <w:rPr>
          <w:rStyle w:val="FootnoteReference"/>
          <w:rFonts w:ascii="Verdana" w:hAnsi="Verdana"/>
        </w:rPr>
        <w:footnoteReference w:id="6"/>
      </w:r>
      <w:r w:rsidRPr="00B13B22">
        <w:rPr>
          <w:rFonts w:ascii="Verdana" w:hAnsi="Verdana"/>
        </w:rPr>
        <w:t xml:space="preserve"> </w:t>
      </w:r>
    </w:p>
    <w:p w14:paraId="3E38B266" w14:textId="600C344C" w:rsidR="0079052A" w:rsidRPr="00B13B22" w:rsidRDefault="0079052A" w:rsidP="0079052A">
      <w:pPr>
        <w:rPr>
          <w:rFonts w:ascii="Verdana" w:hAnsi="Verdana"/>
        </w:rPr>
      </w:pPr>
      <w:r w:rsidRPr="00B13B22">
        <w:rPr>
          <w:rFonts w:ascii="Verdana" w:hAnsi="Verdana"/>
        </w:rPr>
        <w:t xml:space="preserve">In the middle register, our attention is drawn to a structure and a </w:t>
      </w:r>
      <w:proofErr w:type="spellStart"/>
      <w:r w:rsidRPr="00B13B22">
        <w:rPr>
          <w:rFonts w:ascii="Verdana" w:hAnsi="Verdana"/>
        </w:rPr>
        <w:t>dedicant</w:t>
      </w:r>
      <w:proofErr w:type="spellEnd"/>
      <w:r w:rsidRPr="00B13B22">
        <w:rPr>
          <w:rFonts w:ascii="Verdana" w:hAnsi="Verdana"/>
        </w:rPr>
        <w:t xml:space="preserve"> within the structure. The structure itself seems to have undergone some transformation during the century. While the Punic stelae are architecturally simple, stelae from the Roman period are intricate. The aedicula or temple consists of a pediment, columns and a niche. The pediments in the La </w:t>
      </w:r>
      <w:proofErr w:type="spellStart"/>
      <w:r w:rsidRPr="00B13B22">
        <w:rPr>
          <w:rFonts w:ascii="Verdana" w:hAnsi="Verdana"/>
        </w:rPr>
        <w:t>Ghorfa</w:t>
      </w:r>
      <w:proofErr w:type="spellEnd"/>
      <w:r w:rsidRPr="00B13B22">
        <w:rPr>
          <w:rFonts w:ascii="Verdana" w:hAnsi="Verdana"/>
        </w:rPr>
        <w:t xml:space="preserve"> stelae are detailed with a bird or bust. The bird varied between an eagle or a rooster, both these birds signified authority and strength</w:t>
      </w:r>
      <w:r w:rsidR="00484CBC" w:rsidRPr="00B13B22">
        <w:rPr>
          <w:rStyle w:val="FootnoteReference"/>
          <w:rFonts w:ascii="Verdana" w:hAnsi="Verdana"/>
        </w:rPr>
        <w:footnoteReference w:id="7"/>
      </w:r>
      <w:r w:rsidRPr="00B13B22">
        <w:rPr>
          <w:rFonts w:ascii="Verdana" w:hAnsi="Verdana"/>
        </w:rPr>
        <w:t xml:space="preserve">. Apart from the birds, the busts could be either male or female. While the male busts suggest Jupiter, the female busts give no clear indication of the Goddess they represent, speculation of the image range between </w:t>
      </w:r>
      <w:proofErr w:type="spellStart"/>
      <w:r w:rsidRPr="00B13B22">
        <w:rPr>
          <w:rFonts w:ascii="Verdana" w:hAnsi="Verdana"/>
        </w:rPr>
        <w:t>Tanit</w:t>
      </w:r>
      <w:proofErr w:type="spellEnd"/>
      <w:r w:rsidRPr="00B13B22">
        <w:rPr>
          <w:rFonts w:ascii="Verdana" w:hAnsi="Verdana"/>
        </w:rPr>
        <w:t xml:space="preserve"> or </w:t>
      </w:r>
      <w:proofErr w:type="spellStart"/>
      <w:r w:rsidRPr="00B13B22">
        <w:rPr>
          <w:rFonts w:ascii="Verdana" w:hAnsi="Verdana"/>
        </w:rPr>
        <w:t>Caelestis</w:t>
      </w:r>
      <w:proofErr w:type="spellEnd"/>
      <w:r w:rsidRPr="00B13B22">
        <w:rPr>
          <w:rFonts w:ascii="Verdana" w:hAnsi="Verdana"/>
        </w:rPr>
        <w:t xml:space="preserve"> to Venus. The </w:t>
      </w:r>
      <w:proofErr w:type="spellStart"/>
      <w:r w:rsidRPr="00B13B22">
        <w:rPr>
          <w:rFonts w:ascii="Verdana" w:hAnsi="Verdana"/>
        </w:rPr>
        <w:t>dedicants</w:t>
      </w:r>
      <w:proofErr w:type="spellEnd"/>
      <w:r w:rsidRPr="00B13B22">
        <w:rPr>
          <w:rFonts w:ascii="Verdana" w:hAnsi="Verdana"/>
        </w:rPr>
        <w:t xml:space="preserve"> are not restricted to men, and some stelae show a couple giving their offering to the gods. Roman influence on the stelae is witnessed in the clothing of the </w:t>
      </w:r>
      <w:proofErr w:type="spellStart"/>
      <w:r w:rsidRPr="00B13B22">
        <w:rPr>
          <w:rFonts w:ascii="Verdana" w:hAnsi="Verdana"/>
        </w:rPr>
        <w:t>dedicants</w:t>
      </w:r>
      <w:proofErr w:type="spellEnd"/>
      <w:r w:rsidRPr="00B13B22">
        <w:rPr>
          <w:rFonts w:ascii="Verdana" w:hAnsi="Verdana"/>
        </w:rPr>
        <w:t xml:space="preserve"> where the men wear the Roman togas and women are dressed in a tunic. The </w:t>
      </w:r>
      <w:proofErr w:type="spellStart"/>
      <w:r w:rsidRPr="00B13B22">
        <w:rPr>
          <w:rFonts w:ascii="Verdana" w:hAnsi="Verdana"/>
        </w:rPr>
        <w:t>dedicants</w:t>
      </w:r>
      <w:proofErr w:type="spellEnd"/>
      <w:r w:rsidRPr="00B13B22">
        <w:rPr>
          <w:rFonts w:ascii="Verdana" w:hAnsi="Verdana"/>
        </w:rPr>
        <w:t xml:space="preserve"> seem to be holding their fruit offerings with them. Unlike Roman culture, the </w:t>
      </w:r>
      <w:proofErr w:type="spellStart"/>
      <w:r w:rsidRPr="00B13B22">
        <w:rPr>
          <w:rFonts w:ascii="Verdana" w:hAnsi="Verdana"/>
        </w:rPr>
        <w:t>dedicants</w:t>
      </w:r>
      <w:proofErr w:type="spellEnd"/>
      <w:r w:rsidRPr="00B13B22">
        <w:rPr>
          <w:rFonts w:ascii="Verdana" w:hAnsi="Verdana"/>
        </w:rPr>
        <w:t xml:space="preserve"> in Roman Africa do no cover their head while making their sacrifice. Questions arise as the identity of most of the </w:t>
      </w:r>
      <w:proofErr w:type="spellStart"/>
      <w:r w:rsidRPr="00B13B22">
        <w:rPr>
          <w:rFonts w:ascii="Verdana" w:hAnsi="Verdana"/>
        </w:rPr>
        <w:t>dedicants</w:t>
      </w:r>
      <w:proofErr w:type="spellEnd"/>
      <w:r w:rsidRPr="00B13B22">
        <w:rPr>
          <w:rFonts w:ascii="Verdana" w:hAnsi="Verdana"/>
        </w:rPr>
        <w:t xml:space="preserve"> in the La </w:t>
      </w:r>
      <w:proofErr w:type="spellStart"/>
      <w:r w:rsidRPr="00B13B22">
        <w:rPr>
          <w:rFonts w:ascii="Verdana" w:hAnsi="Verdana"/>
        </w:rPr>
        <w:t>Ghorfa</w:t>
      </w:r>
      <w:proofErr w:type="spellEnd"/>
      <w:r w:rsidRPr="00B13B22">
        <w:rPr>
          <w:rFonts w:ascii="Verdana" w:hAnsi="Verdana"/>
        </w:rPr>
        <w:t xml:space="preserve"> group is hidden. </w:t>
      </w:r>
      <w:r w:rsidR="00891490" w:rsidRPr="00B13B22">
        <w:rPr>
          <w:rFonts w:ascii="Verdana" w:hAnsi="Verdana"/>
        </w:rPr>
        <w:t>Therefore,</w:t>
      </w:r>
      <w:r w:rsidRPr="00B13B22">
        <w:rPr>
          <w:rFonts w:ascii="Verdana" w:hAnsi="Verdana"/>
        </w:rPr>
        <w:t xml:space="preserve"> it becomes difficult to categorize the status of these people. Moore suggests that due to the quality of the La </w:t>
      </w:r>
      <w:proofErr w:type="spellStart"/>
      <w:r w:rsidRPr="00B13B22">
        <w:rPr>
          <w:rFonts w:ascii="Verdana" w:hAnsi="Verdana"/>
        </w:rPr>
        <w:t>Ghorfa</w:t>
      </w:r>
      <w:proofErr w:type="spellEnd"/>
      <w:r w:rsidRPr="00B13B22">
        <w:rPr>
          <w:rFonts w:ascii="Verdana" w:hAnsi="Verdana"/>
        </w:rPr>
        <w:t xml:space="preserve"> stelae the </w:t>
      </w:r>
      <w:proofErr w:type="spellStart"/>
      <w:r w:rsidRPr="00B13B22">
        <w:rPr>
          <w:rFonts w:ascii="Verdana" w:hAnsi="Verdana"/>
        </w:rPr>
        <w:t>dedicants</w:t>
      </w:r>
      <w:proofErr w:type="spellEnd"/>
      <w:r w:rsidRPr="00B13B22">
        <w:rPr>
          <w:rFonts w:ascii="Verdana" w:hAnsi="Verdana"/>
        </w:rPr>
        <w:t xml:space="preserve"> were probably well off though they had no political or economic ranking. Wilson though indicates that considering </w:t>
      </w:r>
      <w:proofErr w:type="spellStart"/>
      <w:r w:rsidRPr="00B13B22">
        <w:rPr>
          <w:rFonts w:ascii="Verdana" w:hAnsi="Verdana"/>
        </w:rPr>
        <w:t>Ba’al</w:t>
      </w:r>
      <w:proofErr w:type="spellEnd"/>
      <w:r w:rsidRPr="00B13B22">
        <w:rPr>
          <w:rFonts w:ascii="Verdana" w:hAnsi="Verdana"/>
        </w:rPr>
        <w:t xml:space="preserve"> and Saturn were the prominent gods in Roman Africa; they appealed to the middle and lower classes</w:t>
      </w:r>
      <w:r w:rsidR="00633BEB" w:rsidRPr="00B13B22">
        <w:rPr>
          <w:rStyle w:val="FootnoteReference"/>
          <w:rFonts w:ascii="Verdana" w:hAnsi="Verdana"/>
        </w:rPr>
        <w:footnoteReference w:id="8"/>
      </w:r>
      <w:r w:rsidRPr="00B13B22">
        <w:rPr>
          <w:rFonts w:ascii="Verdana" w:hAnsi="Verdana"/>
        </w:rPr>
        <w:t xml:space="preserve">. </w:t>
      </w:r>
    </w:p>
    <w:p w14:paraId="2020B718" w14:textId="77777777" w:rsidR="0079052A" w:rsidRPr="00B13B22" w:rsidRDefault="0079052A" w:rsidP="0079052A">
      <w:pPr>
        <w:rPr>
          <w:rFonts w:ascii="Verdana" w:hAnsi="Verdana"/>
        </w:rPr>
      </w:pPr>
      <w:r w:rsidRPr="00B13B22">
        <w:rPr>
          <w:rFonts w:ascii="Verdana" w:hAnsi="Verdana"/>
        </w:rPr>
        <w:t xml:space="preserve">The lower register is where we see the animal that was offered to the god. Most stelae depict images of bulls while others show a sacrificial scene prior to the </w:t>
      </w:r>
      <w:r w:rsidRPr="00B13B22">
        <w:rPr>
          <w:rFonts w:ascii="Verdana" w:hAnsi="Verdana"/>
        </w:rPr>
        <w:lastRenderedPageBreak/>
        <w:t xml:space="preserve">killing of the bull. Evidence from these images may point that the sacrifices may have been made to the goddess Cybele who seemed to be very popular in Roman Africa. Apart from the animal, the lower register also pictures Atlantes who seem to be holding the middle register. The reasons for doing so are not clear and speculative; the Atlantes seem to be protecting the sacred aedicula or the sacrifice of the </w:t>
      </w:r>
      <w:proofErr w:type="spellStart"/>
      <w:r w:rsidRPr="00B13B22">
        <w:rPr>
          <w:rFonts w:ascii="Verdana" w:hAnsi="Verdana"/>
        </w:rPr>
        <w:t>dedicant</w:t>
      </w:r>
      <w:proofErr w:type="spellEnd"/>
      <w:r w:rsidRPr="00B13B22">
        <w:rPr>
          <w:rFonts w:ascii="Verdana" w:hAnsi="Verdana"/>
        </w:rPr>
        <w:t>.</w:t>
      </w:r>
    </w:p>
    <w:p w14:paraId="319D0C08" w14:textId="4941EBFD" w:rsidR="00A86C7A" w:rsidRPr="00B13B22" w:rsidRDefault="0079052A" w:rsidP="0079052A">
      <w:pPr>
        <w:rPr>
          <w:rFonts w:ascii="Verdana" w:hAnsi="Verdana"/>
        </w:rPr>
      </w:pPr>
      <w:r w:rsidRPr="00B13B22">
        <w:rPr>
          <w:rFonts w:ascii="Verdana" w:hAnsi="Verdana"/>
        </w:rPr>
        <w:t xml:space="preserve">The La </w:t>
      </w:r>
      <w:proofErr w:type="spellStart"/>
      <w:r w:rsidRPr="00B13B22">
        <w:rPr>
          <w:rFonts w:ascii="Verdana" w:hAnsi="Verdana"/>
        </w:rPr>
        <w:t>Ghorfa</w:t>
      </w:r>
      <w:proofErr w:type="spellEnd"/>
      <w:r w:rsidRPr="00B13B22">
        <w:rPr>
          <w:rFonts w:ascii="Verdana" w:hAnsi="Verdana"/>
        </w:rPr>
        <w:t xml:space="preserve"> stelae, seem to still be a mystery as they throw no proper light to the gods that were recognised by the local population nor did they indicate the life of the </w:t>
      </w:r>
      <w:proofErr w:type="spellStart"/>
      <w:r w:rsidRPr="00B13B22">
        <w:rPr>
          <w:rFonts w:ascii="Verdana" w:hAnsi="Verdana"/>
        </w:rPr>
        <w:t>dedicant</w:t>
      </w:r>
      <w:proofErr w:type="spellEnd"/>
      <w:r w:rsidRPr="00B13B22">
        <w:rPr>
          <w:rFonts w:ascii="Verdana" w:hAnsi="Verdana"/>
        </w:rPr>
        <w:t xml:space="preserve">. While a handful of stelae have inscriptions on them, they do not prove anything. Inscriptions are found both in Neo-Punic and Latin and use cursive lettering. Names such as </w:t>
      </w:r>
      <w:proofErr w:type="spellStart"/>
      <w:r w:rsidRPr="00B13B22">
        <w:rPr>
          <w:rFonts w:ascii="Verdana" w:hAnsi="Verdana"/>
        </w:rPr>
        <w:t>Bellicus</w:t>
      </w:r>
      <w:proofErr w:type="spellEnd"/>
      <w:r w:rsidRPr="00B13B22">
        <w:rPr>
          <w:rFonts w:ascii="Verdana" w:hAnsi="Verdana"/>
        </w:rPr>
        <w:t xml:space="preserve"> and </w:t>
      </w:r>
      <w:proofErr w:type="spellStart"/>
      <w:r w:rsidRPr="00B13B22">
        <w:rPr>
          <w:rFonts w:ascii="Verdana" w:hAnsi="Verdana"/>
        </w:rPr>
        <w:t>Rogatus</w:t>
      </w:r>
      <w:proofErr w:type="spellEnd"/>
      <w:r w:rsidRPr="00B13B22">
        <w:rPr>
          <w:rFonts w:ascii="Verdana" w:hAnsi="Verdana"/>
        </w:rPr>
        <w:t xml:space="preserve"> that have been inscribed may indicate that they were Roman citizens though Moore notes interestingly that their name suggests that the locals may not wish to appear ‘roman.’</w:t>
      </w:r>
      <w:r w:rsidR="00870214" w:rsidRPr="00B13B22">
        <w:rPr>
          <w:rStyle w:val="FootnoteReference"/>
          <w:rFonts w:ascii="Verdana" w:hAnsi="Verdana"/>
        </w:rPr>
        <w:footnoteReference w:id="9"/>
      </w:r>
      <w:r w:rsidRPr="00B13B22">
        <w:rPr>
          <w:rFonts w:ascii="Verdana" w:hAnsi="Verdana"/>
        </w:rPr>
        <w:t xml:space="preserve"> Broughton states that African families took forms of Roman names though they were used incorrectly as we also evidence in the La </w:t>
      </w:r>
      <w:proofErr w:type="spellStart"/>
      <w:r w:rsidRPr="00B13B22">
        <w:rPr>
          <w:rFonts w:ascii="Verdana" w:hAnsi="Verdana"/>
        </w:rPr>
        <w:t>Ghorfa</w:t>
      </w:r>
      <w:proofErr w:type="spellEnd"/>
      <w:r w:rsidRPr="00B13B22">
        <w:rPr>
          <w:rFonts w:ascii="Verdana" w:hAnsi="Verdana"/>
        </w:rPr>
        <w:t xml:space="preserve"> stelae</w:t>
      </w:r>
      <w:r w:rsidR="006D10A9" w:rsidRPr="00B13B22">
        <w:rPr>
          <w:rStyle w:val="FootnoteReference"/>
          <w:rFonts w:ascii="Verdana" w:hAnsi="Verdana"/>
        </w:rPr>
        <w:footnoteReference w:id="10"/>
      </w:r>
      <w:r w:rsidRPr="00B13B22">
        <w:rPr>
          <w:rFonts w:ascii="Verdana" w:hAnsi="Verdana"/>
        </w:rPr>
        <w:t>. Within Africa the local cults continued to prosper without ‘</w:t>
      </w:r>
      <w:proofErr w:type="spellStart"/>
      <w:r w:rsidRPr="00B13B22">
        <w:rPr>
          <w:rFonts w:ascii="Verdana" w:hAnsi="Verdana"/>
        </w:rPr>
        <w:t>romanising</w:t>
      </w:r>
      <w:proofErr w:type="spellEnd"/>
      <w:r w:rsidRPr="00B13B22">
        <w:rPr>
          <w:rFonts w:ascii="Verdana" w:hAnsi="Verdana"/>
        </w:rPr>
        <w:t xml:space="preserve">’ their beliefs, such as in the stelae of Ain </w:t>
      </w:r>
      <w:proofErr w:type="spellStart"/>
      <w:r w:rsidRPr="00B13B22">
        <w:rPr>
          <w:rFonts w:ascii="Verdana" w:hAnsi="Verdana"/>
        </w:rPr>
        <w:t>Nemcha</w:t>
      </w:r>
      <w:proofErr w:type="spellEnd"/>
      <w:r w:rsidRPr="00B13B22">
        <w:rPr>
          <w:rFonts w:ascii="Verdana" w:hAnsi="Verdana"/>
        </w:rPr>
        <w:t xml:space="preserve"> where the ‘change’ seems superficial; </w:t>
      </w:r>
      <w:r w:rsidR="00153531" w:rsidRPr="00B13B22">
        <w:rPr>
          <w:rFonts w:ascii="Verdana" w:hAnsi="Verdana"/>
        </w:rPr>
        <w:t>t</w:t>
      </w:r>
      <w:r w:rsidRPr="00B13B22">
        <w:rPr>
          <w:rFonts w:ascii="Verdana" w:hAnsi="Verdana"/>
        </w:rPr>
        <w:t>hough the inscriptions became Latin and the figures wore a Romanised attire, its posture, and ritual elements did not change</w:t>
      </w:r>
      <w:r w:rsidR="000C3F70" w:rsidRPr="00B13B22">
        <w:rPr>
          <w:rStyle w:val="FootnoteReference"/>
          <w:rFonts w:ascii="Verdana" w:hAnsi="Verdana"/>
        </w:rPr>
        <w:footnoteReference w:id="11"/>
      </w:r>
      <w:r w:rsidRPr="00B13B22">
        <w:rPr>
          <w:rFonts w:ascii="Verdana" w:hAnsi="Verdana"/>
        </w:rPr>
        <w:t xml:space="preserve">. </w:t>
      </w:r>
      <w:r w:rsidR="0076353D" w:rsidRPr="00B13B22">
        <w:rPr>
          <w:rFonts w:ascii="Verdana" w:hAnsi="Verdana"/>
        </w:rPr>
        <w:t xml:space="preserve">This thought is validated by </w:t>
      </w:r>
      <w:r w:rsidRPr="00B13B22">
        <w:rPr>
          <w:rFonts w:ascii="Verdana" w:hAnsi="Verdana"/>
        </w:rPr>
        <w:t>Moore</w:t>
      </w:r>
      <w:r w:rsidR="0076353D" w:rsidRPr="00B13B22">
        <w:rPr>
          <w:rFonts w:ascii="Verdana" w:hAnsi="Verdana"/>
        </w:rPr>
        <w:t xml:space="preserve"> who</w:t>
      </w:r>
      <w:r w:rsidRPr="00B13B22">
        <w:rPr>
          <w:rFonts w:ascii="Verdana" w:hAnsi="Verdana"/>
        </w:rPr>
        <w:t xml:space="preserve"> notes that though the appearance and the divine symbols of the La </w:t>
      </w:r>
      <w:proofErr w:type="spellStart"/>
      <w:r w:rsidRPr="00B13B22">
        <w:rPr>
          <w:rFonts w:ascii="Verdana" w:hAnsi="Verdana"/>
        </w:rPr>
        <w:t>Ghorfa</w:t>
      </w:r>
      <w:proofErr w:type="spellEnd"/>
      <w:r w:rsidRPr="00B13B22">
        <w:rPr>
          <w:rFonts w:ascii="Verdana" w:hAnsi="Verdana"/>
        </w:rPr>
        <w:t xml:space="preserve"> stelae are influenced by Roman art, the character of the stelae and type of people that sacrificed did not change substantially.</w:t>
      </w:r>
      <w:r w:rsidR="00163895" w:rsidRPr="00B13B22">
        <w:rPr>
          <w:rFonts w:ascii="Verdana" w:hAnsi="Verdana"/>
        </w:rPr>
        <w:t xml:space="preserve"> Thus, the study of the La </w:t>
      </w:r>
      <w:proofErr w:type="spellStart"/>
      <w:r w:rsidR="00163895" w:rsidRPr="00B13B22">
        <w:rPr>
          <w:rFonts w:ascii="Verdana" w:hAnsi="Verdana"/>
        </w:rPr>
        <w:t>Ghorfa</w:t>
      </w:r>
      <w:proofErr w:type="spellEnd"/>
      <w:r w:rsidR="00163895" w:rsidRPr="00B13B22">
        <w:rPr>
          <w:rFonts w:ascii="Verdana" w:hAnsi="Verdana"/>
        </w:rPr>
        <w:t xml:space="preserve"> </w:t>
      </w:r>
      <w:r w:rsidR="00634823" w:rsidRPr="00B13B22">
        <w:rPr>
          <w:rFonts w:ascii="Verdana" w:hAnsi="Verdana"/>
        </w:rPr>
        <w:t xml:space="preserve">stelae it </w:t>
      </w:r>
      <w:r w:rsidR="00BD2A53" w:rsidRPr="00B13B22">
        <w:rPr>
          <w:rFonts w:ascii="Verdana" w:hAnsi="Verdana"/>
        </w:rPr>
        <w:t xml:space="preserve">shows that though Roman art styles were welcomed in the </w:t>
      </w:r>
      <w:proofErr w:type="spellStart"/>
      <w:r w:rsidR="00BD2A53" w:rsidRPr="00B13B22">
        <w:rPr>
          <w:rFonts w:ascii="Verdana" w:hAnsi="Verdana"/>
        </w:rPr>
        <w:t>Proconsularis</w:t>
      </w:r>
      <w:proofErr w:type="spellEnd"/>
      <w:r w:rsidR="00BD2A53" w:rsidRPr="00B13B22">
        <w:rPr>
          <w:rFonts w:ascii="Verdana" w:hAnsi="Verdana"/>
        </w:rPr>
        <w:t>, cultural identity did not shift.</w:t>
      </w:r>
      <w:bookmarkStart w:id="0" w:name="_GoBack"/>
      <w:bookmarkEnd w:id="0"/>
    </w:p>
    <w:sectPr w:rsidR="00A86C7A" w:rsidRPr="00B13B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276A6" w14:textId="77777777" w:rsidR="009C1B22" w:rsidRDefault="009C1B22" w:rsidP="009C1B22">
      <w:pPr>
        <w:spacing w:after="0" w:line="240" w:lineRule="auto"/>
      </w:pPr>
      <w:r>
        <w:separator/>
      </w:r>
    </w:p>
  </w:endnote>
  <w:endnote w:type="continuationSeparator" w:id="0">
    <w:p w14:paraId="67E2DAAE" w14:textId="77777777" w:rsidR="009C1B22" w:rsidRDefault="009C1B22" w:rsidP="009C1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5CE9DB" w14:textId="77777777" w:rsidR="009C1B22" w:rsidRDefault="009C1B22" w:rsidP="009C1B22">
      <w:pPr>
        <w:spacing w:after="0" w:line="240" w:lineRule="auto"/>
      </w:pPr>
      <w:r>
        <w:separator/>
      </w:r>
    </w:p>
  </w:footnote>
  <w:footnote w:type="continuationSeparator" w:id="0">
    <w:p w14:paraId="76842B0C" w14:textId="77777777" w:rsidR="009C1B22" w:rsidRDefault="009C1B22" w:rsidP="009C1B22">
      <w:pPr>
        <w:spacing w:after="0" w:line="240" w:lineRule="auto"/>
      </w:pPr>
      <w:r>
        <w:continuationSeparator/>
      </w:r>
    </w:p>
  </w:footnote>
  <w:footnote w:id="1">
    <w:p w14:paraId="2C593E23" w14:textId="779420DF" w:rsidR="00AD0644" w:rsidRDefault="00AD0644">
      <w:pPr>
        <w:pStyle w:val="FootnoteText"/>
      </w:pPr>
      <w:r>
        <w:rPr>
          <w:rStyle w:val="FootnoteReference"/>
        </w:rPr>
        <w:footnoteRef/>
      </w:r>
      <w:r>
        <w:t xml:space="preserve"> Broughton </w:t>
      </w:r>
      <w:r w:rsidR="004D63A3">
        <w:t>1968: 88</w:t>
      </w:r>
    </w:p>
  </w:footnote>
  <w:footnote w:id="2">
    <w:p w14:paraId="644ADB00" w14:textId="39947DB8" w:rsidR="00BD4904" w:rsidRDefault="00BD4904">
      <w:pPr>
        <w:pStyle w:val="FootnoteText"/>
      </w:pPr>
      <w:r>
        <w:rPr>
          <w:rStyle w:val="FootnoteReference"/>
        </w:rPr>
        <w:footnoteRef/>
      </w:r>
      <w:r>
        <w:t xml:space="preserve"> </w:t>
      </w:r>
      <w:proofErr w:type="spellStart"/>
      <w:r w:rsidR="00EB45C0">
        <w:t>M’Charek</w:t>
      </w:r>
      <w:proofErr w:type="spellEnd"/>
      <w:r w:rsidR="00EB45C0">
        <w:t xml:space="preserve"> 1995</w:t>
      </w:r>
      <w:r w:rsidR="003F366F">
        <w:t>: 247</w:t>
      </w:r>
    </w:p>
  </w:footnote>
  <w:footnote w:id="3">
    <w:p w14:paraId="0BBBA9FD" w14:textId="1AFA1DB8" w:rsidR="00A500F7" w:rsidRDefault="00A500F7">
      <w:pPr>
        <w:pStyle w:val="FootnoteText"/>
      </w:pPr>
      <w:r>
        <w:rPr>
          <w:rStyle w:val="FootnoteReference"/>
        </w:rPr>
        <w:footnoteRef/>
      </w:r>
      <w:r>
        <w:t xml:space="preserve"> Moore</w:t>
      </w:r>
      <w:r w:rsidR="00BF1668">
        <w:t xml:space="preserve"> 2000: 33</w:t>
      </w:r>
    </w:p>
  </w:footnote>
  <w:footnote w:id="4">
    <w:p w14:paraId="47EE53C0" w14:textId="7E122B63" w:rsidR="00854EC4" w:rsidRDefault="00854EC4">
      <w:pPr>
        <w:pStyle w:val="FootnoteText"/>
      </w:pPr>
      <w:r>
        <w:rPr>
          <w:rStyle w:val="FootnoteReference"/>
        </w:rPr>
        <w:footnoteRef/>
      </w:r>
      <w:r>
        <w:t xml:space="preserve"> </w:t>
      </w:r>
      <w:r w:rsidR="005D74A4">
        <w:t>Moore 2000: 43</w:t>
      </w:r>
    </w:p>
  </w:footnote>
  <w:footnote w:id="5">
    <w:p w14:paraId="26741AFE" w14:textId="1D6F76AD" w:rsidR="00433D23" w:rsidRDefault="00433D23">
      <w:pPr>
        <w:pStyle w:val="FootnoteText"/>
      </w:pPr>
      <w:r>
        <w:rPr>
          <w:rStyle w:val="FootnoteReference"/>
        </w:rPr>
        <w:footnoteRef/>
      </w:r>
      <w:r>
        <w:t xml:space="preserve"> Moore 2000: 53</w:t>
      </w:r>
    </w:p>
  </w:footnote>
  <w:footnote w:id="6">
    <w:p w14:paraId="21396221" w14:textId="48BF27A7" w:rsidR="003F366F" w:rsidRDefault="003F366F">
      <w:pPr>
        <w:pStyle w:val="FootnoteText"/>
      </w:pPr>
      <w:r>
        <w:rPr>
          <w:rStyle w:val="FootnoteReference"/>
        </w:rPr>
        <w:footnoteRef/>
      </w:r>
      <w:r>
        <w:t xml:space="preserve"> </w:t>
      </w:r>
      <w:r w:rsidR="00BF2881">
        <w:t xml:space="preserve">Moore </w:t>
      </w:r>
      <w:r w:rsidR="00430B87">
        <w:t>2000: 60</w:t>
      </w:r>
    </w:p>
  </w:footnote>
  <w:footnote w:id="7">
    <w:p w14:paraId="0668619E" w14:textId="1D22C6E1" w:rsidR="00484CBC" w:rsidRDefault="00484CBC">
      <w:pPr>
        <w:pStyle w:val="FootnoteText"/>
      </w:pPr>
      <w:r>
        <w:rPr>
          <w:rStyle w:val="FootnoteReference"/>
        </w:rPr>
        <w:footnoteRef/>
      </w:r>
      <w:r>
        <w:t xml:space="preserve"> Moore 2000: 70</w:t>
      </w:r>
    </w:p>
  </w:footnote>
  <w:footnote w:id="8">
    <w:p w14:paraId="4F3F3501" w14:textId="5D68101D" w:rsidR="00633BEB" w:rsidRDefault="00633BEB">
      <w:pPr>
        <w:pStyle w:val="FootnoteText"/>
      </w:pPr>
      <w:r>
        <w:rPr>
          <w:rStyle w:val="FootnoteReference"/>
        </w:rPr>
        <w:footnoteRef/>
      </w:r>
      <w:r>
        <w:t xml:space="preserve"> Wilson 2012: </w:t>
      </w:r>
      <w:r w:rsidR="005153A9">
        <w:t>408</w:t>
      </w:r>
    </w:p>
  </w:footnote>
  <w:footnote w:id="9">
    <w:p w14:paraId="3559AB75" w14:textId="35CBBED6" w:rsidR="00870214" w:rsidRDefault="00870214">
      <w:pPr>
        <w:pStyle w:val="FootnoteText"/>
      </w:pPr>
      <w:r>
        <w:rPr>
          <w:rStyle w:val="FootnoteReference"/>
        </w:rPr>
        <w:footnoteRef/>
      </w:r>
      <w:r>
        <w:t xml:space="preserve"> Moore 2000: 146</w:t>
      </w:r>
    </w:p>
  </w:footnote>
  <w:footnote w:id="10">
    <w:p w14:paraId="0107315D" w14:textId="6AC80CA9" w:rsidR="006D10A9" w:rsidRDefault="006D10A9">
      <w:pPr>
        <w:pStyle w:val="FootnoteText"/>
      </w:pPr>
      <w:r>
        <w:rPr>
          <w:rStyle w:val="FootnoteReference"/>
        </w:rPr>
        <w:footnoteRef/>
      </w:r>
      <w:r>
        <w:t xml:space="preserve"> </w:t>
      </w:r>
      <w:r w:rsidR="00A9296A">
        <w:t>Broughton</w:t>
      </w:r>
      <w:r w:rsidR="00EC163A">
        <w:t xml:space="preserve"> 1968: 113</w:t>
      </w:r>
    </w:p>
  </w:footnote>
  <w:footnote w:id="11">
    <w:p w14:paraId="32EE4F66" w14:textId="65D486BE" w:rsidR="000C3F70" w:rsidRDefault="000C3F70">
      <w:pPr>
        <w:pStyle w:val="FootnoteText"/>
      </w:pPr>
      <w:r>
        <w:rPr>
          <w:rStyle w:val="FootnoteReference"/>
        </w:rPr>
        <w:footnoteRef/>
      </w:r>
      <w:r>
        <w:t xml:space="preserve"> Wilson 2012: 408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E5291F"/>
    <w:rsid w:val="00006C85"/>
    <w:rsid w:val="00031E72"/>
    <w:rsid w:val="00046F91"/>
    <w:rsid w:val="00060E79"/>
    <w:rsid w:val="00062ADD"/>
    <w:rsid w:val="00065D43"/>
    <w:rsid w:val="0007346B"/>
    <w:rsid w:val="00090055"/>
    <w:rsid w:val="00091B14"/>
    <w:rsid w:val="0009366D"/>
    <w:rsid w:val="000B51DF"/>
    <w:rsid w:val="000C3F70"/>
    <w:rsid w:val="000C4724"/>
    <w:rsid w:val="000D3599"/>
    <w:rsid w:val="000E6DDF"/>
    <w:rsid w:val="000F75B0"/>
    <w:rsid w:val="00100D8A"/>
    <w:rsid w:val="00133621"/>
    <w:rsid w:val="00133DD4"/>
    <w:rsid w:val="0014286F"/>
    <w:rsid w:val="00144EE5"/>
    <w:rsid w:val="00153531"/>
    <w:rsid w:val="00163895"/>
    <w:rsid w:val="001C1D56"/>
    <w:rsid w:val="001C75CC"/>
    <w:rsid w:val="001C7FE2"/>
    <w:rsid w:val="001E5596"/>
    <w:rsid w:val="0021120D"/>
    <w:rsid w:val="00286DC4"/>
    <w:rsid w:val="00291245"/>
    <w:rsid w:val="002A58F2"/>
    <w:rsid w:val="002B43F9"/>
    <w:rsid w:val="002C2457"/>
    <w:rsid w:val="002C3F9E"/>
    <w:rsid w:val="002C4C6B"/>
    <w:rsid w:val="002E2617"/>
    <w:rsid w:val="002E6DEF"/>
    <w:rsid w:val="00301842"/>
    <w:rsid w:val="00364B50"/>
    <w:rsid w:val="003D1822"/>
    <w:rsid w:val="003D31BC"/>
    <w:rsid w:val="003E23AC"/>
    <w:rsid w:val="003F366F"/>
    <w:rsid w:val="003F75A2"/>
    <w:rsid w:val="00412265"/>
    <w:rsid w:val="0042400B"/>
    <w:rsid w:val="00430B87"/>
    <w:rsid w:val="00433D23"/>
    <w:rsid w:val="00436019"/>
    <w:rsid w:val="004412BF"/>
    <w:rsid w:val="0045704A"/>
    <w:rsid w:val="00484CBC"/>
    <w:rsid w:val="00492394"/>
    <w:rsid w:val="00496549"/>
    <w:rsid w:val="004B2D76"/>
    <w:rsid w:val="004B66D0"/>
    <w:rsid w:val="004D03F7"/>
    <w:rsid w:val="004D63A3"/>
    <w:rsid w:val="004E1D75"/>
    <w:rsid w:val="004E2A7A"/>
    <w:rsid w:val="004F1883"/>
    <w:rsid w:val="005008D9"/>
    <w:rsid w:val="00514FF9"/>
    <w:rsid w:val="005153A9"/>
    <w:rsid w:val="005163EF"/>
    <w:rsid w:val="005467C4"/>
    <w:rsid w:val="00562661"/>
    <w:rsid w:val="00573C11"/>
    <w:rsid w:val="00586C51"/>
    <w:rsid w:val="00596274"/>
    <w:rsid w:val="005D74A4"/>
    <w:rsid w:val="005E7F7E"/>
    <w:rsid w:val="00601730"/>
    <w:rsid w:val="006155A3"/>
    <w:rsid w:val="00617429"/>
    <w:rsid w:val="00633BEB"/>
    <w:rsid w:val="00634823"/>
    <w:rsid w:val="00657619"/>
    <w:rsid w:val="006A0329"/>
    <w:rsid w:val="006B0CA4"/>
    <w:rsid w:val="006B3DB0"/>
    <w:rsid w:val="006D10A9"/>
    <w:rsid w:val="006D38FE"/>
    <w:rsid w:val="006E273B"/>
    <w:rsid w:val="006E3C4E"/>
    <w:rsid w:val="00743E15"/>
    <w:rsid w:val="00762A3C"/>
    <w:rsid w:val="0076353D"/>
    <w:rsid w:val="00770C66"/>
    <w:rsid w:val="007816A6"/>
    <w:rsid w:val="00782154"/>
    <w:rsid w:val="00785A2B"/>
    <w:rsid w:val="0079052A"/>
    <w:rsid w:val="007B0D1C"/>
    <w:rsid w:val="007F3A05"/>
    <w:rsid w:val="00805150"/>
    <w:rsid w:val="00812571"/>
    <w:rsid w:val="00813A14"/>
    <w:rsid w:val="00813D23"/>
    <w:rsid w:val="00821DA0"/>
    <w:rsid w:val="00836A7D"/>
    <w:rsid w:val="0084421C"/>
    <w:rsid w:val="00844988"/>
    <w:rsid w:val="008472CF"/>
    <w:rsid w:val="00850668"/>
    <w:rsid w:val="00850885"/>
    <w:rsid w:val="00854EC4"/>
    <w:rsid w:val="0086635C"/>
    <w:rsid w:val="00870214"/>
    <w:rsid w:val="00874199"/>
    <w:rsid w:val="00886AC5"/>
    <w:rsid w:val="00891490"/>
    <w:rsid w:val="008A486A"/>
    <w:rsid w:val="008B6CA6"/>
    <w:rsid w:val="008F3DAF"/>
    <w:rsid w:val="00941735"/>
    <w:rsid w:val="00947414"/>
    <w:rsid w:val="00974EAA"/>
    <w:rsid w:val="0097763D"/>
    <w:rsid w:val="009B328C"/>
    <w:rsid w:val="009C1B22"/>
    <w:rsid w:val="009F2416"/>
    <w:rsid w:val="00A500F7"/>
    <w:rsid w:val="00A531AA"/>
    <w:rsid w:val="00A533F0"/>
    <w:rsid w:val="00A86C7A"/>
    <w:rsid w:val="00A9296A"/>
    <w:rsid w:val="00A96F9E"/>
    <w:rsid w:val="00AA6598"/>
    <w:rsid w:val="00AB20E3"/>
    <w:rsid w:val="00AB5CE1"/>
    <w:rsid w:val="00AD0644"/>
    <w:rsid w:val="00AD0657"/>
    <w:rsid w:val="00AD0FC9"/>
    <w:rsid w:val="00AF0397"/>
    <w:rsid w:val="00B13B22"/>
    <w:rsid w:val="00B16E1C"/>
    <w:rsid w:val="00B242C6"/>
    <w:rsid w:val="00B24B30"/>
    <w:rsid w:val="00B47255"/>
    <w:rsid w:val="00B82EC2"/>
    <w:rsid w:val="00B97FCE"/>
    <w:rsid w:val="00BA0024"/>
    <w:rsid w:val="00BA3A7B"/>
    <w:rsid w:val="00BA6CAC"/>
    <w:rsid w:val="00BB16D0"/>
    <w:rsid w:val="00BB7301"/>
    <w:rsid w:val="00BB792E"/>
    <w:rsid w:val="00BD2A53"/>
    <w:rsid w:val="00BD4904"/>
    <w:rsid w:val="00BF1668"/>
    <w:rsid w:val="00BF2881"/>
    <w:rsid w:val="00C20A32"/>
    <w:rsid w:val="00C257E5"/>
    <w:rsid w:val="00C27D8F"/>
    <w:rsid w:val="00C54FB4"/>
    <w:rsid w:val="00C663B9"/>
    <w:rsid w:val="00C87B70"/>
    <w:rsid w:val="00CC71FB"/>
    <w:rsid w:val="00CE0A31"/>
    <w:rsid w:val="00CE0E7A"/>
    <w:rsid w:val="00CE14E8"/>
    <w:rsid w:val="00D34079"/>
    <w:rsid w:val="00D47BB3"/>
    <w:rsid w:val="00D67F3F"/>
    <w:rsid w:val="00DF6230"/>
    <w:rsid w:val="00E20F15"/>
    <w:rsid w:val="00E24FF0"/>
    <w:rsid w:val="00E33501"/>
    <w:rsid w:val="00E353F3"/>
    <w:rsid w:val="00E4112E"/>
    <w:rsid w:val="00E42B78"/>
    <w:rsid w:val="00E43B70"/>
    <w:rsid w:val="00E45C59"/>
    <w:rsid w:val="00E70DDD"/>
    <w:rsid w:val="00E72B40"/>
    <w:rsid w:val="00EB45C0"/>
    <w:rsid w:val="00EC163A"/>
    <w:rsid w:val="00ED3599"/>
    <w:rsid w:val="00ED7373"/>
    <w:rsid w:val="00EF07B5"/>
    <w:rsid w:val="00F009AB"/>
    <w:rsid w:val="00F176A5"/>
    <w:rsid w:val="00F208A4"/>
    <w:rsid w:val="00F2580B"/>
    <w:rsid w:val="00F324E7"/>
    <w:rsid w:val="00F60388"/>
    <w:rsid w:val="00F8704A"/>
    <w:rsid w:val="00F90AF3"/>
    <w:rsid w:val="00FB0B96"/>
    <w:rsid w:val="00FC3BF5"/>
    <w:rsid w:val="00FD3DA3"/>
    <w:rsid w:val="00FF0CCB"/>
    <w:rsid w:val="00FF5503"/>
    <w:rsid w:val="47C5E8C7"/>
    <w:rsid w:val="721D1FA3"/>
    <w:rsid w:val="7AE52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5291F"/>
  <w15:chartTrackingRefBased/>
  <w15:docId w15:val="{BADB9996-9DF4-4416-B5B6-8EB4DEFB0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1B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1B22"/>
    <w:rPr>
      <w:sz w:val="20"/>
      <w:szCs w:val="20"/>
    </w:rPr>
  </w:style>
  <w:style w:type="character" w:styleId="FootnoteReference">
    <w:name w:val="footnote reference"/>
    <w:basedOn w:val="DefaultParagraphFont"/>
    <w:uiPriority w:val="99"/>
    <w:semiHidden/>
    <w:unhideWhenUsed/>
    <w:rsid w:val="009C1B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1203</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Brinelle Cladson james (1602107)</dc:creator>
  <cp:keywords/>
  <dc:description/>
  <cp:lastModifiedBy>Brinelle Cladson james (1602107)</cp:lastModifiedBy>
  <cp:revision>2</cp:revision>
  <dcterms:created xsi:type="dcterms:W3CDTF">2018-04-06T19:03:00Z</dcterms:created>
  <dcterms:modified xsi:type="dcterms:W3CDTF">2018-04-06T19:03:00Z</dcterms:modified>
</cp:coreProperties>
</file>