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3949" w:rsidRDefault="00763949" w:rsidP="006C09D3">
      <w:pPr>
        <w:spacing w:line="360" w:lineRule="auto"/>
      </w:pPr>
      <w:r w:rsidRPr="00763949">
        <w:t>A cri</w:t>
      </w:r>
      <w:bookmarkStart w:id="0" w:name="_GoBack"/>
      <w:bookmarkEnd w:id="0"/>
      <w:r w:rsidRPr="00763949">
        <w:t>tical evaluation and the</w:t>
      </w:r>
      <w:r>
        <w:t xml:space="preserve"> learning steps focusing on a case study of an individual learner or a group of learners, based on an observed critical incident.</w:t>
      </w:r>
    </w:p>
    <w:p w:rsidR="00763949" w:rsidRPr="002E347B" w:rsidRDefault="002E347B" w:rsidP="006C09D3">
      <w:pPr>
        <w:tabs>
          <w:tab w:val="left" w:pos="3260"/>
        </w:tabs>
        <w:spacing w:line="360" w:lineRule="auto"/>
        <w:rPr>
          <w:u w:val="single"/>
        </w:rPr>
      </w:pPr>
      <w:r>
        <w:tab/>
      </w:r>
      <w:r w:rsidRPr="002E347B">
        <w:rPr>
          <w:u w:val="single"/>
        </w:rPr>
        <w:t>Introduction</w:t>
      </w:r>
    </w:p>
    <w:p w:rsidR="002E347B" w:rsidRDefault="00763949" w:rsidP="006C09D3">
      <w:pPr>
        <w:spacing w:before="240" w:line="360" w:lineRule="auto"/>
      </w:pPr>
      <w:r>
        <w:t xml:space="preserve">The following essay will provide a critical </w:t>
      </w:r>
      <w:r w:rsidR="00882E04">
        <w:t>evaluation and the learning steps focussing on a case study of a group of learners which is based on an observed critical incident.</w:t>
      </w:r>
      <w:r w:rsidR="00391BCE">
        <w:t xml:space="preserve"> A critical incident is an incident which h</w:t>
      </w:r>
      <w:r w:rsidR="003A45FA">
        <w:t>appens in a school setting, and</w:t>
      </w:r>
      <w:r w:rsidR="006E4444">
        <w:t xml:space="preserve"> as stated by Tripp (2011</w:t>
      </w:r>
      <w:r w:rsidR="00391BCE">
        <w:t>) critical incidents are not incidents which are necessarily</w:t>
      </w:r>
      <w:r w:rsidR="00697207">
        <w:t xml:space="preserve"> out of the ordinary from nor</w:t>
      </w:r>
      <w:r w:rsidR="003A45FA">
        <w:t xml:space="preserve">mal classroom dynamics. Instead, </w:t>
      </w:r>
      <w:r w:rsidR="00697207">
        <w:t>critical incidents are created. ‘Incidents happen, but critical incidents are produced by the way we look at a situation: a critical incident is an interpretation of the significance of an eve</w:t>
      </w:r>
      <w:r w:rsidR="003A45FA">
        <w:t>nt’ (Tripp, 2011</w:t>
      </w:r>
      <w:r w:rsidR="00697207">
        <w:t xml:space="preserve"> pg.6).</w:t>
      </w:r>
      <w:r w:rsidR="002E347B">
        <w:t xml:space="preserve"> </w:t>
      </w:r>
      <w:r w:rsidR="00D9278F">
        <w:t>This essay will first look at the role of critical reflection and identify the leading models of reflection which c</w:t>
      </w:r>
      <w:r w:rsidR="006B6AC2">
        <w:t>an be used in teaching practice.</w:t>
      </w:r>
      <w:r w:rsidR="00D9278F">
        <w:t xml:space="preserve"> </w:t>
      </w:r>
      <w:r w:rsidR="006B6AC2">
        <w:t>Moreover, this essay</w:t>
      </w:r>
      <w:r w:rsidR="003A45FA">
        <w:t xml:space="preserve"> discuss how these models</w:t>
      </w:r>
      <w:r w:rsidR="00D9278F">
        <w:t xml:space="preserve"> can be linked</w:t>
      </w:r>
      <w:r w:rsidR="006B6AC2">
        <w:t xml:space="preserve"> to the role of teaching and</w:t>
      </w:r>
      <w:r w:rsidR="003A45FA">
        <w:t xml:space="preserve"> highlight</w:t>
      </w:r>
      <w:r w:rsidR="006B6AC2">
        <w:t xml:space="preserve"> the importance of reflection in the teaching practice. This essay will then outline the observed critical incident in line with BERA (2018) guidelines to preserve anonymity, before discussing how the observed critical incident is linked to Donaldson’s four purposes. This essay will then analyse the literature around </w:t>
      </w:r>
      <w:r w:rsidR="007A4F69">
        <w:t>the findings drawn from the critical incident. In this case, the review will focus on the literature around the notion of using group work in the classroom through a social constructivist</w:t>
      </w:r>
      <w:r w:rsidR="00E10DE6">
        <w:t xml:space="preserve"> lens, but also delve in</w:t>
      </w:r>
      <w:r w:rsidR="007A4F69">
        <w:t>to the literature which opposes or identifies limitations of group work in the classroom. This essay will then continue to reflect and evaluate the critical incident before identifying</w:t>
      </w:r>
      <w:r w:rsidR="003A45FA">
        <w:t xml:space="preserve"> how</w:t>
      </w:r>
      <w:r w:rsidR="007A4F69">
        <w:t xml:space="preserve"> it will inform my own professional and personal development and identifying my next steps for future practice. </w:t>
      </w:r>
    </w:p>
    <w:p w:rsidR="002E347B" w:rsidRPr="002E347B" w:rsidRDefault="002E347B" w:rsidP="006C09D3">
      <w:pPr>
        <w:spacing w:line="360" w:lineRule="auto"/>
      </w:pPr>
    </w:p>
    <w:p w:rsidR="002E347B" w:rsidRDefault="002E347B" w:rsidP="006C09D3">
      <w:pPr>
        <w:spacing w:line="360" w:lineRule="auto"/>
      </w:pPr>
    </w:p>
    <w:p w:rsidR="00D73AC0" w:rsidRDefault="002E347B" w:rsidP="006C09D3">
      <w:pPr>
        <w:tabs>
          <w:tab w:val="left" w:pos="3180"/>
        </w:tabs>
        <w:spacing w:line="360" w:lineRule="auto"/>
        <w:rPr>
          <w:u w:val="single"/>
        </w:rPr>
      </w:pPr>
      <w:r w:rsidRPr="005B6C01">
        <w:tab/>
      </w:r>
      <w:r w:rsidRPr="002E347B">
        <w:rPr>
          <w:u w:val="single"/>
        </w:rPr>
        <w:t>Critical Reflection</w:t>
      </w:r>
    </w:p>
    <w:p w:rsidR="006C6130" w:rsidRDefault="005B6C01" w:rsidP="006C09D3">
      <w:pPr>
        <w:tabs>
          <w:tab w:val="left" w:pos="3180"/>
        </w:tabs>
        <w:spacing w:line="360" w:lineRule="auto"/>
      </w:pPr>
      <w:r w:rsidRPr="005B6C01">
        <w:t>Critical reflectio</w:t>
      </w:r>
      <w:r w:rsidR="003A45FA">
        <w:t>n is important as it is crucial</w:t>
      </w:r>
      <w:r w:rsidRPr="005B6C01">
        <w:t xml:space="preserve"> to promoting self-awareness and to developing future practice</w:t>
      </w:r>
      <w:r>
        <w:t>.</w:t>
      </w:r>
      <w:r w:rsidR="00062820">
        <w:t xml:space="preserve"> </w:t>
      </w:r>
      <w:r w:rsidR="00430860">
        <w:t>‘Critical reflection in teaching practice involves describing and questioning taken-for granted feelings and acti</w:t>
      </w:r>
      <w:r w:rsidR="00E10DE6">
        <w:t xml:space="preserve">ons. It is not an end in itself, </w:t>
      </w:r>
      <w:r w:rsidR="00430860">
        <w:t>but a means of developing a teaching philosophy and strategy. It involves teachers learning about others and themselves through 'research' into their own practice’.  (</w:t>
      </w:r>
      <w:proofErr w:type="spellStart"/>
      <w:r w:rsidR="00430860">
        <w:t>Walkington</w:t>
      </w:r>
      <w:proofErr w:type="spellEnd"/>
      <w:r w:rsidR="005E5C78">
        <w:t xml:space="preserve"> et al</w:t>
      </w:r>
      <w:r w:rsidR="00430860">
        <w:t xml:space="preserve"> 2001, pg3.)</w:t>
      </w:r>
      <w:r w:rsidR="00BE47EC">
        <w:t xml:space="preserve"> </w:t>
      </w:r>
      <w:r w:rsidR="006C6130">
        <w:t>This is important as it leads to teachers questioning their own practice in order to keep improving. Critical reflection can be seen as a way of turning teachers into researche</w:t>
      </w:r>
      <w:r w:rsidR="00E10DE6">
        <w:t>rs who are constantly using</w:t>
      </w:r>
      <w:r w:rsidR="006C6130">
        <w:t xml:space="preserve"> reflection t</w:t>
      </w:r>
      <w:r w:rsidR="00E10DE6">
        <w:t>o identify</w:t>
      </w:r>
      <w:r w:rsidR="006C6130">
        <w:t xml:space="preserve"> new methods and exploring how thes</w:t>
      </w:r>
      <w:r w:rsidR="00E10DE6">
        <w:t>e methods can help them develop as practitioners.</w:t>
      </w:r>
    </w:p>
    <w:p w:rsidR="00273878" w:rsidRDefault="00062820" w:rsidP="006C09D3">
      <w:pPr>
        <w:tabs>
          <w:tab w:val="left" w:pos="3180"/>
        </w:tabs>
        <w:spacing w:line="360" w:lineRule="auto"/>
      </w:pPr>
      <w:r>
        <w:t>There are a number of different models of reflection which can be used as a basis for critical reflection</w:t>
      </w:r>
      <w:r w:rsidR="00E10DE6">
        <w:t>, such as Brookfield’s and Gibbs’s reflective models</w:t>
      </w:r>
      <w:r w:rsidR="002636D5">
        <w:t xml:space="preserve">. However, in this section the essay will focus on a select few which are more relevant to this critical evaluation. </w:t>
      </w:r>
      <w:r w:rsidR="00DB35DB">
        <w:t xml:space="preserve"> </w:t>
      </w:r>
      <w:r w:rsidR="00186FC2">
        <w:t>Dewey</w:t>
      </w:r>
      <w:r w:rsidR="00DB35DB">
        <w:t xml:space="preserve"> is widely recognised as the initial founder of reflective </w:t>
      </w:r>
      <w:r w:rsidR="00186FC2">
        <w:t xml:space="preserve">practice. Dewey’s (1933) reflective model consisted of going over and over </w:t>
      </w:r>
      <w:r w:rsidR="003A45FA">
        <w:t>experiences</w:t>
      </w:r>
      <w:r w:rsidR="00E10DE6">
        <w:t>,</w:t>
      </w:r>
      <w:r w:rsidR="003A45FA">
        <w:t xml:space="preserve"> and giving them</w:t>
      </w:r>
      <w:r w:rsidR="00186FC2">
        <w:t xml:space="preserve"> serious consideration. This model recognised that there is a problem to be solved and aimed to come to a conclusion. </w:t>
      </w:r>
      <w:r w:rsidR="00430860">
        <w:t xml:space="preserve">As stated by </w:t>
      </w:r>
      <w:proofErr w:type="spellStart"/>
      <w:r w:rsidR="00430860">
        <w:t>Walkington</w:t>
      </w:r>
      <w:proofErr w:type="spellEnd"/>
      <w:r w:rsidR="004E30DA">
        <w:t xml:space="preserve"> et al</w:t>
      </w:r>
      <w:r w:rsidR="00430860">
        <w:t xml:space="preserve"> (2001) the notion around reflective practice changed from giving set answers to experiments and reflections, one of the main inspirations behind this change was </w:t>
      </w:r>
      <w:proofErr w:type="spellStart"/>
      <w:r w:rsidR="00430860">
        <w:t>Schon</w:t>
      </w:r>
      <w:proofErr w:type="spellEnd"/>
      <w:r w:rsidR="00430860">
        <w:t>.</w:t>
      </w:r>
      <w:r w:rsidR="00186FC2">
        <w:t xml:space="preserve"> </w:t>
      </w:r>
      <w:proofErr w:type="spellStart"/>
      <w:r w:rsidR="00186FC2">
        <w:t>Schon</w:t>
      </w:r>
      <w:proofErr w:type="spellEnd"/>
      <w:r w:rsidR="00186FC2">
        <w:t xml:space="preserve"> (1987) centred around the notion of reflection in action</w:t>
      </w:r>
      <w:r w:rsidR="003A45FA">
        <w:t>,</w:t>
      </w:r>
      <w:r w:rsidR="00186FC2">
        <w:t xml:space="preserve"> where the practitioner would reflect at the time of an event taking place</w:t>
      </w:r>
      <w:r w:rsidR="00273878">
        <w:t xml:space="preserve">, then </w:t>
      </w:r>
      <w:r w:rsidR="00DE27B7">
        <w:t>the practi</w:t>
      </w:r>
      <w:r w:rsidR="00FD14C2">
        <w:t>tion</w:t>
      </w:r>
      <w:r w:rsidR="007B5213">
        <w:t>e</w:t>
      </w:r>
      <w:r w:rsidR="00DE27B7">
        <w:t>r would look back at an event, and use the information gained to decide on the best way to move forward with future practice.</w:t>
      </w:r>
    </w:p>
    <w:p w:rsidR="004D4CE1" w:rsidRDefault="00C82743" w:rsidP="006C09D3">
      <w:pPr>
        <w:tabs>
          <w:tab w:val="left" w:pos="3180"/>
        </w:tabs>
        <w:spacing w:line="360" w:lineRule="auto"/>
      </w:pPr>
      <w:r>
        <w:lastRenderedPageBreak/>
        <w:t xml:space="preserve">Kolb (1984) </w:t>
      </w:r>
      <w:r w:rsidR="00DE27B7">
        <w:t>introduced</w:t>
      </w:r>
      <w:r w:rsidR="00291409">
        <w:t xml:space="preserve"> his </w:t>
      </w:r>
      <w:r w:rsidR="00F05CC3">
        <w:t xml:space="preserve">4 stage learning cycle which states that as a reflective practitioner you should have an experience which is then reflected on, you then move on to the abstract conceptualisation stage where you draw </w:t>
      </w:r>
      <w:r w:rsidR="00273878">
        <w:t>conclusions from the experience. T</w:t>
      </w:r>
      <w:r w:rsidR="00F05CC3">
        <w:t>hen finally as a practitioner you plan out and try what you have learned. Aubrey and Riley (2019) state that Kolb sees the 4 stage learning cycle as a continu</w:t>
      </w:r>
      <w:r w:rsidR="00273878">
        <w:t>ous spiral, as when the learner</w:t>
      </w:r>
      <w:r w:rsidR="00F05CC3">
        <w:t xml:space="preserve"> completes one stage</w:t>
      </w:r>
      <w:r w:rsidR="00273878">
        <w:t>,</w:t>
      </w:r>
      <w:r w:rsidR="00F05CC3">
        <w:t xml:space="preserve"> they will </w:t>
      </w:r>
      <w:r w:rsidR="00273878">
        <w:t xml:space="preserve">then </w:t>
      </w:r>
      <w:r w:rsidR="00F05CC3">
        <w:t>develop their learning by using the information from the previous stage to move onto the next stage.</w:t>
      </w:r>
      <w:r w:rsidR="00DE27B7">
        <w:t xml:space="preserve"> This method of reflection is important as it can be linked to</w:t>
      </w:r>
      <w:r w:rsidR="007C0CA1">
        <w:t>, and contains similar aspects to</w:t>
      </w:r>
      <w:r w:rsidR="00DE27B7">
        <w:t xml:space="preserve"> Tripp’s critical incident model which provides the foundations for this critical evaluation.</w:t>
      </w:r>
    </w:p>
    <w:p w:rsidR="004D4CE1" w:rsidRDefault="004D4CE1" w:rsidP="006C09D3">
      <w:pPr>
        <w:tabs>
          <w:tab w:val="left" w:pos="3180"/>
        </w:tabs>
        <w:spacing w:line="360" w:lineRule="auto"/>
      </w:pPr>
      <w:r>
        <w:t>Tripp</w:t>
      </w:r>
      <w:r w:rsidR="00CC3480">
        <w:t>’</w:t>
      </w:r>
      <w:r>
        <w:t>s</w:t>
      </w:r>
      <w:r w:rsidR="00273878">
        <w:t xml:space="preserve"> (2011</w:t>
      </w:r>
      <w:r w:rsidR="00062820">
        <w:t xml:space="preserve">) critical incident methodology </w:t>
      </w:r>
      <w:r w:rsidR="00273878">
        <w:t xml:space="preserve">will serve </w:t>
      </w:r>
      <w:r w:rsidR="00062820">
        <w:t xml:space="preserve">as the foundations for my critical evaluation. </w:t>
      </w:r>
      <w:r w:rsidR="00430860">
        <w:t xml:space="preserve">This </w:t>
      </w:r>
      <w:r w:rsidR="00062820">
        <w:t xml:space="preserve">methodology focusses on the basis that an incident is made critical through analysis and evaluation. </w:t>
      </w:r>
      <w:r w:rsidR="00273878">
        <w:t>Moreover, Tripp (2011</w:t>
      </w:r>
      <w:r w:rsidR="00DD2939">
        <w:t>) states that it is the interpretation of an incident which makes it significant</w:t>
      </w:r>
      <w:r w:rsidR="00273878">
        <w:t>,</w:t>
      </w:r>
      <w:r w:rsidR="00DD2939">
        <w:t xml:space="preserve"> and </w:t>
      </w:r>
      <w:r w:rsidR="00273878">
        <w:t xml:space="preserve">therefore </w:t>
      </w:r>
      <w:r w:rsidR="00DD2939">
        <w:t>what makes this incident suitable to be used as a tool for reflection.</w:t>
      </w:r>
      <w:r w:rsidR="00CC3480">
        <w:t xml:space="preserve"> Additionally, this methodology delves deeper into the reas</w:t>
      </w:r>
      <w:r w:rsidR="00273878">
        <w:t xml:space="preserve">ons why an incident happens and </w:t>
      </w:r>
      <w:r w:rsidR="00CC3480">
        <w:t xml:space="preserve">if there are any underlying causes </w:t>
      </w:r>
      <w:r w:rsidR="006E4444">
        <w:t>to this incident</w:t>
      </w:r>
      <w:r w:rsidR="00273878">
        <w:t>. O</w:t>
      </w:r>
      <w:r w:rsidR="006E4444">
        <w:t>n the whole</w:t>
      </w:r>
      <w:r w:rsidR="004B4F69">
        <w:t>,</w:t>
      </w:r>
      <w:r w:rsidR="006E4444">
        <w:t xml:space="preserve"> </w:t>
      </w:r>
      <w:r w:rsidR="00273878">
        <w:t xml:space="preserve">Tripp’s (2011) methodology </w:t>
      </w:r>
      <w:r w:rsidR="006E4444">
        <w:t>helps us to understand why an incident happens and the ability to explain the meaning behind an incident.</w:t>
      </w:r>
    </w:p>
    <w:p w:rsidR="00DE27B7" w:rsidRPr="00EB3C36" w:rsidRDefault="005B3446" w:rsidP="006C09D3">
      <w:pPr>
        <w:tabs>
          <w:tab w:val="left" w:pos="3180"/>
        </w:tabs>
        <w:spacing w:line="360" w:lineRule="auto"/>
      </w:pPr>
      <w:r>
        <w:t>Critical reflection is also an important as it can be directly linked to the professional standards, in particular the standards within the collaboration secti</w:t>
      </w:r>
      <w:r w:rsidR="00DC30B6">
        <w:t>on.</w:t>
      </w:r>
      <w:r w:rsidR="006A2FC6">
        <w:t xml:space="preserve"> Critical reflection can be linked to many of the professional standards as it acts as an enabler to improve practice. </w:t>
      </w:r>
      <w:r w:rsidR="00DC30B6">
        <w:t xml:space="preserve"> C</w:t>
      </w:r>
      <w:r w:rsidR="00230669">
        <w:t>ritical reflection is linked to</w:t>
      </w:r>
      <w:r>
        <w:t xml:space="preserve"> the</w:t>
      </w:r>
      <w:r w:rsidR="00DC30B6">
        <w:t xml:space="preserve"> ’Working with in-school colleagues’ component as the reflection is directly </w:t>
      </w:r>
      <w:r w:rsidR="00EB3C36">
        <w:t>linked to developing expertise by reflecting on previous experiences, then learning from them. Additionally, critical reflection can also be linked the ‘Enabling improvement’ and the ‘</w:t>
      </w:r>
      <w:r w:rsidR="00EB3C36" w:rsidRPr="00EB3C36">
        <w:t>Continuing professional learning</w:t>
      </w:r>
      <w:r w:rsidR="00EB3C36">
        <w:t xml:space="preserve">’ components of the teaching standards. This is due to the fact that the aim of critical reflection is to </w:t>
      </w:r>
      <w:r w:rsidR="00230669">
        <w:t>allow teachers to improve their practice. This is then outlined by the fact that teachers should be continually reflecting on their practice in order to enable improvement.</w:t>
      </w:r>
    </w:p>
    <w:p w:rsidR="000A457B" w:rsidRDefault="000A457B" w:rsidP="006C09D3">
      <w:pPr>
        <w:tabs>
          <w:tab w:val="left" w:pos="3180"/>
        </w:tabs>
        <w:spacing w:line="360" w:lineRule="auto"/>
      </w:pPr>
    </w:p>
    <w:p w:rsidR="000A457B" w:rsidRDefault="000A457B" w:rsidP="006C09D3">
      <w:pPr>
        <w:tabs>
          <w:tab w:val="left" w:pos="3180"/>
        </w:tabs>
        <w:spacing w:line="360" w:lineRule="auto"/>
        <w:jc w:val="center"/>
        <w:rPr>
          <w:u w:val="single"/>
        </w:rPr>
      </w:pPr>
      <w:r w:rsidRPr="000A457B">
        <w:rPr>
          <w:u w:val="single"/>
        </w:rPr>
        <w:t>Observation</w:t>
      </w:r>
    </w:p>
    <w:p w:rsidR="000A457B" w:rsidRDefault="000A457B" w:rsidP="006C09D3">
      <w:pPr>
        <w:tabs>
          <w:tab w:val="left" w:pos="3180"/>
        </w:tabs>
        <w:spacing w:line="360" w:lineRule="auto"/>
      </w:pPr>
      <w:r>
        <w:t>My observation had to be done online through the universities contingency plan as I was unable to attend the school. This plan consisted of online videos of lesson observations. Despi</w:t>
      </w:r>
      <w:r w:rsidR="006A2FC6">
        <w:t xml:space="preserve">te this, </w:t>
      </w:r>
      <w:r w:rsidR="00273878">
        <w:t xml:space="preserve">it </w:t>
      </w:r>
      <w:r w:rsidR="006A2FC6">
        <w:t xml:space="preserve">is </w:t>
      </w:r>
      <w:r>
        <w:t>important to note that this section of the essay will</w:t>
      </w:r>
      <w:r w:rsidRPr="000A457B">
        <w:t xml:space="preserve"> anonymise the school and all its members</w:t>
      </w:r>
      <w:r>
        <w:t xml:space="preserve"> in accordance with BERA</w:t>
      </w:r>
      <w:r w:rsidR="006A2FC6">
        <w:t xml:space="preserve"> (2018)</w:t>
      </w:r>
      <w:r>
        <w:t xml:space="preserve"> guidelines.</w:t>
      </w:r>
      <w:r w:rsidR="0037551E">
        <w:t xml:space="preserve"> Due to the observation being done through the universities contingency plan I was unable to record many details of the school.</w:t>
      </w:r>
      <w:r w:rsidR="006A2FC6">
        <w:t xml:space="preserve"> </w:t>
      </w:r>
      <w:r w:rsidR="0037551E">
        <w:t xml:space="preserve">However, the video </w:t>
      </w:r>
      <w:r w:rsidR="00BA12BC">
        <w:t xml:space="preserve">I observed </w:t>
      </w:r>
      <w:r w:rsidR="0037551E">
        <w:t>was set in a mixed-gender</w:t>
      </w:r>
      <w:r w:rsidR="004B4F69">
        <w:t>,</w:t>
      </w:r>
      <w:r w:rsidR="0037551E">
        <w:t xml:space="preserve"> English medium primary school. The observation </w:t>
      </w:r>
      <w:r w:rsidR="00BA12BC">
        <w:t>was set i</w:t>
      </w:r>
      <w:r w:rsidR="004B4F69">
        <w:t>n a</w:t>
      </w:r>
      <w:r w:rsidR="0037551E">
        <w:t xml:space="preserve"> year four science lesson, of which the lesson objective was for the children to</w:t>
      </w:r>
      <w:r w:rsidR="00273878">
        <w:t xml:space="preserve"> work in groups and</w:t>
      </w:r>
      <w:r w:rsidR="0037551E">
        <w:t xml:space="preserve"> use real materials in order to understand </w:t>
      </w:r>
      <w:r w:rsidR="00AD3A51">
        <w:t>the concept of friction. The children were given materials to touch and feel, they then were to</w:t>
      </w:r>
      <w:r w:rsidR="00273878">
        <w:t>ld to come up with a prediction about which materials would create the highest level of friction.</w:t>
      </w:r>
    </w:p>
    <w:p w:rsidR="00BA12BC" w:rsidRDefault="00BA12BC" w:rsidP="006C09D3">
      <w:pPr>
        <w:tabs>
          <w:tab w:val="left" w:pos="3180"/>
        </w:tabs>
        <w:spacing w:line="360" w:lineRule="auto"/>
      </w:pPr>
    </w:p>
    <w:p w:rsidR="00BA12BC" w:rsidRDefault="00BA12BC" w:rsidP="006C09D3">
      <w:pPr>
        <w:tabs>
          <w:tab w:val="left" w:pos="3180"/>
        </w:tabs>
        <w:spacing w:line="360" w:lineRule="auto"/>
        <w:jc w:val="center"/>
        <w:rPr>
          <w:u w:val="single"/>
        </w:rPr>
      </w:pPr>
      <w:r>
        <w:rPr>
          <w:u w:val="single"/>
        </w:rPr>
        <w:t>Critical Incident and D</w:t>
      </w:r>
      <w:r w:rsidRPr="00BA12BC">
        <w:rPr>
          <w:u w:val="single"/>
        </w:rPr>
        <w:t>onaldson</w:t>
      </w:r>
      <w:r w:rsidR="000C5D74">
        <w:rPr>
          <w:u w:val="single"/>
        </w:rPr>
        <w:t>’</w:t>
      </w:r>
      <w:r w:rsidRPr="00BA12BC">
        <w:rPr>
          <w:u w:val="single"/>
        </w:rPr>
        <w:t>s 4 purposes</w:t>
      </w:r>
    </w:p>
    <w:p w:rsidR="000C5D74" w:rsidRDefault="000C5D74" w:rsidP="006C09D3">
      <w:pPr>
        <w:tabs>
          <w:tab w:val="left" w:pos="3180"/>
        </w:tabs>
        <w:spacing w:line="360" w:lineRule="auto"/>
      </w:pPr>
      <w:r>
        <w:t>During the observation, the teacher makes it clear to the students that it is completely up to them how they use the materials in order to understand friction</w:t>
      </w:r>
      <w:r w:rsidR="004B4F69">
        <w:t>,</w:t>
      </w:r>
      <w:r>
        <w:t xml:space="preserve"> and how to come up with a prediction over which materials would have the most friction.</w:t>
      </w:r>
      <w:r w:rsidR="00130292">
        <w:t xml:space="preserve"> </w:t>
      </w:r>
      <w:r>
        <w:t xml:space="preserve">As the activity starts </w:t>
      </w:r>
      <w:r w:rsidR="00130292">
        <w:t xml:space="preserve">the camera zooms in on one of the tables and this is where the critical incident was identified. There were four children sitting around a table, all completely engaged in the activity. They are all touching bubble wrap and talking </w:t>
      </w:r>
      <w:r w:rsidR="00130292">
        <w:lastRenderedPageBreak/>
        <w:t xml:space="preserve">to each other about why one side of the bubble wrap would have more friction than the other side. Each of the pupils tries to give the others on the table a demonstration explaining why one side of the bubble wrap has more friction. As well as providing me with an insight </w:t>
      </w:r>
      <w:r w:rsidR="00227542">
        <w:t>of how well blended learning and group work can be used for my future practice, this critical incident can also be linked to Donaldson’s four purposes.</w:t>
      </w:r>
    </w:p>
    <w:p w:rsidR="005957C6" w:rsidRDefault="007C0CA1" w:rsidP="006C09D3">
      <w:pPr>
        <w:tabs>
          <w:tab w:val="left" w:pos="3180"/>
        </w:tabs>
        <w:spacing w:line="360" w:lineRule="auto"/>
      </w:pPr>
      <w:r>
        <w:t>Donaldson’s (2015) report ‘Successful Futures’ has become the forefront for</w:t>
      </w:r>
      <w:r w:rsidR="00692E23">
        <w:t xml:space="preserve"> educational reform</w:t>
      </w:r>
      <w:r w:rsidR="0098158F">
        <w:t>,</w:t>
      </w:r>
      <w:r w:rsidR="00692E23">
        <w:t xml:space="preserve"> and the four principles identified in the report have become the foundations for</w:t>
      </w:r>
      <w:r>
        <w:t xml:space="preserve"> the new curriculum in Wales</w:t>
      </w:r>
      <w:r w:rsidR="00692E23">
        <w:t xml:space="preserve">. This critical incident can be directly linked to the ‘enterprising, creative contributor’ purpose, as in the observation the children are using their own knowledge, and building on previous knowledge in order to </w:t>
      </w:r>
      <w:r w:rsidR="0098158F">
        <w:t xml:space="preserve">gain further </w:t>
      </w:r>
      <w:r w:rsidR="00692E23">
        <w:t>understand</w:t>
      </w:r>
      <w:r w:rsidR="00273878">
        <w:t>ing</w:t>
      </w:r>
      <w:r w:rsidR="00692E23">
        <w:t xml:space="preserve"> </w:t>
      </w:r>
      <w:r w:rsidR="0098158F">
        <w:t xml:space="preserve">on the concept of </w:t>
      </w:r>
      <w:r w:rsidR="00692E23">
        <w:t>friction</w:t>
      </w:r>
      <w:r w:rsidR="0098158F">
        <w:t>. The children did this by handling and touching the bubble wrap in order to gain a better understanding. This incident can also be linked to the ‘enterprising, creative contributor’ purpose</w:t>
      </w:r>
      <w:r w:rsidR="003562CC">
        <w:t>,</w:t>
      </w:r>
      <w:r w:rsidR="0098158F">
        <w:t xml:space="preserve"> as in the observation the children are working in groups and by doing this are demonstrating an ability to play different roles in a team responsibly. Additionally, the fac</w:t>
      </w:r>
      <w:r w:rsidR="004B4F69">
        <w:t>t that each of the children are</w:t>
      </w:r>
      <w:r w:rsidR="003562CC">
        <w:t xml:space="preserve"> </w:t>
      </w:r>
      <w:r w:rsidR="0098158F">
        <w:t>contributing to the work shows that they are able</w:t>
      </w:r>
      <w:r w:rsidR="003562CC">
        <w:t>,</w:t>
      </w:r>
      <w:r w:rsidR="0098158F">
        <w:t xml:space="preserve"> and willing to share their knowledge with each other so that the other member</w:t>
      </w:r>
      <w:r w:rsidR="006A2AF4">
        <w:t>s</w:t>
      </w:r>
      <w:r w:rsidR="003562CC">
        <w:t xml:space="preserve"> of the group will benefit. T</w:t>
      </w:r>
      <w:r w:rsidR="006A2AF4">
        <w:t>his further supports the link between this incident and the ‘enterprising, creative contributor’ purpose.</w:t>
      </w:r>
      <w:r w:rsidR="007B5213">
        <w:t xml:space="preserve"> This purpose is significant to the new curriculum as Donaldson (2015) states that as children become enterprising, creative contributors then they will be ready to play a full part in life and work.</w:t>
      </w:r>
      <w:r w:rsidR="00BE47EC">
        <w:t xml:space="preserve"> </w:t>
      </w:r>
      <w:r w:rsidR="005957C6">
        <w:t xml:space="preserve">This critical incident can also be linked to the </w:t>
      </w:r>
      <w:r w:rsidR="003562CC">
        <w:t xml:space="preserve">‘ambitious, capable learners’ </w:t>
      </w:r>
      <w:r w:rsidR="005957C6">
        <w:t>branch of Donaldson’s four purposes. This link can be made as in this observation the children are communicating with each other and giving demonstrations on wh</w:t>
      </w:r>
      <w:r w:rsidR="004B4F69">
        <w:t>y some materials have</w:t>
      </w:r>
      <w:r w:rsidR="005957C6">
        <w:t xml:space="preserve"> more friction than others. By doing this, the children involved in the critical incident are proving that they have the ability to explain the ideas and concepts they are learning about, and also that they are able to communicate effectively in different settings.</w:t>
      </w:r>
      <w:r w:rsidR="007B5213">
        <w:t xml:space="preserve"> This purpose is significant as Donaldson (2015) states that as children become ambitious, capable learners then they will be ready to learn throughout their lives.</w:t>
      </w:r>
    </w:p>
    <w:p w:rsidR="007C0CA1" w:rsidRDefault="0098158F" w:rsidP="006C09D3">
      <w:pPr>
        <w:tabs>
          <w:tab w:val="left" w:pos="3180"/>
        </w:tabs>
        <w:spacing w:line="360" w:lineRule="auto"/>
      </w:pPr>
      <w:r>
        <w:t xml:space="preserve"> </w:t>
      </w:r>
    </w:p>
    <w:p w:rsidR="00227542" w:rsidRPr="00CB7D65" w:rsidRDefault="00CB7D65" w:rsidP="006C09D3">
      <w:pPr>
        <w:tabs>
          <w:tab w:val="left" w:pos="3180"/>
        </w:tabs>
        <w:spacing w:line="360" w:lineRule="auto"/>
        <w:jc w:val="center"/>
        <w:rPr>
          <w:u w:val="single"/>
        </w:rPr>
      </w:pPr>
      <w:r w:rsidRPr="00CB7D65">
        <w:rPr>
          <w:u w:val="single"/>
        </w:rPr>
        <w:t>Literature Review</w:t>
      </w:r>
    </w:p>
    <w:p w:rsidR="0057278F" w:rsidRDefault="0057278F" w:rsidP="006C09D3">
      <w:pPr>
        <w:tabs>
          <w:tab w:val="left" w:pos="3180"/>
        </w:tabs>
        <w:spacing w:line="360" w:lineRule="auto"/>
      </w:pPr>
      <w:r>
        <w:t>This literature review will focus around the effectiveness of using group work in the classroom. It will delve into the main literature surrounding the social constructivist scope produced by Vygotsky, whilst also looking at his theory of the more knowledgeable other. This literature</w:t>
      </w:r>
      <w:r w:rsidR="003562CC">
        <w:t xml:space="preserve"> review</w:t>
      </w:r>
      <w:r>
        <w:t xml:space="preserve"> will then briefly analyse the work of Vygotsky’s fellow Constructivist Piaget, whilst using peer reviewed journal articles to critically analyse both Vygotsky’s and </w:t>
      </w:r>
      <w:proofErr w:type="spellStart"/>
      <w:r>
        <w:t>Piagets’s</w:t>
      </w:r>
      <w:proofErr w:type="spellEnd"/>
      <w:r>
        <w:t xml:space="preserve"> theories surrounding the notion of group work. This literature review will then analyse more recent literature and publishing’s surrounding the notion of group work in the classroom, first by analysing the literature advocating the use of group work, before analysing the main literature which either opposes or identifies serious limitations of group</w:t>
      </w:r>
      <w:r w:rsidR="00BE47EC">
        <w:t xml:space="preserve"> work in the classroom.</w:t>
      </w:r>
    </w:p>
    <w:p w:rsidR="00AC24DB" w:rsidRDefault="008E6179" w:rsidP="006C09D3">
      <w:pPr>
        <w:tabs>
          <w:tab w:val="left" w:pos="3180"/>
        </w:tabs>
        <w:spacing w:line="360" w:lineRule="auto"/>
      </w:pPr>
      <w:r>
        <w:t xml:space="preserve">Vygotsky (1978) presents the theory of the more knowledgeable other and states that children are able to </w:t>
      </w:r>
      <w:r w:rsidR="003562CC">
        <w:t>achieve</w:t>
      </w:r>
      <w:r>
        <w:t xml:space="preserve"> a far greater level when they are undertaking a collective activity, or are working under the guidance of an adult. </w:t>
      </w:r>
      <w:r w:rsidR="00E92550">
        <w:t>Vygotsky’s theories are significant as they are seen by many as the origin of social constructivism (</w:t>
      </w:r>
      <w:r w:rsidR="00E92550" w:rsidRPr="00E92550">
        <w:t xml:space="preserve">Hua Liu </w:t>
      </w:r>
      <w:r w:rsidR="00E92550">
        <w:t xml:space="preserve">&amp; Matthews, 2005). Therefore, his theories hold great influence in the literature around social constructivism and group work. </w:t>
      </w:r>
      <w:r w:rsidR="00CA0870">
        <w:t>Vyg</w:t>
      </w:r>
      <w:r w:rsidR="00E92550">
        <w:t>otsky</w:t>
      </w:r>
      <w:r w:rsidR="00CA0870">
        <w:t xml:space="preserve"> puts an emphasis on learning as a social process, and puts language as the most significant tool that learner</w:t>
      </w:r>
      <w:r w:rsidR="003562CC">
        <w:t>s have</w:t>
      </w:r>
      <w:r w:rsidR="00E92550">
        <w:t xml:space="preserve"> (Aubrey and Riley, 2014</w:t>
      </w:r>
      <w:r w:rsidR="00CA0870">
        <w:t>)</w:t>
      </w:r>
      <w:r w:rsidR="00D03BA1">
        <w:t>.</w:t>
      </w:r>
      <w:r w:rsidR="0037405E" w:rsidRPr="0037405E">
        <w:t xml:space="preserve"> </w:t>
      </w:r>
      <w:r w:rsidR="00834D2A">
        <w:t>The fact the Vygotsky (1978)</w:t>
      </w:r>
      <w:r w:rsidR="0037405E">
        <w:t xml:space="preserve"> put so much emphasis on learning in the social context supports the notion that group work is a vital part of learning</w:t>
      </w:r>
      <w:r w:rsidR="00E92550">
        <w:t>.</w:t>
      </w:r>
      <w:r w:rsidR="00B40A3F">
        <w:t xml:space="preserve"> </w:t>
      </w:r>
      <w:r w:rsidR="00460676">
        <w:t xml:space="preserve">A Peer reviewed journal </w:t>
      </w:r>
      <w:r w:rsidR="00460676">
        <w:lastRenderedPageBreak/>
        <w:t xml:space="preserve">article from </w:t>
      </w:r>
      <w:proofErr w:type="spellStart"/>
      <w:r w:rsidR="00460676">
        <w:t>Bodrova</w:t>
      </w:r>
      <w:proofErr w:type="spellEnd"/>
      <w:r w:rsidR="00460676">
        <w:t xml:space="preserve"> and Leong (2015) presents a view of Vygotsky’s more knowledgeable other theory which supports the use of group work in the classroom. The article states that even though the Zone of proximal development is arguably Vygotsky’s most famous work, </w:t>
      </w:r>
      <w:proofErr w:type="spellStart"/>
      <w:r w:rsidR="00C4531B">
        <w:t>Bodrova</w:t>
      </w:r>
      <w:proofErr w:type="spellEnd"/>
      <w:r w:rsidR="00C4531B">
        <w:t xml:space="preserve"> and Leong</w:t>
      </w:r>
      <w:r w:rsidR="00460676">
        <w:t xml:space="preserve"> (2015) argue that his words about a child </w:t>
      </w:r>
      <w:r w:rsidR="003562CC">
        <w:t>being guided by an adult or more knowledgeable other</w:t>
      </w:r>
      <w:r w:rsidR="00460676">
        <w:t xml:space="preserve"> may have been taken </w:t>
      </w:r>
      <w:r w:rsidR="003562CC">
        <w:t xml:space="preserve">too </w:t>
      </w:r>
      <w:r w:rsidR="00460676">
        <w:t>literally</w:t>
      </w:r>
      <w:r w:rsidR="003562CC">
        <w:t>,</w:t>
      </w:r>
      <w:r w:rsidR="00460676">
        <w:t xml:space="preserve"> and therefore limit the application of the zone of proximal development on a one to one basis. </w:t>
      </w:r>
      <w:proofErr w:type="spellStart"/>
      <w:r w:rsidR="00460676">
        <w:t>Bodrova</w:t>
      </w:r>
      <w:proofErr w:type="spellEnd"/>
      <w:r w:rsidR="00460676">
        <w:t xml:space="preserve"> and Leong (2015) instead advocate that the Zone of proximal development should be more focussed on assistance provided by a group of peers. In this instance the group of peers may act collectively as the more knowledgeable other, even if the children do not differ in knowledge level</w:t>
      </w:r>
      <w:r w:rsidR="00C4531B">
        <w:t>.</w:t>
      </w:r>
    </w:p>
    <w:p w:rsidR="00D03BA1" w:rsidRDefault="00834D2A" w:rsidP="006C09D3">
      <w:pPr>
        <w:tabs>
          <w:tab w:val="left" w:pos="3180"/>
        </w:tabs>
        <w:spacing w:line="360" w:lineRule="auto"/>
      </w:pPr>
      <w:r>
        <w:t>Whilst the critical incident</w:t>
      </w:r>
      <w:r w:rsidR="00AD7DC0">
        <w:t xml:space="preserve"> observed is closely linked to Vygotsky and the field of social constructivism, the literature around Vygotsky’s work is closely linked with that of Piaget.</w:t>
      </w:r>
      <w:r w:rsidR="00C17D1A">
        <w:t xml:space="preserve"> </w:t>
      </w:r>
      <w:r w:rsidR="0057278F">
        <w:t>Therefore,</w:t>
      </w:r>
      <w:r w:rsidR="00C17D1A">
        <w:t xml:space="preserve"> it</w:t>
      </w:r>
      <w:r w:rsidR="00AD7DC0">
        <w:t xml:space="preserve"> is important to include and critique Piaget’s work in this review. </w:t>
      </w:r>
      <w:r w:rsidR="00D03BA1">
        <w:t>Piaget states that cognitive development stems from independent exploration in which the child constructs their own knowledge (Macleod 2014). Whilst this can be linked to my critical incident as the children partly constructed their own knowledge</w:t>
      </w:r>
      <w:r w:rsidR="006C6AFB">
        <w:t xml:space="preserve">, it is important to note that they did this in a group, not independently. Bozkurt (2017) references </w:t>
      </w:r>
      <w:proofErr w:type="spellStart"/>
      <w:r w:rsidR="006C6AFB">
        <w:t>Reghoff</w:t>
      </w:r>
      <w:proofErr w:type="spellEnd"/>
      <w:r w:rsidR="006C6AFB">
        <w:t xml:space="preserve"> (1990)</w:t>
      </w:r>
      <w:r w:rsidR="003562CC">
        <w:t>,</w:t>
      </w:r>
      <w:r w:rsidR="006C6AFB">
        <w:t xml:space="preserve"> who argues that the </w:t>
      </w:r>
      <w:r w:rsidR="00B40A3F">
        <w:t>integration</w:t>
      </w:r>
      <w:r w:rsidR="006C6AFB">
        <w:t xml:space="preserve"> social interaction in Piaget’s approa</w:t>
      </w:r>
      <w:r>
        <w:t>ch is unable to achieve Vygotsky</w:t>
      </w:r>
      <w:r w:rsidR="006C6AFB">
        <w:t>’s view that it is crucial to comprehend cognition within a social context.</w:t>
      </w:r>
      <w:r>
        <w:t xml:space="preserve"> Vygotsky</w:t>
      </w:r>
      <w:r w:rsidR="00CE7739">
        <w:t xml:space="preserve"> was also critical of Piaget</w:t>
      </w:r>
      <w:r w:rsidR="003562CC">
        <w:t>’</w:t>
      </w:r>
      <w:r w:rsidR="00CE7739">
        <w:t>s theory as seen in Alexander (2008)</w:t>
      </w:r>
      <w:r w:rsidR="009A1520">
        <w:t xml:space="preserve"> who is a leading educationalist academic. Alexander (2008) </w:t>
      </w:r>
      <w:r w:rsidR="00CE7739">
        <w:t>states that Vygotsky is sceptical</w:t>
      </w:r>
      <w:r w:rsidR="00CE7739" w:rsidRPr="00CE7739">
        <w:t xml:space="preserve"> </w:t>
      </w:r>
      <w:r w:rsidR="003562CC">
        <w:t xml:space="preserve">of </w:t>
      </w:r>
      <w:r w:rsidR="00CE7739" w:rsidRPr="00CE7739">
        <w:t xml:space="preserve">Piaget’s view of cognitive development by arguing that children’s learning requires engagement </w:t>
      </w:r>
      <w:r w:rsidR="00CE7739">
        <w:t>with othe</w:t>
      </w:r>
      <w:r w:rsidR="0037405E">
        <w:t xml:space="preserve">rs, including peers and adults. </w:t>
      </w:r>
      <w:r w:rsidR="000B05F8">
        <w:t>On</w:t>
      </w:r>
      <w:r w:rsidR="00B40A3F">
        <w:t>e</w:t>
      </w:r>
      <w:r w:rsidR="000B05F8">
        <w:t xml:space="preserve"> of the most significant differences is that Piaget sees the child as a lone scientist. Pritchard (2014) is critical of the relevance of this notion</w:t>
      </w:r>
      <w:r w:rsidR="004B4F69">
        <w:t>,</w:t>
      </w:r>
      <w:r w:rsidR="000B05F8">
        <w:t xml:space="preserve"> as he argues that even</w:t>
      </w:r>
      <w:r w:rsidR="004B4F69">
        <w:t xml:space="preserve"> though the notion is supported</w:t>
      </w:r>
      <w:r w:rsidR="000B05F8">
        <w:t xml:space="preserve"> by more recent writers such as Karmiloff- Smith (1997), the vision of the child being alone in their endeavours is no longer seen as the full picture.  Despite them being similar in some ways, Vygotsky’s theory can be used as a tool to criticise Piaget. This is because as noted by</w:t>
      </w:r>
      <w:r w:rsidR="000B05F8" w:rsidRPr="000B05F8">
        <w:t xml:space="preserve"> </w:t>
      </w:r>
      <w:r w:rsidR="000B05F8">
        <w:t>Macleod (2014), V</w:t>
      </w:r>
      <w:r>
        <w:t>ygotsky</w:t>
      </w:r>
      <w:r w:rsidR="000B05F8">
        <w:t xml:space="preserve"> argues that cognitive development stems from the social interaction</w:t>
      </w:r>
      <w:r w:rsidR="0092427D">
        <w:t>,</w:t>
      </w:r>
      <w:r w:rsidR="000B05F8">
        <w:t xml:space="preserve"> and their partners help </w:t>
      </w:r>
      <w:r>
        <w:t xml:space="preserve">to co-construct their knowledge. </w:t>
      </w:r>
      <w:r w:rsidR="0037405E">
        <w:t>Piaget</w:t>
      </w:r>
      <w:r w:rsidR="00B40A3F">
        <w:t>’</w:t>
      </w:r>
      <w:r w:rsidR="0037405E">
        <w:t xml:space="preserve">s stance on cognitive development </w:t>
      </w:r>
      <w:r w:rsidR="00EB1317">
        <w:t>can also be seen as limited as his theory relied on observations of</w:t>
      </w:r>
      <w:r w:rsidR="004B4F69">
        <w:t xml:space="preserve"> his own children (Cherry 2020). Also,</w:t>
      </w:r>
      <w:r w:rsidR="00EB1317">
        <w:t xml:space="preserve"> as noted in Johnson (2017) it is unlikely that the findings drawn from observing his own children would be a fair representation of all children. However, it must be noted that the criticisms could be seen as unfair, as Johnson (2017) goes on to state that Piaget</w:t>
      </w:r>
      <w:r w:rsidR="00B40A3F">
        <w:t>’</w:t>
      </w:r>
      <w:r w:rsidR="00EB1317">
        <w:t>s observations of his own children were only the beginning, and throughout his career he expanded to observing thousands of children.</w:t>
      </w:r>
    </w:p>
    <w:p w:rsidR="00FA6535" w:rsidRDefault="00834D2A" w:rsidP="006C09D3">
      <w:pPr>
        <w:tabs>
          <w:tab w:val="left" w:pos="3180"/>
        </w:tabs>
        <w:spacing w:line="360" w:lineRule="auto"/>
      </w:pPr>
      <w:r>
        <w:t xml:space="preserve">Despite Vygotsky </w:t>
      </w:r>
      <w:r w:rsidR="00A33436">
        <w:t xml:space="preserve">and Piaget being the two main theorist surrounding the importance of </w:t>
      </w:r>
      <w:r w:rsidR="00980E46">
        <w:t>group work</w:t>
      </w:r>
      <w:r w:rsidR="00A33436">
        <w:t xml:space="preserve"> in the classroom. As they are both older works it is important to critique their work and ask the question whether they are still relevant in today’s modern classroom. Blatchfor</w:t>
      </w:r>
      <w:r>
        <w:t>d el al (2003) critique Vygotsky</w:t>
      </w:r>
      <w:r w:rsidR="00A33436">
        <w:t xml:space="preserve"> and Piaget stating that they do not do justice to the huge potential surrounding the notion of group work. Blatchford et al (2003) ident</w:t>
      </w:r>
      <w:r>
        <w:t>ify the problems facing Vygotsky</w:t>
      </w:r>
      <w:r w:rsidR="00A33436">
        <w:t xml:space="preserve"> and Piaget</w:t>
      </w:r>
      <w:r>
        <w:t>’s theories</w:t>
      </w:r>
      <w:r w:rsidR="00A33436">
        <w:t xml:space="preserve"> around group work</w:t>
      </w:r>
      <w:r w:rsidR="0092427D">
        <w:t>,</w:t>
      </w:r>
      <w:r w:rsidR="00A33436">
        <w:t xml:space="preserve"> stating that their research tended to be experimental and put too much emphasis on cognitive development.</w:t>
      </w:r>
      <w:r w:rsidR="00CE311E">
        <w:t xml:space="preserve"> </w:t>
      </w:r>
      <w:proofErr w:type="spellStart"/>
      <w:r w:rsidR="00CE311E">
        <w:t>B</w:t>
      </w:r>
      <w:r w:rsidR="00980E46">
        <w:t>alt</w:t>
      </w:r>
      <w:r w:rsidR="00CE311E">
        <w:t>chford</w:t>
      </w:r>
      <w:proofErr w:type="spellEnd"/>
      <w:r w:rsidR="00CE311E">
        <w:t xml:space="preserve"> et al (2003) continue to make the point that group work in today</w:t>
      </w:r>
      <w:r w:rsidR="007B078A">
        <w:t>’</w:t>
      </w:r>
      <w:r w:rsidR="00CE311E">
        <w:t>s classroom has massive potential, far further than the current theories will allow.</w:t>
      </w:r>
      <w:r w:rsidR="007B078A">
        <w:t xml:space="preserve"> This is supported by a study into the benefits of group work by Chirac (2014). The conclusions drawn from this study included the fact that</w:t>
      </w:r>
      <w:r w:rsidR="00CE311E">
        <w:t xml:space="preserve"> </w:t>
      </w:r>
      <w:r w:rsidR="007B078A">
        <w:t>‘The majority of the students (97%) responded that working in group somehow facilitated learning, academic knowledge, collaborative abilities or both’ (Chirac 2014, p.6).</w:t>
      </w:r>
      <w:r w:rsidR="00CE311E">
        <w:t xml:space="preserve"> </w:t>
      </w:r>
      <w:r w:rsidR="007B078A">
        <w:t>This shows how important and effective group work can be in the classroom. Chirac (2014) also delves deeper into the effects that group work has on learning</w:t>
      </w:r>
      <w:r w:rsidR="0092427D">
        <w:t xml:space="preserve"> and explores</w:t>
      </w:r>
      <w:r w:rsidR="00247D57">
        <w:t xml:space="preserve"> the impact that group work has beyond learning. </w:t>
      </w:r>
      <w:r w:rsidR="0092427D">
        <w:t>Chirac (2014) highlights a</w:t>
      </w:r>
      <w:r w:rsidR="00247D57">
        <w:t xml:space="preserve"> study social function where the </w:t>
      </w:r>
      <w:r w:rsidR="00247D57">
        <w:lastRenderedPageBreak/>
        <w:t xml:space="preserve">students help and support </w:t>
      </w:r>
      <w:r w:rsidR="00FA6535">
        <w:t>each other</w:t>
      </w:r>
      <w:r w:rsidR="00247D57">
        <w:t xml:space="preserve"> whilst extracting the groups common knowledge. This can </w:t>
      </w:r>
      <w:r w:rsidR="0092427D">
        <w:t xml:space="preserve">however, </w:t>
      </w:r>
      <w:r w:rsidR="00247D57">
        <w:t>be di</w:t>
      </w:r>
      <w:r w:rsidR="0092427D">
        <w:t>rectly linked back to Vygotsky’s</w:t>
      </w:r>
      <w:r w:rsidR="00247D57">
        <w:t xml:space="preserve"> </w:t>
      </w:r>
      <w:r w:rsidR="00BE47EC">
        <w:t>more knowledgeable other theory</w:t>
      </w:r>
    </w:p>
    <w:p w:rsidR="007B078A" w:rsidRDefault="00106BD9" w:rsidP="006C09D3">
      <w:pPr>
        <w:tabs>
          <w:tab w:val="left" w:pos="3180"/>
        </w:tabs>
        <w:spacing w:line="360" w:lineRule="auto"/>
      </w:pPr>
      <w:r>
        <w:t>Bai</w:t>
      </w:r>
      <w:r w:rsidR="00C169D1">
        <w:t>nes (2009</w:t>
      </w:r>
      <w:r>
        <w:t xml:space="preserve">) supports Blatchford </w:t>
      </w:r>
      <w:r w:rsidR="0092427D">
        <w:t xml:space="preserve">et al </w:t>
      </w:r>
      <w:r>
        <w:t>(2003) in advocating the importance of group</w:t>
      </w:r>
      <w:r w:rsidR="00FA6535">
        <w:t xml:space="preserve"> </w:t>
      </w:r>
      <w:r w:rsidR="0092427D">
        <w:t>work. Baines (2009</w:t>
      </w:r>
      <w:r>
        <w:t>) states many ways in which group work is beneficial to a child’s development. The</w:t>
      </w:r>
      <w:r w:rsidR="00FA6535">
        <w:t>se</w:t>
      </w:r>
      <w:r w:rsidR="0092427D">
        <w:t xml:space="preserve"> include oral development, </w:t>
      </w:r>
      <w:r>
        <w:t xml:space="preserve">and improving a </w:t>
      </w:r>
      <w:r w:rsidR="00FA6535">
        <w:t>child’s</w:t>
      </w:r>
      <w:r>
        <w:t xml:space="preserve"> critical and analytical skills. Baines </w:t>
      </w:r>
      <w:r w:rsidR="00C169D1">
        <w:t>(2009</w:t>
      </w:r>
      <w:r w:rsidR="00230669">
        <w:t xml:space="preserve">) </w:t>
      </w:r>
      <w:r>
        <w:t xml:space="preserve">also notes the benefit that a </w:t>
      </w:r>
      <w:r w:rsidR="00FA6535">
        <w:t>child’s</w:t>
      </w:r>
      <w:r>
        <w:t xml:space="preserve"> conceptual development </w:t>
      </w:r>
      <w:r w:rsidR="00122681">
        <w:t xml:space="preserve">can be assisted by coming up against other views of those at the same stage of development. This </w:t>
      </w:r>
      <w:r w:rsidR="0092427D">
        <w:t xml:space="preserve">is important as it </w:t>
      </w:r>
      <w:r w:rsidR="00122681">
        <w:t>can then help children to adjust and to find new ways of explaining things. Further support for the use of group</w:t>
      </w:r>
      <w:r w:rsidR="00FA6535">
        <w:t xml:space="preserve"> </w:t>
      </w:r>
      <w:r w:rsidR="00122681">
        <w:t>work in the classroom comes</w:t>
      </w:r>
      <w:r w:rsidR="00075213">
        <w:t xml:space="preserve"> from</w:t>
      </w:r>
      <w:r w:rsidR="00122681">
        <w:t xml:space="preserve"> </w:t>
      </w:r>
      <w:r w:rsidR="007D18E1">
        <w:t xml:space="preserve">Gillies (2003) who argues that group work causes a higher level of motivation in children to achieve rather than working as an individual. However, a peer reviewed journal from </w:t>
      </w:r>
      <w:proofErr w:type="spellStart"/>
      <w:r w:rsidR="007D18E1">
        <w:t>Frydkedal</w:t>
      </w:r>
      <w:proofErr w:type="spellEnd"/>
      <w:r w:rsidR="007D18E1">
        <w:t xml:space="preserve"> and </w:t>
      </w:r>
      <w:proofErr w:type="spellStart"/>
      <w:r w:rsidR="007D18E1">
        <w:t>Chiriac</w:t>
      </w:r>
      <w:proofErr w:type="spellEnd"/>
      <w:r w:rsidR="007D18E1">
        <w:t xml:space="preserve"> (2014) is critical of Gillies (2003), as they argue that Gillies (2003) stance goes against</w:t>
      </w:r>
      <w:r w:rsidR="00FA6535">
        <w:t xml:space="preserve"> appositional research finding</w:t>
      </w:r>
      <w:r w:rsidR="0092427D">
        <w:t>s that state</w:t>
      </w:r>
      <w:r w:rsidR="00FA6535">
        <w:t xml:space="preserve"> group work in the classroom is decreasingly used in favour of individual learning. Moreover, </w:t>
      </w:r>
      <w:proofErr w:type="spellStart"/>
      <w:r w:rsidR="00FA6535">
        <w:t>Frydkedal</w:t>
      </w:r>
      <w:proofErr w:type="spellEnd"/>
      <w:r w:rsidR="00FA6535">
        <w:t xml:space="preserve"> and </w:t>
      </w:r>
      <w:proofErr w:type="spellStart"/>
      <w:r w:rsidR="00FA6535">
        <w:t>Chiriac</w:t>
      </w:r>
      <w:proofErr w:type="spellEnd"/>
      <w:r w:rsidR="00FA6535">
        <w:t xml:space="preserve"> (2014) state that many teachers have completely abandoned group work as a method of working in the classroom through bad experiences.</w:t>
      </w:r>
    </w:p>
    <w:p w:rsidR="00462610" w:rsidRDefault="00CE311E" w:rsidP="006C09D3">
      <w:pPr>
        <w:tabs>
          <w:tab w:val="left" w:pos="3180"/>
        </w:tabs>
        <w:spacing w:line="360" w:lineRule="auto"/>
      </w:pPr>
      <w:r>
        <w:t>Giles a</w:t>
      </w:r>
      <w:r w:rsidR="004626D0">
        <w:t xml:space="preserve">nd Boyle (2009) </w:t>
      </w:r>
      <w:r w:rsidR="00FA6535">
        <w:t xml:space="preserve">support the claims made by </w:t>
      </w:r>
      <w:proofErr w:type="spellStart"/>
      <w:r w:rsidR="00FA6535">
        <w:t>Frydekal</w:t>
      </w:r>
      <w:proofErr w:type="spellEnd"/>
      <w:r w:rsidR="00FA6535">
        <w:t xml:space="preserve"> and </w:t>
      </w:r>
      <w:proofErr w:type="spellStart"/>
      <w:r w:rsidR="00FA6535">
        <w:t>Chiriac</w:t>
      </w:r>
      <w:proofErr w:type="spellEnd"/>
      <w:r w:rsidR="00FA6535">
        <w:t xml:space="preserve"> (2014)</w:t>
      </w:r>
      <w:r w:rsidR="0092427D">
        <w:t>,</w:t>
      </w:r>
      <w:r w:rsidR="00FA6535">
        <w:t xml:space="preserve"> by determining</w:t>
      </w:r>
      <w:r w:rsidR="004626D0">
        <w:t xml:space="preserve"> the limitations of group work. Despite recognising that social interaction plays a big part in the way children learn, which can be linked to Vygotsky</w:t>
      </w:r>
      <w:r w:rsidR="0092427D">
        <w:t xml:space="preserve"> (1978)</w:t>
      </w:r>
      <w:r w:rsidR="004626D0">
        <w:t xml:space="preserve">. Giles and Boyle (2009) state that during group work children are often </w:t>
      </w:r>
      <w:r w:rsidR="0092427D">
        <w:t>passive and</w:t>
      </w:r>
      <w:r w:rsidR="009A7FDE">
        <w:t xml:space="preserve"> the recipients of knowledge rather than active participants. Referring back to my critical incident</w:t>
      </w:r>
      <w:r w:rsidR="00B01372">
        <w:t>,</w:t>
      </w:r>
      <w:r w:rsidR="009A7FDE">
        <w:t xml:space="preserve"> it is easy to crit</w:t>
      </w:r>
      <w:r w:rsidR="00B01372">
        <w:t>ic</w:t>
      </w:r>
      <w:r w:rsidR="009A7FDE">
        <w:t xml:space="preserve">ise this point </w:t>
      </w:r>
      <w:r w:rsidR="00596B1E">
        <w:t>made</w:t>
      </w:r>
      <w:r w:rsidR="009A7FDE">
        <w:t xml:space="preserve"> by Giles and Boyle (2009) as in the lesson observed it was clear that the c</w:t>
      </w:r>
      <w:r w:rsidR="00B01372">
        <w:t>hildren were active participants. Despite this</w:t>
      </w:r>
      <w:r w:rsidR="00075213">
        <w:t>,</w:t>
      </w:r>
      <w:r w:rsidR="00B01372">
        <w:t xml:space="preserve"> it is important to note that Giles and Boyle (2009) cite an observation made by Ga</w:t>
      </w:r>
      <w:r w:rsidR="0092427D">
        <w:t>lton et al (1999) who state</w:t>
      </w:r>
      <w:r w:rsidR="00B01372">
        <w:t xml:space="preserve"> in their observation that children are rarely challenged</w:t>
      </w:r>
      <w:r w:rsidR="0092427D">
        <w:t xml:space="preserve"> when undertaking group work</w:t>
      </w:r>
      <w:r w:rsidR="00B01372">
        <w:t xml:space="preserve">. Whilst this is a direct contradiction to the critical incident I observed, it could also be argued that Galton et </w:t>
      </w:r>
      <w:proofErr w:type="spellStart"/>
      <w:r w:rsidR="00B01372">
        <w:t>al’s</w:t>
      </w:r>
      <w:proofErr w:type="spellEnd"/>
      <w:r w:rsidR="00B01372">
        <w:t xml:space="preserve"> (1999) observation is no longer relevant due to the date of the source. In order to make their argument more relevant Giles and Boyle would be better served citing more recent observations.</w:t>
      </w:r>
      <w:r w:rsidR="0057278F">
        <w:t xml:space="preserve"> </w:t>
      </w:r>
      <w:r w:rsidR="00D9278F">
        <w:t>Despite</w:t>
      </w:r>
      <w:r w:rsidR="0057278F">
        <w:t xml:space="preserve"> these notions dismissing the effectiveness of group work in the classroom Johnson and Johnson (2008) present a more balanced view, placing stipulations on when group work is effective. It must be noted that in their</w:t>
      </w:r>
      <w:r w:rsidR="0021271F">
        <w:t xml:space="preserve"> article, Johnson and Johnson</w:t>
      </w:r>
      <w:r w:rsidR="0057278F">
        <w:t xml:space="preserve"> (2008) acknowledge the limitations on group work, however they note that when done correctly it can have massi</w:t>
      </w:r>
      <w:r w:rsidR="00776060">
        <w:t xml:space="preserve">ve benefits. </w:t>
      </w:r>
      <w:r w:rsidR="0021271F">
        <w:t xml:space="preserve">Johnson and Johnson (2008) reference </w:t>
      </w:r>
      <w:r w:rsidR="00776060">
        <w:t>Johnson et al</w:t>
      </w:r>
      <w:r w:rsidR="0057278F">
        <w:t xml:space="preserve"> (2008)</w:t>
      </w:r>
      <w:r w:rsidR="0021271F">
        <w:t xml:space="preserve"> who </w:t>
      </w:r>
      <w:r w:rsidR="0057278F">
        <w:t xml:space="preserve">distinguish between the notions of group work and structure co-operative learning. They argue that group work becomes structured cooperative learning when everyone in the group is an active participant. Despite this, they argue that the most important feature of structured cooperative learning comes from there being a facilitator or a teacher to guide the group in order to have a group goal. </w:t>
      </w:r>
    </w:p>
    <w:p w:rsidR="00462610" w:rsidRDefault="00462610" w:rsidP="006C09D3">
      <w:pPr>
        <w:tabs>
          <w:tab w:val="left" w:pos="3180"/>
        </w:tabs>
        <w:spacing w:line="360" w:lineRule="auto"/>
      </w:pPr>
      <w:r>
        <w:t>Despite these recognition of the limitations of using group work in the classroom, it is important to note that the overriding trend in the literature surrounding the notion of group work did support its use in the classroom. What is also significant is that despite literature such as Giles and Boyle (2009) an</w:t>
      </w:r>
      <w:r w:rsidR="00BE47EC">
        <w:t>d Galton et al (1999) suggest</w:t>
      </w:r>
      <w:r>
        <w:t xml:space="preserve"> that there are limitations to group work. The do not argue that grou</w:t>
      </w:r>
      <w:r w:rsidR="00BE47EC">
        <w:t>p work should be ruled out altogether</w:t>
      </w:r>
      <w:r>
        <w:t>, they merely identify that there are limitations. This suggests that they do see the benefits of group work in the classroom.</w:t>
      </w:r>
    </w:p>
    <w:p w:rsidR="00CA0870" w:rsidRDefault="00521C2D" w:rsidP="006C09D3">
      <w:pPr>
        <w:tabs>
          <w:tab w:val="left" w:pos="3180"/>
        </w:tabs>
        <w:spacing w:line="360" w:lineRule="auto"/>
        <w:jc w:val="center"/>
        <w:rPr>
          <w:u w:val="single"/>
        </w:rPr>
      </w:pPr>
      <w:r w:rsidRPr="00521C2D">
        <w:rPr>
          <w:u w:val="single"/>
        </w:rPr>
        <w:t>Reflection/ Next Steps</w:t>
      </w:r>
    </w:p>
    <w:p w:rsidR="009527D9" w:rsidRDefault="00AB61EF" w:rsidP="006C09D3">
      <w:pPr>
        <w:tabs>
          <w:tab w:val="left" w:pos="3180"/>
        </w:tabs>
        <w:spacing w:line="360" w:lineRule="auto"/>
      </w:pPr>
      <w:r>
        <w:t>Reflection is seen as a growing part of the teaching profession as it allows teachers to look back on previous practice in order to impr</w:t>
      </w:r>
      <w:r w:rsidR="003249AF">
        <w:t>ove and grow as practitioners</w:t>
      </w:r>
      <w:r>
        <w:t xml:space="preserve">. Through using Tripp’s (2012) critical incident model, throughout this essay I have been able to critically reflect on the critical incident </w:t>
      </w:r>
      <w:r>
        <w:lastRenderedPageBreak/>
        <w:t xml:space="preserve">observed. </w:t>
      </w:r>
      <w:r w:rsidR="009527D9">
        <w:t>The observation of the critic</w:t>
      </w:r>
      <w:r w:rsidR="003249AF">
        <w:t>al incident in this essay showed</w:t>
      </w:r>
      <w:r w:rsidR="009527D9">
        <w:t xml:space="preserve"> how group work can be used effectively in the classroom</w:t>
      </w:r>
      <w:r w:rsidR="003249AF">
        <w:t>. This is due to the</w:t>
      </w:r>
      <w:r w:rsidR="009527D9">
        <w:t xml:space="preserve"> fact that the children worked together in order to share knowledge and the fact that the</w:t>
      </w:r>
      <w:r w:rsidR="00901CCE">
        <w:t>y were so engaged in the lesson. On reflection, this ca</w:t>
      </w:r>
      <w:r w:rsidR="00776060">
        <w:t xml:space="preserve">n be linked to </w:t>
      </w:r>
      <w:r w:rsidR="0085126A">
        <w:t>Vygotsky’s</w:t>
      </w:r>
      <w:r w:rsidR="00776060">
        <w:t xml:space="preserve"> </w:t>
      </w:r>
      <w:r w:rsidR="00901CCE">
        <w:t>more knowledgeable other theory. Moreover, as the teacher explained to the children that they were to use real life materials in order to come up with a prediction</w:t>
      </w:r>
      <w:r w:rsidR="003249AF">
        <w:t>, this</w:t>
      </w:r>
      <w:r w:rsidR="00901CCE">
        <w:t xml:space="preserve"> suggests that the teacher was the more knowledgeable other. However, the teacher then made it clear that it was completely up to the students to work in groups</w:t>
      </w:r>
      <w:r w:rsidR="004D749C">
        <w:t>, then</w:t>
      </w:r>
      <w:r w:rsidR="00901CCE">
        <w:t xml:space="preserve"> decide how they would use and organise the materials in order to come up with this prediction</w:t>
      </w:r>
      <w:r w:rsidR="003249AF">
        <w:t>. I found this intriguing as</w:t>
      </w:r>
      <w:r w:rsidR="00901CCE">
        <w:t xml:space="preserve"> it suggests that it was not the teacher who was the more knowledgeable other</w:t>
      </w:r>
      <w:r w:rsidR="00776060">
        <w:t xml:space="preserve"> as suggested by Vygotsky</w:t>
      </w:r>
      <w:r w:rsidR="00901CCE">
        <w:t xml:space="preserve">, but that it was instead the group who acted as the more knowledgeable other. This notion can directly be linked to the work of </w:t>
      </w:r>
      <w:proofErr w:type="spellStart"/>
      <w:r w:rsidR="00901CCE" w:rsidRPr="00901CCE">
        <w:t>Bodrova</w:t>
      </w:r>
      <w:proofErr w:type="spellEnd"/>
      <w:r w:rsidR="00901CCE" w:rsidRPr="00901CCE">
        <w:t xml:space="preserve"> and Leong (2015)</w:t>
      </w:r>
      <w:r w:rsidR="00901CCE">
        <w:t xml:space="preserve"> who as previously discussed, suggested that the group may act as the more knowledgeable other, even when the members of the group do not differ in knowledge level. </w:t>
      </w:r>
      <w:r w:rsidR="00BF099B">
        <w:t xml:space="preserve"> The fact that the children were able to successfully </w:t>
      </w:r>
      <w:r w:rsidR="00462610">
        <w:t>identify</w:t>
      </w:r>
      <w:r w:rsidR="003249AF">
        <w:t xml:space="preserve"> and explain why a</w:t>
      </w:r>
      <w:r w:rsidR="00BF099B">
        <w:t xml:space="preserve"> material had more friction than another using this method</w:t>
      </w:r>
      <w:r w:rsidR="003249AF">
        <w:t>,</w:t>
      </w:r>
      <w:r w:rsidR="00BF099B">
        <w:t xml:space="preserve"> shows how this can be successful. On reflection of this incident I now understand that children are able to work together in a group successfully, and are also able to share their own knowledge with each other and act as the ‘more knowledgeable other’. Previously</w:t>
      </w:r>
      <w:r w:rsidR="003249AF">
        <w:t>,</w:t>
      </w:r>
      <w:r w:rsidR="00BF099B">
        <w:t xml:space="preserve"> I was sceptical around the idea of letting children work in groups without much guidance, however having reflected on this part of the critical incident and analysed the literature I can now suggest that </w:t>
      </w:r>
      <w:r w:rsidR="003249AF">
        <w:t>I</w:t>
      </w:r>
      <w:r w:rsidR="00BF099B">
        <w:t xml:space="preserve"> could potentially utilize this notion of letting children work in groups and share knowledge with each other in my future practice.</w:t>
      </w:r>
    </w:p>
    <w:p w:rsidR="00FE6D49" w:rsidRDefault="00FE6D49" w:rsidP="006C09D3">
      <w:pPr>
        <w:tabs>
          <w:tab w:val="left" w:pos="3180"/>
        </w:tabs>
        <w:spacing w:line="360" w:lineRule="auto"/>
      </w:pPr>
      <w:r>
        <w:t>In addition to this it is important to note that the success of the group work observed in the critical incident is supported by the vast majority of literature around the area. Peer reviewed</w:t>
      </w:r>
      <w:r w:rsidR="00C169D1">
        <w:t xml:space="preserve"> literature such as Baines (2009</w:t>
      </w:r>
      <w:r>
        <w:t xml:space="preserve">), Blatchford (2003), and Chirac (2014) promoted how successful group work can be and also outlined the benefits it can have for children in the classroom and in their development. The observation showed me how enthusiastic children can be when working in groups and how it could potentially help the children develop their </w:t>
      </w:r>
      <w:r w:rsidR="000851BB">
        <w:t>communication and social skills</w:t>
      </w:r>
      <w:r w:rsidR="003249AF">
        <w:t>,</w:t>
      </w:r>
      <w:r w:rsidR="000851BB">
        <w:t xml:space="preserve"> whilst also motivating t</w:t>
      </w:r>
      <w:r w:rsidR="0075133E">
        <w:t>hem to work at a higher level</w:t>
      </w:r>
      <w:r w:rsidR="003249AF">
        <w:t xml:space="preserve">. It must also be noted however, </w:t>
      </w:r>
      <w:r w:rsidR="0075133E">
        <w:t>that the literature around group work put emphasis on the fact that it had to be carried out in the correct way and in the correct environment. This is significant as it has informed my future practice to be cautious when using group work in the classroom, and</w:t>
      </w:r>
      <w:r w:rsidR="00AB61EF">
        <w:t xml:space="preserve"> suggests that I need to make sure</w:t>
      </w:r>
      <w:r w:rsidR="0075133E">
        <w:t xml:space="preserve"> it is done correctly in order for it to be fully effective.</w:t>
      </w:r>
    </w:p>
    <w:p w:rsidR="00C169D1" w:rsidRDefault="00C169D1" w:rsidP="006C09D3">
      <w:pPr>
        <w:tabs>
          <w:tab w:val="left" w:pos="3180"/>
        </w:tabs>
        <w:spacing w:line="360" w:lineRule="auto"/>
      </w:pPr>
    </w:p>
    <w:p w:rsidR="00C169D1" w:rsidRPr="00C169D1" w:rsidRDefault="00C169D1" w:rsidP="006C09D3">
      <w:pPr>
        <w:tabs>
          <w:tab w:val="left" w:pos="3180"/>
        </w:tabs>
        <w:spacing w:line="360" w:lineRule="auto"/>
        <w:jc w:val="center"/>
        <w:rPr>
          <w:u w:val="single"/>
        </w:rPr>
      </w:pPr>
      <w:r w:rsidRPr="00C169D1">
        <w:rPr>
          <w:u w:val="single"/>
        </w:rPr>
        <w:t>Conclusion</w:t>
      </w:r>
    </w:p>
    <w:p w:rsidR="00CA0870" w:rsidRDefault="00C169D1" w:rsidP="006C09D3">
      <w:pPr>
        <w:tabs>
          <w:tab w:val="left" w:pos="3180"/>
        </w:tabs>
        <w:spacing w:line="360" w:lineRule="auto"/>
      </w:pPr>
      <w:r>
        <w:t>In conclusion,</w:t>
      </w:r>
      <w:r w:rsidR="00941195">
        <w:t xml:space="preserve"> </w:t>
      </w:r>
      <w:r w:rsidR="005E2B85">
        <w:t>this essay has analysed the role of critical reflection in the teaching profession through</w:t>
      </w:r>
      <w:r w:rsidR="00F22A53">
        <w:t xml:space="preserve"> using </w:t>
      </w:r>
      <w:proofErr w:type="spellStart"/>
      <w:r w:rsidR="00F22A53">
        <w:t>Tripps</w:t>
      </w:r>
      <w:proofErr w:type="spellEnd"/>
      <w:r w:rsidR="00F22A53">
        <w:t xml:space="preserve"> (2011) critical incident methodology to reflect on an observed critical incident. Be</w:t>
      </w:r>
      <w:r w:rsidR="005E2B85">
        <w:t xml:space="preserve">fore </w:t>
      </w:r>
      <w:r w:rsidR="00F22A53">
        <w:t xml:space="preserve">then </w:t>
      </w:r>
      <w:r w:rsidR="005E2B85">
        <w:t xml:space="preserve">analysing the literature around </w:t>
      </w:r>
      <w:r w:rsidR="00F22A53">
        <w:t xml:space="preserve">Vygotsky’s theory of </w:t>
      </w:r>
      <w:r w:rsidR="005E2B85">
        <w:t>social constructivism</w:t>
      </w:r>
      <w:r w:rsidR="003249AF">
        <w:t>,</w:t>
      </w:r>
      <w:r w:rsidR="005E2B85">
        <w:t xml:space="preserve"> and the notion of using group work in the classroom. This essay has put emphasis on the importance of using group work in the classroom, whilst maintaining a balanced, critical</w:t>
      </w:r>
      <w:r w:rsidR="003249AF">
        <w:t>,</w:t>
      </w:r>
      <w:r w:rsidR="005E2B85">
        <w:t xml:space="preserve"> and reflective viewpoint. This is important </w:t>
      </w:r>
      <w:r w:rsidR="00833236">
        <w:t>as it has given me a deeper knowledge and understanding of the use of group work in the classroom, but has also highlighted the limitations to group work</w:t>
      </w:r>
      <w:r w:rsidR="003249AF">
        <w:t>,</w:t>
      </w:r>
      <w:r w:rsidR="00833236">
        <w:t xml:space="preserve"> and enabled me to understand that it needs to b</w:t>
      </w:r>
      <w:r w:rsidR="003249AF">
        <w:t xml:space="preserve">e used in a certain environment, </w:t>
      </w:r>
      <w:r w:rsidR="00833236">
        <w:t>or under certain constraints in order be effective. This is significant as it will help to inform my future teaching practice. Additionally, the analysis of reflective models and the emphasis place</w:t>
      </w:r>
      <w:r w:rsidR="00F22A53">
        <w:t>d on</w:t>
      </w:r>
      <w:r w:rsidR="00833236">
        <w:t xml:space="preserve"> critical reflection has allowed for</w:t>
      </w:r>
      <w:r w:rsidR="003249AF">
        <w:t xml:space="preserve"> a</w:t>
      </w:r>
      <w:r w:rsidR="00833236">
        <w:t xml:space="preserve"> deeper understanding of the role of the reflective practitioner, and has highlighted the importance of critical reflection </w:t>
      </w:r>
      <w:r w:rsidR="00F22A53">
        <w:t xml:space="preserve">in the teaching practice. This is important because critical reflection allows for teachers to </w:t>
      </w:r>
      <w:r w:rsidR="00F22A53">
        <w:lastRenderedPageBreak/>
        <w:t>become researchers in the field of education, whilst also reflecting on previous experiences in order to enable improvement.</w:t>
      </w:r>
    </w:p>
    <w:p w:rsidR="000A457B" w:rsidRPr="00C82743" w:rsidRDefault="00C82743" w:rsidP="00C82743">
      <w:pPr>
        <w:tabs>
          <w:tab w:val="left" w:pos="3180"/>
        </w:tabs>
        <w:jc w:val="center"/>
        <w:rPr>
          <w:u w:val="single"/>
        </w:rPr>
      </w:pPr>
      <w:r w:rsidRPr="00C82743">
        <w:rPr>
          <w:u w:val="single"/>
        </w:rPr>
        <w:t>Reference List</w:t>
      </w:r>
    </w:p>
    <w:p w:rsidR="00C82743" w:rsidRDefault="00C82743" w:rsidP="002E347B">
      <w:pPr>
        <w:tabs>
          <w:tab w:val="left" w:pos="3180"/>
        </w:tabs>
      </w:pPr>
    </w:p>
    <w:p w:rsidR="000869AD" w:rsidRDefault="000869AD" w:rsidP="002E347B">
      <w:pPr>
        <w:tabs>
          <w:tab w:val="left" w:pos="3180"/>
        </w:tabs>
      </w:pPr>
      <w:r>
        <w:t>Alexander, R.</w:t>
      </w:r>
      <w:r w:rsidR="006E07DF">
        <w:t xml:space="preserve"> (2008) Towards dialogic teaching. Available at </w:t>
      </w:r>
      <w:hyperlink r:id="rId6" w:history="1">
        <w:r w:rsidR="006E07DF" w:rsidRPr="00844B28">
          <w:rPr>
            <w:rStyle w:val="Hyperlink"/>
          </w:rPr>
          <w:t>http://www.collaborativelearning.org/alexander.pdf</w:t>
        </w:r>
      </w:hyperlink>
      <w:r w:rsidR="006E07DF">
        <w:t xml:space="preserve"> (Accessed 02/10/21)</w:t>
      </w:r>
    </w:p>
    <w:p w:rsidR="00F96CFD" w:rsidRDefault="00F96CFD" w:rsidP="00F96CFD">
      <w:pPr>
        <w:tabs>
          <w:tab w:val="left" w:pos="3180"/>
        </w:tabs>
      </w:pPr>
      <w:r>
        <w:t>Aubrey, K. and Riley, A.</w:t>
      </w:r>
      <w:r w:rsidR="00211B53">
        <w:t xml:space="preserve"> (2019) Understanding and using educational theories. London: SAGE publications Ltd</w:t>
      </w:r>
    </w:p>
    <w:p w:rsidR="0020202E" w:rsidRDefault="0020202E" w:rsidP="00211B53">
      <w:pPr>
        <w:tabs>
          <w:tab w:val="left" w:pos="3180"/>
        </w:tabs>
      </w:pPr>
      <w:r w:rsidRPr="0020202E">
        <w:t>Blatchford</w:t>
      </w:r>
      <w:r>
        <w:t xml:space="preserve">, P., </w:t>
      </w:r>
      <w:proofErr w:type="spellStart"/>
      <w:r w:rsidRPr="0020202E">
        <w:t>Kutnick</w:t>
      </w:r>
      <w:proofErr w:type="spellEnd"/>
      <w:r>
        <w:t xml:space="preserve">, P., </w:t>
      </w:r>
      <w:r w:rsidRPr="0020202E">
        <w:t>Baines</w:t>
      </w:r>
      <w:r>
        <w:t xml:space="preserve">, E., </w:t>
      </w:r>
      <w:r w:rsidRPr="0020202E">
        <w:t>Galton</w:t>
      </w:r>
      <w:r>
        <w:t xml:space="preserve">, M. (2003) </w:t>
      </w:r>
      <w:r w:rsidRPr="0020202E">
        <w:t>Toward a social pedagogy of classroom group work</w:t>
      </w:r>
      <w:r>
        <w:t xml:space="preserve">.  </w:t>
      </w:r>
      <w:r w:rsidRPr="0020202E">
        <w:t>International Journal of Educational Research</w:t>
      </w:r>
      <w:r>
        <w:t xml:space="preserve"> 38 (1-2) pp. 153- 172 </w:t>
      </w:r>
      <w:proofErr w:type="spellStart"/>
      <w:r>
        <w:t>doi</w:t>
      </w:r>
      <w:proofErr w:type="spellEnd"/>
      <w:r>
        <w:t xml:space="preserve">: </w:t>
      </w:r>
      <w:r w:rsidRPr="0020202E">
        <w:t>/10.1016/S0883-0355(03)00078-8</w:t>
      </w:r>
    </w:p>
    <w:p w:rsidR="00E10DE6" w:rsidRDefault="00E10DE6" w:rsidP="00211B53">
      <w:pPr>
        <w:tabs>
          <w:tab w:val="left" w:pos="3180"/>
        </w:tabs>
      </w:pPr>
      <w:r>
        <w:t>British Educational Research Association [BERA] (2018) Ethical guidelines for educational research. 4</w:t>
      </w:r>
      <w:r w:rsidRPr="00E10DE6">
        <w:rPr>
          <w:vertAlign w:val="superscript"/>
        </w:rPr>
        <w:t>th</w:t>
      </w:r>
      <w:r>
        <w:t xml:space="preserve"> </w:t>
      </w:r>
      <w:proofErr w:type="spellStart"/>
      <w:r>
        <w:t>Edn</w:t>
      </w:r>
      <w:proofErr w:type="spellEnd"/>
      <w:r>
        <w:t xml:space="preserve">. Available at </w:t>
      </w:r>
      <w:hyperlink r:id="rId7" w:history="1">
        <w:r w:rsidRPr="00844B28">
          <w:rPr>
            <w:rStyle w:val="Hyperlink"/>
          </w:rPr>
          <w:t>file:///C:/Users/Owner/Downloads/BERA-Ethical-Guidelines-for-Educational-Research_4thEdn_2018.pdf</w:t>
        </w:r>
      </w:hyperlink>
      <w:r>
        <w:t xml:space="preserve"> (Accessed 02/10/21)</w:t>
      </w:r>
    </w:p>
    <w:p w:rsidR="00C169D1" w:rsidRDefault="00C169D1" w:rsidP="00211B53">
      <w:pPr>
        <w:tabs>
          <w:tab w:val="left" w:pos="3180"/>
        </w:tabs>
      </w:pPr>
      <w:r w:rsidRPr="00C169D1">
        <w:t>Baines, E. (2009). Promoting effective group work in the primary classroom a handbook for teachers and practitioners.</w:t>
      </w:r>
      <w:r>
        <w:t xml:space="preserve"> </w:t>
      </w:r>
      <w:proofErr w:type="spellStart"/>
      <w:proofErr w:type="gramStart"/>
      <w:r>
        <w:t>London:</w:t>
      </w:r>
      <w:r w:rsidRPr="00C169D1">
        <w:t>Routledge</w:t>
      </w:r>
      <w:proofErr w:type="spellEnd"/>
      <w:proofErr w:type="gramEnd"/>
      <w:r w:rsidRPr="00C169D1">
        <w:t>.</w:t>
      </w:r>
    </w:p>
    <w:p w:rsidR="00DE38F6" w:rsidRPr="00F96CFD" w:rsidRDefault="00DE38F6" w:rsidP="00DE38F6">
      <w:pPr>
        <w:tabs>
          <w:tab w:val="left" w:pos="3180"/>
        </w:tabs>
      </w:pPr>
      <w:proofErr w:type="spellStart"/>
      <w:r>
        <w:t>Bodrova</w:t>
      </w:r>
      <w:proofErr w:type="spellEnd"/>
      <w:r>
        <w:t xml:space="preserve">, E. </w:t>
      </w:r>
      <w:proofErr w:type="spellStart"/>
      <w:proofErr w:type="gramStart"/>
      <w:r>
        <w:t>L.,and</w:t>
      </w:r>
      <w:proofErr w:type="spellEnd"/>
      <w:proofErr w:type="gramEnd"/>
      <w:r>
        <w:t xml:space="preserve"> Leong, D. J. (2015) ‘</w:t>
      </w:r>
      <w:r w:rsidRPr="00F96CFD">
        <w:t>Vygotskian and Post-Vygotskian Views on Children's Play</w:t>
      </w:r>
      <w:r>
        <w:t xml:space="preserve">’. </w:t>
      </w:r>
      <w:r w:rsidRPr="00F96CFD">
        <w:t>American Journal of Play</w:t>
      </w:r>
      <w:r>
        <w:t xml:space="preserve">, 7(3), pp. </w:t>
      </w:r>
      <w:r w:rsidRPr="00F96CFD">
        <w:t>371-388</w:t>
      </w:r>
      <w:r>
        <w:t xml:space="preserve"> Available at  </w:t>
      </w:r>
      <w:hyperlink r:id="rId8" w:history="1">
        <w:r w:rsidRPr="00844B28">
          <w:rPr>
            <w:rStyle w:val="Hyperlink"/>
          </w:rPr>
          <w:t>file:///C:/Users/Owner/Downloads/ToolsoftheMind-ElenaBodrovaDeborahJ.Leo_519.pdf</w:t>
        </w:r>
      </w:hyperlink>
      <w:r>
        <w:t xml:space="preserve"> (Accessed 19/10/21)</w:t>
      </w:r>
    </w:p>
    <w:p w:rsidR="00211B53" w:rsidRDefault="00211B53" w:rsidP="00211B53">
      <w:pPr>
        <w:tabs>
          <w:tab w:val="left" w:pos="3180"/>
        </w:tabs>
      </w:pPr>
      <w:r>
        <w:t xml:space="preserve">Bozkurt, G. (2017) ‘Social Constructivism: Does it Succeed in Reconciling Individual Cognition with Social Teaching and Learning Practices in Mathematics?’ </w:t>
      </w:r>
      <w:r w:rsidRPr="00211B53">
        <w:t>Journal of Education and Practice</w:t>
      </w:r>
      <w:r>
        <w:t xml:space="preserve">, 8(3), pp 210- 218. Available at </w:t>
      </w:r>
      <w:hyperlink r:id="rId9" w:history="1">
        <w:r w:rsidRPr="00844B28">
          <w:rPr>
            <w:rStyle w:val="Hyperlink"/>
          </w:rPr>
          <w:t>https://files.eric.ed.gov/fulltext/EJ1131532.pdf</w:t>
        </w:r>
      </w:hyperlink>
      <w:r>
        <w:t xml:space="preserve"> (Accessed 10/10/21)</w:t>
      </w:r>
    </w:p>
    <w:p w:rsidR="00BE47EC" w:rsidRDefault="00BE47EC" w:rsidP="00F96CFD">
      <w:pPr>
        <w:tabs>
          <w:tab w:val="left" w:pos="3180"/>
        </w:tabs>
      </w:pPr>
      <w:r>
        <w:t xml:space="preserve">Cherry, K. (2020) </w:t>
      </w:r>
      <w:r w:rsidRPr="00BE47EC">
        <w:t>Jean Pia</w:t>
      </w:r>
      <w:r>
        <w:t xml:space="preserve">get Biography 1896-1980. Very well mind. Available at </w:t>
      </w:r>
      <w:hyperlink r:id="rId10" w:history="1">
        <w:r w:rsidRPr="00844B28">
          <w:rPr>
            <w:rStyle w:val="Hyperlink"/>
          </w:rPr>
          <w:t>https://www.verywellmind.com/jean-piaget-biography-1896-1980-2795549</w:t>
        </w:r>
      </w:hyperlink>
      <w:r>
        <w:t xml:space="preserve"> (Accessed 13/10/21)</w:t>
      </w:r>
    </w:p>
    <w:p w:rsidR="005E5C78" w:rsidRDefault="005E5C78" w:rsidP="00F96CFD">
      <w:pPr>
        <w:tabs>
          <w:tab w:val="left" w:pos="3180"/>
        </w:tabs>
      </w:pPr>
      <w:r w:rsidRPr="005E5C78">
        <w:t>Dewey, J. (1933). How We Think: A Restatement of the Relation of Reflective Thinking to the Educative Process. Boston, MA: D.C. Heath &amp; Co Publishers.</w:t>
      </w:r>
    </w:p>
    <w:p w:rsidR="0086715B" w:rsidRDefault="0086715B" w:rsidP="0086715B">
      <w:pPr>
        <w:tabs>
          <w:tab w:val="left" w:pos="3180"/>
        </w:tabs>
      </w:pPr>
      <w:r>
        <w:t>Donaldson, G. (2015) Successful Futures In</w:t>
      </w:r>
      <w:r w:rsidR="0020202E">
        <w:t xml:space="preserve">dependent Review of Curriculum </w:t>
      </w:r>
      <w:r>
        <w:t>and Assessment Arrangements in Wales</w:t>
      </w:r>
      <w:r w:rsidR="0020202E">
        <w:t xml:space="preserve">. </w:t>
      </w:r>
      <w:proofErr w:type="spellStart"/>
      <w:r w:rsidR="0020202E">
        <w:t>Avaliable</w:t>
      </w:r>
      <w:proofErr w:type="spellEnd"/>
      <w:r w:rsidR="0020202E">
        <w:t xml:space="preserve"> at </w:t>
      </w:r>
      <w:hyperlink r:id="rId11" w:history="1">
        <w:r w:rsidR="0020202E" w:rsidRPr="00844B28">
          <w:rPr>
            <w:rStyle w:val="Hyperlink"/>
          </w:rPr>
          <w:t>https://gov.wales/sites/default/files/publications/2018-03/successful-futures.pdf</w:t>
        </w:r>
      </w:hyperlink>
      <w:r w:rsidR="0020202E">
        <w:t xml:space="preserve"> (Accessed 02/10/21)</w:t>
      </w:r>
    </w:p>
    <w:p w:rsidR="00A156B3" w:rsidRDefault="00122681" w:rsidP="00A156B3">
      <w:pPr>
        <w:tabs>
          <w:tab w:val="left" w:pos="3180"/>
        </w:tabs>
      </w:pPr>
      <w:proofErr w:type="spellStart"/>
      <w:r w:rsidRPr="000869AD">
        <w:t>Forslund</w:t>
      </w:r>
      <w:proofErr w:type="spellEnd"/>
      <w:r w:rsidRPr="000869AD">
        <w:t xml:space="preserve"> </w:t>
      </w:r>
      <w:proofErr w:type="spellStart"/>
      <w:r w:rsidRPr="000869AD">
        <w:t>Frykedal</w:t>
      </w:r>
      <w:proofErr w:type="spellEnd"/>
      <w:r w:rsidRPr="000869AD">
        <w:t xml:space="preserve">, K. and </w:t>
      </w:r>
      <w:proofErr w:type="spellStart"/>
      <w:r w:rsidRPr="000869AD">
        <w:t>Chiriac</w:t>
      </w:r>
      <w:proofErr w:type="spellEnd"/>
      <w:r w:rsidRPr="000869AD">
        <w:t xml:space="preserve">, E. H. (2014) ‘Group Work Management in the Classroom’, Scandinavian Journal of Educational Research, 58(2), pp. 222–234. </w:t>
      </w:r>
      <w:proofErr w:type="spellStart"/>
      <w:r w:rsidRPr="000869AD">
        <w:t>doi</w:t>
      </w:r>
      <w:proofErr w:type="spellEnd"/>
      <w:r w:rsidRPr="000869AD">
        <w:t>: 10.1080/00313831.2012.725098.</w:t>
      </w:r>
    </w:p>
    <w:p w:rsidR="00A156B3" w:rsidRDefault="00A156B3" w:rsidP="00A156B3">
      <w:pPr>
        <w:tabs>
          <w:tab w:val="left" w:pos="3180"/>
        </w:tabs>
      </w:pPr>
      <w:r w:rsidRPr="00A156B3">
        <w:t>Galton,</w:t>
      </w:r>
      <w:r>
        <w:t xml:space="preserve"> M., </w:t>
      </w:r>
      <w:r w:rsidRPr="00A156B3">
        <w:t>Hargreaves,</w:t>
      </w:r>
      <w:r>
        <w:t xml:space="preserve"> L.</w:t>
      </w:r>
      <w:r w:rsidRPr="00A156B3">
        <w:t xml:space="preserve"> Comber,</w:t>
      </w:r>
      <w:r>
        <w:t xml:space="preserve"> C., </w:t>
      </w:r>
      <w:r w:rsidRPr="00A156B3">
        <w:t>Wall,</w:t>
      </w:r>
      <w:r>
        <w:t xml:space="preserve"> D.,</w:t>
      </w:r>
      <w:r w:rsidRPr="00A156B3">
        <w:t xml:space="preserve"> Pell,</w:t>
      </w:r>
      <w:r>
        <w:t xml:space="preserve"> T. (1999) </w:t>
      </w:r>
      <w:r w:rsidRPr="00A156B3">
        <w:t>Changes in Patterns of Teacher Interaction in Primary Classrooms: 1976-96</w:t>
      </w:r>
      <w:r w:rsidR="0086715B">
        <w:t xml:space="preserve">. British Educational Research Journal. </w:t>
      </w:r>
      <w:proofErr w:type="spellStart"/>
      <w:r w:rsidR="0086715B">
        <w:t>doi</w:t>
      </w:r>
      <w:proofErr w:type="spellEnd"/>
      <w:r w:rsidR="0086715B">
        <w:t xml:space="preserve">: </w:t>
      </w:r>
      <w:r w:rsidR="0086715B" w:rsidRPr="0086715B">
        <w:t>10.1080/0141192990250103</w:t>
      </w:r>
    </w:p>
    <w:p w:rsidR="0086715B" w:rsidRDefault="0086715B" w:rsidP="0086715B">
      <w:r>
        <w:t xml:space="preserve">Gillies, R. M (2003) The behaviours, interactions, and perceptions of junior high school students during small-group learning Journal of Educational Psychology, 95(1) pp. 137-147. </w:t>
      </w:r>
      <w:proofErr w:type="spellStart"/>
      <w:r>
        <w:t>doi</w:t>
      </w:r>
      <w:proofErr w:type="spellEnd"/>
      <w:r>
        <w:t>:</w:t>
      </w:r>
      <w:r w:rsidRPr="0086715B">
        <w:t xml:space="preserve"> 10.1037/0022-0663.95.1.137</w:t>
      </w:r>
    </w:p>
    <w:p w:rsidR="007C079A" w:rsidRDefault="007D18E1" w:rsidP="007D18E1">
      <w:r w:rsidRPr="007D18E1">
        <w:t>Gillies, R. M. (2003). Structuring cooperative group work in classrooms. International Journal of Educational Research, 39,</w:t>
      </w:r>
      <w:r w:rsidR="00D33B4E">
        <w:t xml:space="preserve"> pp.</w:t>
      </w:r>
      <w:r w:rsidRPr="007D18E1">
        <w:t xml:space="preserve">35–49. </w:t>
      </w:r>
      <w:proofErr w:type="spellStart"/>
      <w:r w:rsidRPr="007D18E1">
        <w:t>doi</w:t>
      </w:r>
      <w:proofErr w:type="spellEnd"/>
      <w:r w:rsidRPr="007D18E1">
        <w:t>: 10.1016/S0883-0355(03)00072-7</w:t>
      </w:r>
    </w:p>
    <w:p w:rsidR="005E5C78" w:rsidRPr="005E5C78" w:rsidRDefault="005E5C78" w:rsidP="007D18E1">
      <w:r>
        <w:lastRenderedPageBreak/>
        <w:t>Gillies, R. M. and Boyle, M. (2010) ‘</w:t>
      </w:r>
      <w:r w:rsidRPr="005E5C78">
        <w:t>Teachers' reflections on cooperative learning: Issues of implementation</w:t>
      </w:r>
      <w:r>
        <w:t xml:space="preserve">’ </w:t>
      </w:r>
      <w:r w:rsidRPr="005E5C78">
        <w:rPr>
          <w:i/>
        </w:rPr>
        <w:t>Teaching and Teacher Education</w:t>
      </w:r>
      <w:r>
        <w:rPr>
          <w:i/>
        </w:rPr>
        <w:t xml:space="preserve"> </w:t>
      </w:r>
      <w:r w:rsidR="00D33B4E">
        <w:t xml:space="preserve">26(1) pp. 933- 940. </w:t>
      </w:r>
      <w:proofErr w:type="spellStart"/>
      <w:r w:rsidR="00D33B4E">
        <w:t>doi</w:t>
      </w:r>
      <w:proofErr w:type="spellEnd"/>
      <w:r w:rsidR="0086715B">
        <w:t>: 10.1016/</w:t>
      </w:r>
      <w:r w:rsidR="00D33B4E" w:rsidRPr="00D33B4E">
        <w:t>2009.10.034</w:t>
      </w:r>
    </w:p>
    <w:p w:rsidR="00B40A3F" w:rsidRDefault="00B40A3F" w:rsidP="00B40A3F">
      <w:r>
        <w:t xml:space="preserve">Hua Liu, C., and Matthews, R. (2005) Vygotsky’s philosophy: Constructivism and its criticisms examined. </w:t>
      </w:r>
      <w:r w:rsidRPr="00B40A3F">
        <w:t>International Education Journal,</w:t>
      </w:r>
      <w:r w:rsidR="004E30DA">
        <w:t xml:space="preserve"> 6(3) pp. 386- 399. </w:t>
      </w:r>
      <w:r w:rsidR="0020202E">
        <w:t>Available</w:t>
      </w:r>
      <w:r w:rsidR="004E30DA">
        <w:t xml:space="preserve"> at </w:t>
      </w:r>
      <w:hyperlink r:id="rId12" w:history="1">
        <w:r w:rsidR="004E30DA" w:rsidRPr="00844B28">
          <w:rPr>
            <w:rStyle w:val="Hyperlink"/>
          </w:rPr>
          <w:t>https://files.eric.ed.gov/fulltext/EJ854992.pdf</w:t>
        </w:r>
      </w:hyperlink>
      <w:r w:rsidR="004E30DA">
        <w:t xml:space="preserve"> (Accessed 11/10/21)</w:t>
      </w:r>
    </w:p>
    <w:p w:rsidR="00776060" w:rsidRDefault="00776060" w:rsidP="00776060">
      <w:r>
        <w:t>Johnson, D. W., Johns</w:t>
      </w:r>
      <w:r w:rsidR="003D6369">
        <w:t xml:space="preserve">on, R. T., &amp; Smith, K. (2006). </w:t>
      </w:r>
      <w:r>
        <w:t>Active learning: Cooperation in the colle</w:t>
      </w:r>
      <w:r w:rsidR="003D6369">
        <w:t>ge classroom</w:t>
      </w:r>
      <w:r>
        <w:t xml:space="preserve">. </w:t>
      </w:r>
      <w:r w:rsidR="003D6369">
        <w:t>Edina, MN: Interaction Book Com</w:t>
      </w:r>
      <w:r>
        <w:t>pan</w:t>
      </w:r>
      <w:r w:rsidR="003D6369">
        <w:t xml:space="preserve">y. </w:t>
      </w:r>
      <w:proofErr w:type="spellStart"/>
      <w:r w:rsidR="003D6369">
        <w:t>Doi</w:t>
      </w:r>
      <w:proofErr w:type="spellEnd"/>
      <w:r w:rsidR="003D6369">
        <w:t xml:space="preserve"> </w:t>
      </w:r>
      <w:r w:rsidR="003D6369" w:rsidRPr="003D6369">
        <w:t>:10.5926/arepj1962.47.0_29</w:t>
      </w:r>
    </w:p>
    <w:p w:rsidR="00776060" w:rsidRDefault="00776060" w:rsidP="003D6369">
      <w:r>
        <w:t>Johnson, D. W., and Johnson, R. T. (2008)</w:t>
      </w:r>
      <w:r w:rsidR="003D6369">
        <w:t xml:space="preserve"> </w:t>
      </w:r>
      <w:r w:rsidR="003D6369" w:rsidRPr="003D6369">
        <w:t>Active Learning: Cooperation in the Classroo</w:t>
      </w:r>
      <w:r w:rsidR="003D6369">
        <w:t xml:space="preserve">m. The Annual Report of Educational Psychology in Japan, </w:t>
      </w:r>
      <w:proofErr w:type="gramStart"/>
      <w:r w:rsidR="003D6369">
        <w:t>47,pp.</w:t>
      </w:r>
      <w:proofErr w:type="gramEnd"/>
      <w:r w:rsidR="003D6369">
        <w:t xml:space="preserve"> 29-30. </w:t>
      </w:r>
      <w:r w:rsidR="0020202E">
        <w:t>Available</w:t>
      </w:r>
      <w:r w:rsidR="003D6369">
        <w:t xml:space="preserve"> at </w:t>
      </w:r>
      <w:hyperlink r:id="rId13" w:history="1">
        <w:r w:rsidR="003D6369" w:rsidRPr="00844B28">
          <w:rPr>
            <w:rStyle w:val="Hyperlink"/>
          </w:rPr>
          <w:t>https://www.jstage.jst.go.jp/article/arepj1962/47/0/47_29/_pdf</w:t>
        </w:r>
      </w:hyperlink>
      <w:r w:rsidR="003D6369">
        <w:t xml:space="preserve"> (Accessed 10/10/21)</w:t>
      </w:r>
    </w:p>
    <w:p w:rsidR="0020202E" w:rsidRDefault="0020202E" w:rsidP="007D18E1">
      <w:r w:rsidRPr="0020202E">
        <w:t>Johnson, A. C. (2017). Coffee Date with Piaget. YC Young Children, 72(3),</w:t>
      </w:r>
      <w:r>
        <w:t xml:space="preserve"> pp.</w:t>
      </w:r>
      <w:r w:rsidRPr="0020202E">
        <w:t xml:space="preserve"> 86–88. </w:t>
      </w:r>
      <w:r>
        <w:t xml:space="preserve">Available at  </w:t>
      </w:r>
      <w:hyperlink r:id="rId14" w:history="1">
        <w:r w:rsidRPr="00844B28">
          <w:rPr>
            <w:rStyle w:val="Hyperlink"/>
          </w:rPr>
          <w:t>https://www.jstor.org/stable/90013691</w:t>
        </w:r>
      </w:hyperlink>
      <w:r>
        <w:t xml:space="preserve"> (Accessed 12/10/21)</w:t>
      </w:r>
    </w:p>
    <w:p w:rsidR="0029095E" w:rsidRDefault="0029095E" w:rsidP="0029095E">
      <w:r>
        <w:t>Kolb, D. A. (1984). Experiential learning: Experience as the source of learning and development. New Jersey: Prentice-Hall.</w:t>
      </w:r>
    </w:p>
    <w:p w:rsidR="000B05F8" w:rsidRDefault="000B05F8" w:rsidP="007D18E1">
      <w:r w:rsidRPr="000B05F8">
        <w:t>Karmiloff-Smith, A. (1997). Crucial differences between developmental cognitive neuroscience and adult neuropsychology. Developmental Neuropsychology, 13(4), 513–524. https://doi.org/10.1080/87565649709540693</w:t>
      </w:r>
    </w:p>
    <w:p w:rsidR="005E5C78" w:rsidRDefault="00211B53" w:rsidP="007D18E1">
      <w:proofErr w:type="spellStart"/>
      <w:r>
        <w:t>Mcleod</w:t>
      </w:r>
      <w:proofErr w:type="spellEnd"/>
      <w:r>
        <w:t xml:space="preserve">, S. (2020). </w:t>
      </w:r>
      <w:r w:rsidRPr="00211B53">
        <w:t>Lev Vygotsky's Sociocultural Theory</w:t>
      </w:r>
      <w:r>
        <w:t xml:space="preserve">. Available at </w:t>
      </w:r>
      <w:hyperlink r:id="rId15" w:history="1">
        <w:r w:rsidRPr="00844B28">
          <w:rPr>
            <w:rStyle w:val="Hyperlink"/>
          </w:rPr>
          <w:t>https://www.simplypsychology.org/vygotsky.html</w:t>
        </w:r>
      </w:hyperlink>
      <w:r>
        <w:t xml:space="preserve"> (Accessed 01/10/21)</w:t>
      </w:r>
    </w:p>
    <w:p w:rsidR="000B05F8" w:rsidRDefault="000B05F8" w:rsidP="005E5C78">
      <w:r>
        <w:t xml:space="preserve">Pritchard, A. (2017) Ways of learning: Learning theories in the classroom. London: Routledge </w:t>
      </w:r>
    </w:p>
    <w:p w:rsidR="0029095E" w:rsidRDefault="0029095E" w:rsidP="004E30DA">
      <w:pPr>
        <w:spacing w:before="240"/>
      </w:pPr>
      <w:r w:rsidRPr="0029095E">
        <w:t>Rogoff, B. (1990). Apprenticeship in Thinking. Cognitive Development in Social Context. New York: Oxford University Press</w:t>
      </w:r>
    </w:p>
    <w:p w:rsidR="004E30DA" w:rsidRDefault="004E30DA" w:rsidP="004E30DA">
      <w:pPr>
        <w:spacing w:before="240"/>
      </w:pPr>
      <w:proofErr w:type="spellStart"/>
      <w:r>
        <w:t>Schon</w:t>
      </w:r>
      <w:proofErr w:type="spellEnd"/>
      <w:r>
        <w:t>, D. A. (1987) Educating the reflective practitioner</w:t>
      </w:r>
      <w:r w:rsidR="00776060">
        <w:t>:</w:t>
      </w:r>
      <w:r>
        <w:t xml:space="preserve"> toward a new </w:t>
      </w:r>
      <w:r w:rsidR="00776060">
        <w:t>design for teaching and l</w:t>
      </w:r>
      <w:r>
        <w:t xml:space="preserve">earning </w:t>
      </w:r>
      <w:r w:rsidR="00776060">
        <w:t>in the p</w:t>
      </w:r>
      <w:r>
        <w:t>rofessions</w:t>
      </w:r>
      <w:r w:rsidR="00776060">
        <w:t xml:space="preserve">. </w:t>
      </w:r>
      <w:r w:rsidR="00A156B3">
        <w:t>Available</w:t>
      </w:r>
      <w:r w:rsidR="00776060">
        <w:t xml:space="preserve"> at </w:t>
      </w:r>
      <w:hyperlink r:id="rId16" w:history="1">
        <w:r w:rsidR="00776060" w:rsidRPr="00844B28">
          <w:rPr>
            <w:rStyle w:val="Hyperlink"/>
          </w:rPr>
          <w:t>http://www.daneshnamehicsa.ir/userfiles/file/Manabeh/Educating%20the%20reflective%20practitioner.pdf</w:t>
        </w:r>
      </w:hyperlink>
      <w:r w:rsidR="00776060">
        <w:t xml:space="preserve"> (Accessed 05/10/21)</w:t>
      </w:r>
    </w:p>
    <w:p w:rsidR="00D33B4E" w:rsidRDefault="00D33B4E" w:rsidP="005E5C78">
      <w:r>
        <w:t>Tripp, D, (2011)</w:t>
      </w:r>
      <w:r w:rsidRPr="00D33B4E">
        <w:t xml:space="preserve"> Critical Incidents in Teaching (Classic Edition</w:t>
      </w:r>
      <w:proofErr w:type="gramStart"/>
      <w:r w:rsidRPr="00D33B4E">
        <w:t>) :</w:t>
      </w:r>
      <w:proofErr w:type="gramEnd"/>
      <w:r w:rsidRPr="00D33B4E">
        <w:t xml:space="preserve"> Developing Professional Judgement, Taylor &amp; Francis Group, London. Available f</w:t>
      </w:r>
      <w:r>
        <w:t xml:space="preserve">rom: ProQuest </w:t>
      </w:r>
      <w:proofErr w:type="spellStart"/>
      <w:r>
        <w:t>Ebook</w:t>
      </w:r>
      <w:proofErr w:type="spellEnd"/>
      <w:r>
        <w:t xml:space="preserve"> Central. (Accessed 03/10/21)</w:t>
      </w:r>
    </w:p>
    <w:p w:rsidR="00834D2A" w:rsidRDefault="00834D2A" w:rsidP="005E5C78">
      <w:r>
        <w:t>Vygotsky, L. (1978) Interaction between learning and development. Mind society. pp. 79-91. Cambridge, MA: Harvard University Press</w:t>
      </w:r>
    </w:p>
    <w:p w:rsidR="00C12F27" w:rsidRDefault="005E5C78" w:rsidP="005E5C78">
      <w:proofErr w:type="spellStart"/>
      <w:r w:rsidRPr="005E5C78">
        <w:t>Walkington</w:t>
      </w:r>
      <w:proofErr w:type="spellEnd"/>
      <w:r w:rsidRPr="005E5C78">
        <w:t xml:space="preserve">, </w:t>
      </w:r>
      <w:r>
        <w:t xml:space="preserve">J. </w:t>
      </w:r>
      <w:r w:rsidRPr="005E5C78">
        <w:t>Christensen</w:t>
      </w:r>
      <w:r>
        <w:t>, H. P.,</w:t>
      </w:r>
      <w:r w:rsidRPr="005E5C78">
        <w:t xml:space="preserve"> &amp; Hanne </w:t>
      </w:r>
      <w:proofErr w:type="spellStart"/>
      <w:r w:rsidRPr="005E5C78">
        <w:t>Kock</w:t>
      </w:r>
      <w:proofErr w:type="spellEnd"/>
      <w:r w:rsidRPr="005E5C78">
        <w:t xml:space="preserve"> (2001) Developing critical reflection as a part of teaching training and teaching practice, European Journ</w:t>
      </w:r>
      <w:r>
        <w:t>al of Engineering Education, 26(</w:t>
      </w:r>
      <w:r w:rsidRPr="005E5C78">
        <w:t>4</w:t>
      </w:r>
      <w:r>
        <w:t>)</w:t>
      </w:r>
      <w:r w:rsidRPr="005E5C78">
        <w:t xml:space="preserve">, </w:t>
      </w:r>
      <w:r w:rsidR="0086715B">
        <w:t>pp.</w:t>
      </w:r>
      <w:r>
        <w:t xml:space="preserve"> </w:t>
      </w:r>
      <w:r w:rsidRPr="005E5C78">
        <w:t>343-350,</w:t>
      </w:r>
    </w:p>
    <w:p w:rsidR="00C12F27" w:rsidRDefault="00C12F27">
      <w:r>
        <w:br w:type="page"/>
      </w:r>
    </w:p>
    <w:p w:rsidR="00C12F27" w:rsidRPr="00C12F27" w:rsidRDefault="00C12F27" w:rsidP="00C12F27">
      <w:pPr>
        <w:jc w:val="center"/>
        <w:rPr>
          <w:sz w:val="16"/>
          <w:szCs w:val="16"/>
          <w:u w:val="single"/>
        </w:rPr>
      </w:pPr>
      <w:r w:rsidRPr="00C12F27">
        <w:rPr>
          <w:b/>
          <w:u w:val="single"/>
        </w:rPr>
        <w:t>Appendices</w:t>
      </w:r>
    </w:p>
    <w:p w:rsidR="00C12F27" w:rsidRDefault="00C12F27" w:rsidP="00C12F27">
      <w:pPr>
        <w:rPr>
          <w:b/>
          <w:bCs/>
        </w:rPr>
      </w:pPr>
      <w:r>
        <w:rPr>
          <w:b/>
          <w:bCs/>
        </w:rPr>
        <w:t>Record 1</w:t>
      </w:r>
    </w:p>
    <w:tbl>
      <w:tblPr>
        <w:tblStyle w:val="TableGrid"/>
        <w:tblW w:w="0" w:type="auto"/>
        <w:tblInd w:w="0" w:type="dxa"/>
        <w:tblLook w:val="04A0" w:firstRow="1" w:lastRow="0" w:firstColumn="1" w:lastColumn="0" w:noHBand="0" w:noVBand="1"/>
      </w:tblPr>
      <w:tblGrid>
        <w:gridCol w:w="8926"/>
      </w:tblGrid>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rPr>
            </w:pPr>
            <w:r>
              <w:rPr>
                <w:rFonts w:asciiTheme="minorHAnsi" w:hAnsiTheme="minorHAnsi"/>
              </w:rPr>
              <w:t>Date and time, year group: 22/09/21, Year 2</w:t>
            </w:r>
          </w:p>
          <w:p w:rsidR="00C12F27" w:rsidRDefault="00C12F27">
            <w:pPr>
              <w:rPr>
                <w:rFonts w:asciiTheme="minorHAnsi" w:hAnsiTheme="minorHAnsi"/>
              </w:rPr>
            </w:pPr>
          </w:p>
        </w:tc>
      </w:tr>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rPr>
            </w:pPr>
            <w:r>
              <w:rPr>
                <w:rFonts w:asciiTheme="minorHAnsi" w:hAnsiTheme="minorHAnsi"/>
                <w:b/>
                <w:bCs/>
              </w:rPr>
              <w:t>Where and When:</w:t>
            </w:r>
            <w:r>
              <w:rPr>
                <w:rFonts w:asciiTheme="minorHAnsi" w:hAnsiTheme="minorHAnsi"/>
              </w:rPr>
              <w:t xml:space="preserve"> Context of the observation – subject/AOLE, general classroom context</w:t>
            </w:r>
          </w:p>
          <w:p w:rsidR="00C12F27" w:rsidRDefault="00C12F27">
            <w:pPr>
              <w:rPr>
                <w:rFonts w:asciiTheme="minorHAnsi" w:hAnsiTheme="minorHAnsi"/>
              </w:rPr>
            </w:pPr>
            <w:r>
              <w:rPr>
                <w:rFonts w:asciiTheme="minorHAnsi" w:hAnsiTheme="minorHAnsi"/>
              </w:rPr>
              <w:t>All children in the year 2 mixed ability class are sitting on the carpet listening to the teacher, who is conducting a Mathematics lesson on the interactive board.</w:t>
            </w: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tc>
      </w:tr>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lang w:val="en-US"/>
              </w:rPr>
            </w:pPr>
            <w:r>
              <w:rPr>
                <w:rFonts w:asciiTheme="minorHAnsi" w:hAnsiTheme="minorHAnsi"/>
                <w:b/>
                <w:bCs/>
                <w:lang w:val="en-US"/>
              </w:rPr>
              <w:t xml:space="preserve">What happened: </w:t>
            </w:r>
            <w:r>
              <w:rPr>
                <w:rFonts w:asciiTheme="minorHAnsi" w:hAnsiTheme="minorHAnsi"/>
                <w:lang w:val="en-US"/>
              </w:rPr>
              <w:t>a detailed description of the critical incident (the more detail the better to refer to in your later work)</w:t>
            </w:r>
          </w:p>
          <w:p w:rsidR="00C12F27" w:rsidRDefault="00C12F27">
            <w:pPr>
              <w:rPr>
                <w:rFonts w:asciiTheme="minorHAnsi" w:hAnsiTheme="minorHAnsi"/>
                <w:b/>
                <w:bCs/>
              </w:rPr>
            </w:pPr>
            <w:r>
              <w:rPr>
                <w:rFonts w:asciiTheme="minorHAnsi" w:hAnsiTheme="minorHAnsi"/>
                <w:lang w:val="en-US"/>
              </w:rPr>
              <w:t>The teacher is explaining how to do a multiplication question on the interactive board. The teacher introduces the character ‘Billy the Knight’ who the question is going to be based around. As the teacher is explaining the question, one of the pupil</w:t>
            </w:r>
            <w:r w:rsidR="006C09D3">
              <w:rPr>
                <w:rFonts w:asciiTheme="minorHAnsi" w:hAnsiTheme="minorHAnsi"/>
                <w:lang w:val="en-US"/>
              </w:rPr>
              <w:t>’</w:t>
            </w:r>
            <w:r>
              <w:rPr>
                <w:rFonts w:asciiTheme="minorHAnsi" w:hAnsiTheme="minorHAnsi"/>
                <w:lang w:val="en-US"/>
              </w:rPr>
              <w:t>s shouts over the teacher referring to the character on the board. Instead of punishing the pupil, the teacher decides to completely ignore the comment and carry on with the lesson.</w:t>
            </w:r>
          </w:p>
          <w:p w:rsidR="00C12F27" w:rsidRDefault="00C12F27">
            <w:pPr>
              <w:rPr>
                <w:rFonts w:asciiTheme="minorHAnsi" w:hAnsiTheme="minorHAnsi"/>
                <w:bCs/>
                <w:lang w:val="en-US"/>
              </w:rPr>
            </w:pPr>
          </w:p>
          <w:p w:rsidR="00C12F27" w:rsidRDefault="00C12F27">
            <w:pPr>
              <w:rPr>
                <w:rFonts w:asciiTheme="minorHAnsi" w:hAnsiTheme="minorHAnsi"/>
                <w:bCs/>
                <w:lang w:val="en-US"/>
              </w:rPr>
            </w:pPr>
          </w:p>
          <w:p w:rsidR="00C12F27" w:rsidRDefault="00C12F27">
            <w:pPr>
              <w:rPr>
                <w:rFonts w:asciiTheme="minorHAnsi" w:hAnsiTheme="minorHAnsi"/>
                <w:bCs/>
                <w:lang w:val="en-US"/>
              </w:rPr>
            </w:pPr>
          </w:p>
          <w:p w:rsidR="00C12F27" w:rsidRDefault="00C12F27">
            <w:pPr>
              <w:rPr>
                <w:rFonts w:asciiTheme="minorHAnsi" w:hAnsiTheme="minorHAnsi"/>
                <w:lang w:val="cy-GB"/>
              </w:rPr>
            </w:pPr>
          </w:p>
          <w:p w:rsidR="00C12F27" w:rsidRDefault="00C12F27">
            <w:pPr>
              <w:ind w:left="720"/>
              <w:rPr>
                <w:rFonts w:asciiTheme="minorHAnsi" w:hAnsiTheme="minorHAnsi"/>
              </w:rPr>
            </w:pPr>
          </w:p>
        </w:tc>
      </w:tr>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b/>
              </w:rPr>
            </w:pPr>
            <w:r>
              <w:rPr>
                <w:rFonts w:asciiTheme="minorHAnsi" w:hAnsiTheme="minorHAnsi"/>
                <w:b/>
                <w:lang w:val="en-US"/>
              </w:rPr>
              <w:t xml:space="preserve">Areas of possible exploration: </w:t>
            </w:r>
            <w:r>
              <w:rPr>
                <w:rFonts w:asciiTheme="minorHAnsi" w:hAnsiTheme="minorHAnsi"/>
                <w:bCs/>
                <w:lang w:val="en-US"/>
              </w:rPr>
              <w:t>what you think could be” under the hood” in these incidents? What avenues of research could you consider?</w:t>
            </w:r>
          </w:p>
          <w:p w:rsidR="00C12F27" w:rsidRDefault="00C12F27">
            <w:pPr>
              <w:rPr>
                <w:rFonts w:asciiTheme="minorHAnsi" w:hAnsiTheme="minorHAnsi"/>
                <w:lang w:val="cy-GB"/>
              </w:rPr>
            </w:pPr>
            <w:r>
              <w:rPr>
                <w:rFonts w:asciiTheme="minorHAnsi" w:hAnsiTheme="minorHAnsi"/>
              </w:rPr>
              <w:t xml:space="preserve">Analysis of this incident has led me to consider further research into the study of behaviour management. This particular incident can be linked to </w:t>
            </w:r>
            <w:proofErr w:type="spellStart"/>
            <w:r>
              <w:rPr>
                <w:rFonts w:asciiTheme="minorHAnsi" w:hAnsiTheme="minorHAnsi"/>
              </w:rPr>
              <w:t>Glasser’s</w:t>
            </w:r>
            <w:proofErr w:type="spellEnd"/>
            <w:r>
              <w:rPr>
                <w:rFonts w:asciiTheme="minorHAnsi" w:hAnsiTheme="minorHAnsi"/>
              </w:rPr>
              <w:t xml:space="preserve"> Reality Therapy Model as it states that consequences may or may not be used. </w:t>
            </w:r>
            <w:r w:rsidR="006C09D3">
              <w:rPr>
                <w:rFonts w:asciiTheme="minorHAnsi" w:hAnsiTheme="minorHAnsi"/>
              </w:rPr>
              <w:t>Additionally,</w:t>
            </w:r>
            <w:r>
              <w:rPr>
                <w:rFonts w:asciiTheme="minorHAnsi" w:hAnsiTheme="minorHAnsi"/>
              </w:rPr>
              <w:t xml:space="preserve"> this </w:t>
            </w:r>
            <w:r w:rsidR="006C09D3">
              <w:rPr>
                <w:rFonts w:asciiTheme="minorHAnsi" w:hAnsiTheme="minorHAnsi"/>
              </w:rPr>
              <w:t>incident</w:t>
            </w:r>
            <w:r>
              <w:rPr>
                <w:rFonts w:asciiTheme="minorHAnsi" w:hAnsiTheme="minorHAnsi"/>
              </w:rPr>
              <w:t xml:space="preserve">, has led me to ask why the child displayed inappropriate behaviour. This can potentially be linked to the Logical Consequence Model by </w:t>
            </w:r>
            <w:proofErr w:type="spellStart"/>
            <w:r>
              <w:rPr>
                <w:rFonts w:asciiTheme="minorHAnsi" w:hAnsiTheme="minorHAnsi"/>
              </w:rPr>
              <w:t>Dreikurs</w:t>
            </w:r>
            <w:proofErr w:type="spellEnd"/>
            <w:r>
              <w:rPr>
                <w:rFonts w:asciiTheme="minorHAnsi" w:hAnsiTheme="minorHAnsi"/>
              </w:rPr>
              <w:t xml:space="preserve"> who states that inappropriate behaviour is motivated by </w:t>
            </w:r>
            <w:r w:rsidR="006C09D3">
              <w:rPr>
                <w:rFonts w:asciiTheme="minorHAnsi" w:hAnsiTheme="minorHAnsi"/>
              </w:rPr>
              <w:t>unconscious</w:t>
            </w:r>
            <w:r>
              <w:rPr>
                <w:rFonts w:asciiTheme="minorHAnsi" w:hAnsiTheme="minorHAnsi"/>
              </w:rPr>
              <w:t xml:space="preserve"> needs, the most </w:t>
            </w:r>
            <w:r w:rsidR="006C09D3">
              <w:rPr>
                <w:rFonts w:asciiTheme="minorHAnsi" w:hAnsiTheme="minorHAnsi"/>
              </w:rPr>
              <w:t>prevalent</w:t>
            </w:r>
            <w:r>
              <w:rPr>
                <w:rFonts w:asciiTheme="minorHAnsi" w:hAnsiTheme="minorHAnsi"/>
              </w:rPr>
              <w:t xml:space="preserve"> of these needs being attention.</w:t>
            </w:r>
          </w:p>
          <w:p w:rsidR="00C12F27" w:rsidRDefault="00C12F27">
            <w:pPr>
              <w:rPr>
                <w:rFonts w:asciiTheme="minorHAnsi" w:hAnsiTheme="minorHAnsi"/>
              </w:rPr>
            </w:pPr>
            <w:r>
              <w:rPr>
                <w:rFonts w:asciiTheme="minorHAnsi" w:hAnsiTheme="minorHAnsi"/>
              </w:rPr>
              <w:t>This incident also provides us with a good example of managing the learning environment section of the teaching standards as the teacher ignored the pupil who shouted out and continued talking to the rest of the class.</w:t>
            </w: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tc>
      </w:tr>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bCs/>
              </w:rPr>
            </w:pPr>
            <w:r>
              <w:rPr>
                <w:rFonts w:asciiTheme="minorHAnsi" w:hAnsiTheme="minorHAnsi"/>
                <w:b/>
                <w:lang w:val="en-US"/>
              </w:rPr>
              <w:t xml:space="preserve">Notes: </w:t>
            </w:r>
            <w:r>
              <w:rPr>
                <w:rFonts w:asciiTheme="minorHAnsi" w:hAnsiTheme="minorHAnsi"/>
                <w:bCs/>
                <w:lang w:val="en-US"/>
              </w:rPr>
              <w:t>any details you can note (is it a busy environment, is it after lunch, are there lots of distractions, are directions made explicit - the more you can refer to the better here)</w:t>
            </w:r>
          </w:p>
          <w:p w:rsidR="00C12F27" w:rsidRDefault="00C12F27">
            <w:pPr>
              <w:rPr>
                <w:rFonts w:asciiTheme="minorHAnsi" w:hAnsiTheme="minorHAnsi"/>
                <w:bCs/>
                <w:lang w:val="cy-GB"/>
              </w:rPr>
            </w:pPr>
            <w:r>
              <w:rPr>
                <w:rFonts w:asciiTheme="minorHAnsi" w:hAnsiTheme="minorHAnsi"/>
                <w:bCs/>
              </w:rPr>
              <w:t xml:space="preserve">It was a quiet </w:t>
            </w:r>
            <w:r w:rsidR="006C09D3">
              <w:rPr>
                <w:rFonts w:asciiTheme="minorHAnsi" w:hAnsiTheme="minorHAnsi"/>
                <w:bCs/>
              </w:rPr>
              <w:t>classroom;</w:t>
            </w:r>
            <w:r>
              <w:rPr>
                <w:rFonts w:asciiTheme="minorHAnsi" w:hAnsiTheme="minorHAnsi"/>
                <w:bCs/>
              </w:rPr>
              <w:t xml:space="preserve"> </w:t>
            </w:r>
            <w:r w:rsidR="006C09D3">
              <w:rPr>
                <w:rFonts w:asciiTheme="minorHAnsi" w:hAnsiTheme="minorHAnsi"/>
                <w:bCs/>
              </w:rPr>
              <w:t>however,</w:t>
            </w:r>
            <w:r>
              <w:rPr>
                <w:rFonts w:asciiTheme="minorHAnsi" w:hAnsiTheme="minorHAnsi"/>
                <w:bCs/>
              </w:rPr>
              <w:t xml:space="preserve"> all the children were packed onto the carpet. As the pupils were required to be quiet, there was potential for the students to get frustrated and shout answers out.</w:t>
            </w: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tc>
      </w:tr>
    </w:tbl>
    <w:p w:rsidR="00C12F27" w:rsidRDefault="00C12F27" w:rsidP="00C12F27">
      <w:pPr>
        <w:rPr>
          <w:rFonts w:eastAsia="Times New Roman"/>
          <w:lang w:val="cy-GB" w:eastAsia="cy-GB"/>
        </w:rPr>
      </w:pPr>
    </w:p>
    <w:p w:rsidR="00C12F27" w:rsidRDefault="00C12F27" w:rsidP="00C12F27">
      <w:pPr>
        <w:rPr>
          <w:b/>
          <w:bCs/>
        </w:rPr>
      </w:pPr>
    </w:p>
    <w:p w:rsidR="00C12F27" w:rsidRDefault="00C12F27" w:rsidP="00C12F27">
      <w:pPr>
        <w:rPr>
          <w:b/>
          <w:bCs/>
        </w:rPr>
      </w:pPr>
    </w:p>
    <w:p w:rsidR="00C12F27" w:rsidRDefault="00C12F27" w:rsidP="00C12F27">
      <w:pPr>
        <w:rPr>
          <w:b/>
          <w:bCs/>
        </w:rPr>
      </w:pPr>
    </w:p>
    <w:p w:rsidR="00C12F27" w:rsidRDefault="00C12F27" w:rsidP="00C12F27">
      <w:pPr>
        <w:rPr>
          <w:b/>
          <w:bCs/>
        </w:rPr>
      </w:pPr>
    </w:p>
    <w:p w:rsidR="00C12F27" w:rsidRDefault="00C12F27" w:rsidP="00C12F27">
      <w:pPr>
        <w:rPr>
          <w:b/>
          <w:bCs/>
        </w:rPr>
      </w:pPr>
    </w:p>
    <w:p w:rsidR="00C12F27" w:rsidRDefault="00C12F27" w:rsidP="00C12F27">
      <w:pPr>
        <w:rPr>
          <w:b/>
          <w:bCs/>
        </w:rPr>
      </w:pPr>
    </w:p>
    <w:p w:rsidR="00C12F27" w:rsidRDefault="00C12F27" w:rsidP="00C12F27">
      <w:pPr>
        <w:rPr>
          <w:b/>
          <w:bCs/>
        </w:rPr>
      </w:pPr>
    </w:p>
    <w:p w:rsidR="00C12F27" w:rsidRDefault="00C12F27" w:rsidP="00C12F27">
      <w:pPr>
        <w:rPr>
          <w:b/>
          <w:bCs/>
        </w:rPr>
      </w:pPr>
      <w:r>
        <w:rPr>
          <w:b/>
          <w:bCs/>
        </w:rPr>
        <w:t>Record 2</w:t>
      </w:r>
    </w:p>
    <w:tbl>
      <w:tblPr>
        <w:tblStyle w:val="TableGrid"/>
        <w:tblW w:w="0" w:type="auto"/>
        <w:tblInd w:w="0" w:type="dxa"/>
        <w:tblLook w:val="04A0" w:firstRow="1" w:lastRow="0" w:firstColumn="1" w:lastColumn="0" w:noHBand="0" w:noVBand="1"/>
      </w:tblPr>
      <w:tblGrid>
        <w:gridCol w:w="8926"/>
      </w:tblGrid>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rPr>
            </w:pPr>
            <w:r>
              <w:rPr>
                <w:rFonts w:asciiTheme="minorHAnsi" w:hAnsiTheme="minorHAnsi"/>
              </w:rPr>
              <w:t>Date and time, year group: 22/09/</w:t>
            </w:r>
            <w:proofErr w:type="gramStart"/>
            <w:r>
              <w:rPr>
                <w:rFonts w:asciiTheme="minorHAnsi" w:hAnsiTheme="minorHAnsi"/>
              </w:rPr>
              <w:t>21  Year</w:t>
            </w:r>
            <w:proofErr w:type="gramEnd"/>
            <w:r>
              <w:rPr>
                <w:rFonts w:asciiTheme="minorHAnsi" w:hAnsiTheme="minorHAnsi"/>
              </w:rPr>
              <w:t xml:space="preserve"> 4</w:t>
            </w:r>
          </w:p>
          <w:p w:rsidR="00C12F27" w:rsidRDefault="00C12F27">
            <w:pPr>
              <w:rPr>
                <w:rFonts w:asciiTheme="minorHAnsi" w:hAnsiTheme="minorHAnsi"/>
              </w:rPr>
            </w:pPr>
          </w:p>
        </w:tc>
      </w:tr>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rPr>
            </w:pPr>
            <w:r>
              <w:rPr>
                <w:rFonts w:asciiTheme="minorHAnsi" w:hAnsiTheme="minorHAnsi"/>
                <w:b/>
                <w:bCs/>
              </w:rPr>
              <w:t>Where and When:</w:t>
            </w:r>
            <w:r>
              <w:rPr>
                <w:rFonts w:asciiTheme="minorHAnsi" w:hAnsiTheme="minorHAnsi"/>
              </w:rPr>
              <w:t xml:space="preserve"> Context of the observation – subject/AOLE, general classroom context</w:t>
            </w:r>
          </w:p>
          <w:p w:rsidR="00C12F27" w:rsidRDefault="00C12F27">
            <w:pPr>
              <w:rPr>
                <w:rFonts w:asciiTheme="minorHAnsi" w:hAnsiTheme="minorHAnsi"/>
              </w:rPr>
            </w:pPr>
            <w:r>
              <w:rPr>
                <w:rFonts w:asciiTheme="minorHAnsi" w:hAnsiTheme="minorHAnsi"/>
              </w:rPr>
              <w:t>The year 4 class are in a science lesson. They are all sitting around tables working in groups with the aim of understanding Friction</w:t>
            </w: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tc>
      </w:tr>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lang w:val="en-US"/>
              </w:rPr>
            </w:pPr>
            <w:r>
              <w:rPr>
                <w:rFonts w:asciiTheme="minorHAnsi" w:hAnsiTheme="minorHAnsi"/>
                <w:b/>
                <w:bCs/>
                <w:lang w:val="en-US"/>
              </w:rPr>
              <w:t xml:space="preserve">What happened: </w:t>
            </w:r>
            <w:r>
              <w:rPr>
                <w:rFonts w:asciiTheme="minorHAnsi" w:hAnsiTheme="minorHAnsi"/>
                <w:lang w:val="en-US"/>
              </w:rPr>
              <w:t>a detailed description of the critical incident (the more detail the better to refer to in your later work)</w:t>
            </w:r>
          </w:p>
          <w:p w:rsidR="00C12F27" w:rsidRDefault="00C12F27">
            <w:pPr>
              <w:rPr>
                <w:rFonts w:asciiTheme="minorHAnsi" w:hAnsiTheme="minorHAnsi"/>
                <w:b/>
                <w:bCs/>
              </w:rPr>
            </w:pPr>
            <w:r>
              <w:rPr>
                <w:rFonts w:asciiTheme="minorHAnsi" w:hAnsiTheme="minorHAnsi"/>
                <w:lang w:val="en-US"/>
              </w:rPr>
              <w:t>The teacher makes it clear before the activity that the ‘children are to sort the materials and equipment anyway they like in order to make a prediction on the amount of friction each material would have’. The teacher states that this must be done in groups. The teacher goes over to a table and the pupils are engaging in conversation with each other about which side of the bubble wrap would cause the most friction. When the teacher arrives one of the pupils takes charge and starts talking to her. He correctly explains why one side of the bubble wrap would have more friction and gives a demonstration with his hands.</w:t>
            </w:r>
          </w:p>
          <w:p w:rsidR="00C12F27" w:rsidRDefault="00C12F27">
            <w:pPr>
              <w:rPr>
                <w:rFonts w:asciiTheme="minorHAnsi" w:hAnsiTheme="minorHAnsi"/>
                <w:bCs/>
                <w:lang w:val="en-US"/>
              </w:rPr>
            </w:pPr>
          </w:p>
          <w:p w:rsidR="00C12F27" w:rsidRDefault="00C12F27">
            <w:pPr>
              <w:rPr>
                <w:rFonts w:asciiTheme="minorHAnsi" w:hAnsiTheme="minorHAnsi"/>
                <w:bCs/>
                <w:lang w:val="en-US"/>
              </w:rPr>
            </w:pPr>
          </w:p>
          <w:p w:rsidR="00C12F27" w:rsidRDefault="00C12F27">
            <w:pPr>
              <w:rPr>
                <w:rFonts w:asciiTheme="minorHAnsi" w:hAnsiTheme="minorHAnsi"/>
                <w:bCs/>
                <w:lang w:val="en-US"/>
              </w:rPr>
            </w:pPr>
          </w:p>
          <w:p w:rsidR="00C12F27" w:rsidRDefault="00C12F27">
            <w:pPr>
              <w:rPr>
                <w:rFonts w:asciiTheme="minorHAnsi" w:hAnsiTheme="minorHAnsi"/>
                <w:bCs/>
                <w:lang w:val="en-US"/>
              </w:rPr>
            </w:pPr>
          </w:p>
          <w:p w:rsidR="00C12F27" w:rsidRDefault="00C12F27">
            <w:pPr>
              <w:rPr>
                <w:rFonts w:asciiTheme="minorHAnsi" w:hAnsiTheme="minorHAnsi"/>
                <w:bCs/>
                <w:lang w:val="cy-GB"/>
              </w:rPr>
            </w:pPr>
          </w:p>
          <w:p w:rsidR="00C12F27" w:rsidRDefault="00C12F27">
            <w:pPr>
              <w:rPr>
                <w:rFonts w:asciiTheme="minorHAnsi" w:hAnsiTheme="minorHAnsi"/>
                <w:bCs/>
              </w:rPr>
            </w:pPr>
          </w:p>
          <w:p w:rsidR="00C12F27" w:rsidRDefault="00C12F27">
            <w:pPr>
              <w:ind w:left="720"/>
              <w:rPr>
                <w:rFonts w:asciiTheme="minorHAnsi" w:hAnsiTheme="minorHAnsi"/>
              </w:rPr>
            </w:pPr>
          </w:p>
          <w:p w:rsidR="00C12F27" w:rsidRDefault="00C12F27">
            <w:pPr>
              <w:ind w:left="720"/>
              <w:rPr>
                <w:rFonts w:asciiTheme="minorHAnsi" w:hAnsiTheme="minorHAnsi"/>
              </w:rPr>
            </w:pPr>
          </w:p>
        </w:tc>
      </w:tr>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b/>
              </w:rPr>
            </w:pPr>
            <w:r>
              <w:rPr>
                <w:rFonts w:asciiTheme="minorHAnsi" w:hAnsiTheme="minorHAnsi"/>
                <w:b/>
                <w:lang w:val="en-US"/>
              </w:rPr>
              <w:t xml:space="preserve">Areas of possible exploration: </w:t>
            </w:r>
            <w:r>
              <w:rPr>
                <w:rFonts w:asciiTheme="minorHAnsi" w:hAnsiTheme="minorHAnsi"/>
                <w:bCs/>
                <w:lang w:val="en-US"/>
              </w:rPr>
              <w:t>what you think could be” under the hood” in these incidents? What avenues of research could you consider?</w:t>
            </w:r>
          </w:p>
          <w:p w:rsidR="00C12F27" w:rsidRDefault="00C12F27">
            <w:pPr>
              <w:rPr>
                <w:rFonts w:asciiTheme="minorHAnsi" w:hAnsiTheme="minorHAnsi"/>
                <w:lang w:val="cy-GB"/>
              </w:rPr>
            </w:pPr>
            <w:r>
              <w:rPr>
                <w:rFonts w:asciiTheme="minorHAnsi" w:hAnsiTheme="minorHAnsi"/>
              </w:rPr>
              <w:t xml:space="preserve">Analysing this incident has led me to consider further research into theories of learning. I found it </w:t>
            </w:r>
            <w:r w:rsidR="006C09D3">
              <w:rPr>
                <w:rFonts w:asciiTheme="minorHAnsi" w:hAnsiTheme="minorHAnsi"/>
              </w:rPr>
              <w:t>particularly</w:t>
            </w:r>
            <w:r>
              <w:rPr>
                <w:rFonts w:asciiTheme="minorHAnsi" w:hAnsiTheme="minorHAnsi"/>
              </w:rPr>
              <w:t xml:space="preserve"> interesting just before the activity started as the teacher stated that it was completely </w:t>
            </w:r>
            <w:r w:rsidR="006C09D3">
              <w:rPr>
                <w:rFonts w:asciiTheme="minorHAnsi" w:hAnsiTheme="minorHAnsi"/>
              </w:rPr>
              <w:t>up to</w:t>
            </w:r>
            <w:r>
              <w:rPr>
                <w:rFonts w:asciiTheme="minorHAnsi" w:hAnsiTheme="minorHAnsi"/>
              </w:rPr>
              <w:t xml:space="preserve"> the children how they organised the materials to make a prediction about which would have the most friction, as this can be linked to the Humanistic school of learning which explicitly states that students should be given responsibility and </w:t>
            </w:r>
            <w:r w:rsidR="006C09D3">
              <w:rPr>
                <w:rFonts w:asciiTheme="minorHAnsi" w:hAnsiTheme="minorHAnsi"/>
              </w:rPr>
              <w:t>their</w:t>
            </w:r>
            <w:r>
              <w:rPr>
                <w:rFonts w:asciiTheme="minorHAnsi" w:hAnsiTheme="minorHAnsi"/>
              </w:rPr>
              <w:t xml:space="preserve"> learning should be </w:t>
            </w:r>
            <w:r w:rsidR="006C09D3">
              <w:rPr>
                <w:rFonts w:asciiTheme="minorHAnsi" w:hAnsiTheme="minorHAnsi"/>
              </w:rPr>
              <w:t>self-directed</w:t>
            </w:r>
            <w:r>
              <w:rPr>
                <w:rFonts w:asciiTheme="minorHAnsi" w:hAnsiTheme="minorHAnsi"/>
              </w:rPr>
              <w:t xml:space="preserve"> in a way that lessons and interactions are customised by the learner. However, it can also be linked to the Constructivist school which states that learning is more meaningful to students when they are able to interact with a concept. This incident also gave a good example of how listening to learners and blended learning </w:t>
            </w:r>
            <w:r w:rsidR="006C09D3">
              <w:rPr>
                <w:rFonts w:asciiTheme="minorHAnsi" w:hAnsiTheme="minorHAnsi"/>
              </w:rPr>
              <w:t>experiences</w:t>
            </w:r>
            <w:r>
              <w:rPr>
                <w:rFonts w:asciiTheme="minorHAnsi" w:hAnsiTheme="minorHAnsi"/>
              </w:rPr>
              <w:t xml:space="preserve"> can be implicated in the teaching standards as when the children were given the materials to feel and work out which materials they were completely engaged. I do feel however that the most obvious avenue of research would be into the use of group work in the classroom, and the benefits surrounding it.</w:t>
            </w: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tc>
      </w:tr>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bCs/>
              </w:rPr>
            </w:pPr>
            <w:r>
              <w:rPr>
                <w:rFonts w:asciiTheme="minorHAnsi" w:hAnsiTheme="minorHAnsi"/>
                <w:b/>
                <w:lang w:val="en-US"/>
              </w:rPr>
              <w:t xml:space="preserve">Notes: </w:t>
            </w:r>
            <w:r>
              <w:rPr>
                <w:rFonts w:asciiTheme="minorHAnsi" w:hAnsiTheme="minorHAnsi"/>
                <w:bCs/>
                <w:lang w:val="en-US"/>
              </w:rPr>
              <w:t>any details you can note (is it a busy environment, is it after lunch, are there lots of distractions, are directions made explicit - the more you can refer to the better here)</w:t>
            </w:r>
          </w:p>
          <w:p w:rsidR="00C12F27" w:rsidRDefault="00C12F27">
            <w:pPr>
              <w:rPr>
                <w:rFonts w:asciiTheme="minorHAnsi" w:hAnsiTheme="minorHAnsi"/>
                <w:bCs/>
                <w:lang w:val="cy-GB"/>
              </w:rPr>
            </w:pPr>
          </w:p>
          <w:p w:rsidR="00C12F27" w:rsidRDefault="00C12F27">
            <w:pPr>
              <w:rPr>
                <w:rFonts w:asciiTheme="minorHAnsi" w:hAnsiTheme="minorHAnsi"/>
              </w:rPr>
            </w:pPr>
            <w:r>
              <w:rPr>
                <w:rFonts w:asciiTheme="minorHAnsi" w:hAnsiTheme="minorHAnsi"/>
              </w:rPr>
              <w:t>It was a busy environment so this could have given the child more confidence to be able to explain to the teacher his prediction about friction.</w:t>
            </w: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tc>
      </w:tr>
    </w:tbl>
    <w:p w:rsidR="00C12F27" w:rsidRDefault="00C12F27" w:rsidP="00C12F27">
      <w:pPr>
        <w:rPr>
          <w:rFonts w:eastAsia="Times New Roman"/>
          <w:lang w:val="cy-GB" w:eastAsia="cy-GB"/>
        </w:rPr>
      </w:pPr>
    </w:p>
    <w:p w:rsidR="00C12F27" w:rsidRDefault="00C12F27" w:rsidP="00C12F27">
      <w:pPr>
        <w:rPr>
          <w:rFonts w:cstheme="minorHAnsi"/>
        </w:rPr>
      </w:pPr>
    </w:p>
    <w:p w:rsidR="00C12F27" w:rsidRDefault="00C12F27" w:rsidP="00C12F27">
      <w:pPr>
        <w:rPr>
          <w:rFonts w:cstheme="minorHAnsi"/>
        </w:rPr>
      </w:pPr>
    </w:p>
    <w:p w:rsidR="00C12F27" w:rsidRDefault="00C12F27" w:rsidP="00C12F27">
      <w:pPr>
        <w:rPr>
          <w:rFonts w:cstheme="minorHAnsi"/>
        </w:rPr>
      </w:pPr>
    </w:p>
    <w:p w:rsidR="00C12F27" w:rsidRDefault="00C12F27" w:rsidP="00C12F27">
      <w:pPr>
        <w:rPr>
          <w:rFonts w:cstheme="minorHAnsi"/>
        </w:rPr>
      </w:pPr>
    </w:p>
    <w:p w:rsidR="00C12F27" w:rsidRDefault="00C12F27" w:rsidP="00C12F27">
      <w:pPr>
        <w:rPr>
          <w:rFonts w:cstheme="minorHAnsi"/>
        </w:rPr>
      </w:pPr>
    </w:p>
    <w:p w:rsidR="00C12F27" w:rsidRDefault="00C12F27" w:rsidP="00C12F27">
      <w:pPr>
        <w:rPr>
          <w:rFonts w:cstheme="minorHAnsi"/>
        </w:rPr>
      </w:pPr>
    </w:p>
    <w:p w:rsidR="00C12F27" w:rsidRDefault="00C12F27" w:rsidP="00C12F27">
      <w:pPr>
        <w:rPr>
          <w:rFonts w:cstheme="minorHAnsi"/>
        </w:rPr>
      </w:pPr>
    </w:p>
    <w:p w:rsidR="00C12F27" w:rsidRDefault="00C12F27" w:rsidP="00C12F27">
      <w:pPr>
        <w:rPr>
          <w:rFonts w:cstheme="minorHAnsi"/>
        </w:rPr>
      </w:pPr>
    </w:p>
    <w:p w:rsidR="00C12F27" w:rsidRDefault="00C12F27" w:rsidP="00C12F27">
      <w:pPr>
        <w:rPr>
          <w:rFonts w:cstheme="minorHAnsi"/>
        </w:rPr>
      </w:pPr>
    </w:p>
    <w:p w:rsidR="00C12F27" w:rsidRDefault="00C12F27" w:rsidP="00C12F27">
      <w:pPr>
        <w:rPr>
          <w:b/>
          <w:bCs/>
        </w:rPr>
      </w:pPr>
    </w:p>
    <w:p w:rsidR="00C12F27" w:rsidRDefault="00C12F27" w:rsidP="00C12F27">
      <w:pPr>
        <w:rPr>
          <w:rFonts w:cs="Times New Roman"/>
          <w:b/>
          <w:bCs/>
        </w:rPr>
      </w:pPr>
      <w:r>
        <w:rPr>
          <w:b/>
          <w:bCs/>
        </w:rPr>
        <w:t>Record 3</w:t>
      </w:r>
    </w:p>
    <w:tbl>
      <w:tblPr>
        <w:tblStyle w:val="TableGrid"/>
        <w:tblW w:w="0" w:type="auto"/>
        <w:tblInd w:w="0" w:type="dxa"/>
        <w:tblLook w:val="04A0" w:firstRow="1" w:lastRow="0" w:firstColumn="1" w:lastColumn="0" w:noHBand="0" w:noVBand="1"/>
      </w:tblPr>
      <w:tblGrid>
        <w:gridCol w:w="8926"/>
      </w:tblGrid>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rPr>
            </w:pPr>
            <w:r>
              <w:rPr>
                <w:rFonts w:asciiTheme="minorHAnsi" w:hAnsiTheme="minorHAnsi"/>
              </w:rPr>
              <w:t>Date and time, year group: 23/09/21 ALN Year 9 PSHE</w:t>
            </w:r>
          </w:p>
          <w:p w:rsidR="00C12F27" w:rsidRDefault="00C12F27">
            <w:pPr>
              <w:rPr>
                <w:rFonts w:asciiTheme="minorHAnsi" w:hAnsiTheme="minorHAnsi"/>
              </w:rPr>
            </w:pPr>
          </w:p>
        </w:tc>
      </w:tr>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rPr>
            </w:pPr>
            <w:r>
              <w:rPr>
                <w:rFonts w:asciiTheme="minorHAnsi" w:hAnsiTheme="minorHAnsi"/>
                <w:b/>
                <w:bCs/>
              </w:rPr>
              <w:t>Where and When:</w:t>
            </w:r>
            <w:r>
              <w:rPr>
                <w:rFonts w:asciiTheme="minorHAnsi" w:hAnsiTheme="minorHAnsi"/>
              </w:rPr>
              <w:t xml:space="preserve"> Context of the observation – subject/AOLE, general classroom context</w:t>
            </w:r>
          </w:p>
          <w:p w:rsidR="00C12F27" w:rsidRDefault="00C12F27">
            <w:pPr>
              <w:rPr>
                <w:rFonts w:asciiTheme="minorHAnsi" w:hAnsiTheme="minorHAnsi"/>
              </w:rPr>
            </w:pPr>
            <w:r>
              <w:rPr>
                <w:rFonts w:asciiTheme="minorHAnsi" w:hAnsiTheme="minorHAnsi"/>
              </w:rPr>
              <w:t xml:space="preserve">ALN children are sitting around on chairs in a </w:t>
            </w:r>
            <w:r>
              <w:rPr>
                <w:rFonts w:asciiTheme="minorHAnsi" w:hAnsiTheme="minorHAnsi"/>
              </w:rPr>
              <w:t>semi-circle</w:t>
            </w:r>
            <w:r>
              <w:rPr>
                <w:rFonts w:asciiTheme="minorHAnsi" w:hAnsiTheme="minorHAnsi"/>
              </w:rPr>
              <w:t xml:space="preserve">, all facing </w:t>
            </w:r>
            <w:r>
              <w:rPr>
                <w:rFonts w:asciiTheme="minorHAnsi" w:hAnsiTheme="minorHAnsi"/>
              </w:rPr>
              <w:t>their</w:t>
            </w:r>
            <w:r>
              <w:rPr>
                <w:rFonts w:asciiTheme="minorHAnsi" w:hAnsiTheme="minorHAnsi"/>
              </w:rPr>
              <w:t xml:space="preserve"> teacher. There are also two LSA’s sitting in with the group, seemingly providing 1-1 support to some of the pupils. The pupils are passing a bag full of cards around, with the rules of the classroom written on them.</w:t>
            </w: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tc>
      </w:tr>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lang w:val="en-US"/>
              </w:rPr>
            </w:pPr>
            <w:r>
              <w:rPr>
                <w:rFonts w:asciiTheme="minorHAnsi" w:hAnsiTheme="minorHAnsi"/>
                <w:b/>
                <w:bCs/>
                <w:lang w:val="en-US"/>
              </w:rPr>
              <w:t xml:space="preserve">What happened: </w:t>
            </w:r>
            <w:r>
              <w:rPr>
                <w:rFonts w:asciiTheme="minorHAnsi" w:hAnsiTheme="minorHAnsi"/>
                <w:lang w:val="en-US"/>
              </w:rPr>
              <w:t>a detailed description of the critical incident (the more detail the better to refer to in your later work)</w:t>
            </w:r>
          </w:p>
          <w:p w:rsidR="00C12F27" w:rsidRDefault="00C12F27">
            <w:pPr>
              <w:rPr>
                <w:rFonts w:asciiTheme="minorHAnsi" w:hAnsiTheme="minorHAnsi"/>
                <w:lang w:val="en-US"/>
              </w:rPr>
            </w:pPr>
            <w:r>
              <w:rPr>
                <w:rFonts w:asciiTheme="minorHAnsi" w:hAnsiTheme="minorHAnsi"/>
                <w:lang w:val="en-US"/>
              </w:rPr>
              <w:t>One pupil who was sat next to an LSA is given the bag of rules and picks a card out from the bag. The pupil struggles to read what’s on the card. The LSA sitting next to her and the teacher sitting opposite her give her prompts to help her understand what the card says. With these prompts, and further encouragement from the LSA the pupil is able to understand what the card says and reads it out to the rest of the class.</w:t>
            </w:r>
          </w:p>
          <w:p w:rsidR="00C12F27" w:rsidRDefault="00C12F27">
            <w:pPr>
              <w:rPr>
                <w:rFonts w:asciiTheme="minorHAnsi" w:hAnsiTheme="minorHAnsi"/>
                <w:bCs/>
                <w:lang w:val="en-US"/>
              </w:rPr>
            </w:pPr>
          </w:p>
          <w:p w:rsidR="00C12F27" w:rsidRDefault="00C12F27">
            <w:pPr>
              <w:rPr>
                <w:rFonts w:asciiTheme="minorHAnsi" w:hAnsiTheme="minorHAnsi"/>
                <w:bCs/>
                <w:lang w:val="en-US"/>
              </w:rPr>
            </w:pPr>
          </w:p>
          <w:p w:rsidR="00C12F27" w:rsidRDefault="00C12F27">
            <w:pPr>
              <w:rPr>
                <w:rFonts w:asciiTheme="minorHAnsi" w:hAnsiTheme="minorHAnsi"/>
                <w:bCs/>
                <w:lang w:val="en-US"/>
              </w:rPr>
            </w:pPr>
          </w:p>
          <w:p w:rsidR="00C12F27" w:rsidRDefault="00C12F27">
            <w:pPr>
              <w:rPr>
                <w:rFonts w:asciiTheme="minorHAnsi" w:hAnsiTheme="minorHAnsi"/>
                <w:bCs/>
                <w:lang w:val="en-US"/>
              </w:rPr>
            </w:pPr>
          </w:p>
          <w:p w:rsidR="00C12F27" w:rsidRDefault="00C12F27">
            <w:pPr>
              <w:rPr>
                <w:rFonts w:asciiTheme="minorHAnsi" w:hAnsiTheme="minorHAnsi"/>
                <w:bCs/>
                <w:lang w:val="cy-GB"/>
              </w:rPr>
            </w:pPr>
          </w:p>
          <w:p w:rsidR="00C12F27" w:rsidRDefault="00C12F27">
            <w:pPr>
              <w:rPr>
                <w:rFonts w:asciiTheme="minorHAnsi" w:hAnsiTheme="minorHAnsi"/>
                <w:bCs/>
              </w:rPr>
            </w:pPr>
          </w:p>
          <w:p w:rsidR="00C12F27" w:rsidRDefault="00C12F27">
            <w:pPr>
              <w:ind w:left="720"/>
              <w:rPr>
                <w:rFonts w:asciiTheme="minorHAnsi" w:hAnsiTheme="minorHAnsi"/>
              </w:rPr>
            </w:pPr>
          </w:p>
          <w:p w:rsidR="00C12F27" w:rsidRDefault="00C12F27">
            <w:pPr>
              <w:ind w:left="720"/>
              <w:rPr>
                <w:rFonts w:asciiTheme="minorHAnsi" w:hAnsiTheme="minorHAnsi"/>
              </w:rPr>
            </w:pPr>
          </w:p>
        </w:tc>
      </w:tr>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b/>
              </w:rPr>
            </w:pPr>
            <w:r>
              <w:rPr>
                <w:rFonts w:asciiTheme="minorHAnsi" w:hAnsiTheme="minorHAnsi"/>
                <w:b/>
                <w:lang w:val="en-US"/>
              </w:rPr>
              <w:t xml:space="preserve">Areas of possible exploration: </w:t>
            </w:r>
            <w:r>
              <w:rPr>
                <w:rFonts w:asciiTheme="minorHAnsi" w:hAnsiTheme="minorHAnsi"/>
                <w:bCs/>
                <w:lang w:val="en-US"/>
              </w:rPr>
              <w:t>what you think could be” under the hood” in these incidents? What avenues of research could you consider?</w:t>
            </w:r>
          </w:p>
          <w:p w:rsidR="00C12F27" w:rsidRDefault="00C12F27">
            <w:pPr>
              <w:rPr>
                <w:rFonts w:asciiTheme="minorHAnsi" w:hAnsiTheme="minorHAnsi"/>
                <w:lang w:val="cy-GB"/>
              </w:rPr>
            </w:pPr>
            <w:r>
              <w:rPr>
                <w:rFonts w:asciiTheme="minorHAnsi" w:hAnsiTheme="minorHAnsi"/>
              </w:rPr>
              <w:t xml:space="preserve">This incident provides us with an excellent example of the teacher being inclusive to the learner by differentiating the task in order to suit </w:t>
            </w:r>
            <w:r w:rsidR="006C09D3">
              <w:rPr>
                <w:rFonts w:asciiTheme="minorHAnsi" w:hAnsiTheme="minorHAnsi"/>
              </w:rPr>
              <w:t>their</w:t>
            </w:r>
            <w:r>
              <w:rPr>
                <w:rFonts w:asciiTheme="minorHAnsi" w:hAnsiTheme="minorHAnsi"/>
              </w:rPr>
              <w:t xml:space="preserve"> needs. As this is an ALN lesson, the teacher is also using blended learning in order so make the tasks suitable for the learners. In addition to this, further analysis of this could lead to further studies of behaviour management theory and in particular could be linked to Carter and Lee’s </w:t>
            </w:r>
            <w:r w:rsidR="006C09D3">
              <w:rPr>
                <w:rFonts w:asciiTheme="minorHAnsi" w:hAnsiTheme="minorHAnsi"/>
              </w:rPr>
              <w:t>assertive</w:t>
            </w:r>
            <w:r>
              <w:rPr>
                <w:rFonts w:asciiTheme="minorHAnsi" w:hAnsiTheme="minorHAnsi"/>
              </w:rPr>
              <w:t xml:space="preserve"> discipline theory as the teacher catches the child being good as they follow instructions and pull the cards out of the bag.</w:t>
            </w: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tc>
      </w:tr>
      <w:tr w:rsidR="00C12F27" w:rsidTr="00C12F27">
        <w:tc>
          <w:tcPr>
            <w:tcW w:w="8926" w:type="dxa"/>
            <w:tcBorders>
              <w:top w:val="single" w:sz="4" w:space="0" w:color="auto"/>
              <w:left w:val="single" w:sz="4" w:space="0" w:color="auto"/>
              <w:bottom w:val="single" w:sz="4" w:space="0" w:color="auto"/>
              <w:right w:val="single" w:sz="4" w:space="0" w:color="auto"/>
            </w:tcBorders>
          </w:tcPr>
          <w:p w:rsidR="00C12F27" w:rsidRDefault="00C12F27">
            <w:pPr>
              <w:rPr>
                <w:rFonts w:asciiTheme="minorHAnsi" w:hAnsiTheme="minorHAnsi"/>
                <w:bCs/>
              </w:rPr>
            </w:pPr>
            <w:r>
              <w:rPr>
                <w:rFonts w:asciiTheme="minorHAnsi" w:hAnsiTheme="minorHAnsi"/>
                <w:b/>
                <w:lang w:val="en-US"/>
              </w:rPr>
              <w:t xml:space="preserve">Notes: </w:t>
            </w:r>
            <w:r>
              <w:rPr>
                <w:rFonts w:asciiTheme="minorHAnsi" w:hAnsiTheme="minorHAnsi"/>
                <w:bCs/>
                <w:lang w:val="en-US"/>
              </w:rPr>
              <w:t>any details you can note (is it a busy environment, is it after lunch, are there lots of distractions, are directions made explicit - the more you can refer to the better here)</w:t>
            </w:r>
          </w:p>
          <w:p w:rsidR="00C12F27" w:rsidRDefault="00C12F27">
            <w:pPr>
              <w:rPr>
                <w:rFonts w:asciiTheme="minorHAnsi" w:hAnsiTheme="minorHAnsi"/>
                <w:bCs/>
                <w:lang w:val="cy-GB"/>
              </w:rPr>
            </w:pPr>
            <w:r>
              <w:rPr>
                <w:rFonts w:asciiTheme="minorHAnsi" w:hAnsiTheme="minorHAnsi"/>
                <w:bCs/>
              </w:rPr>
              <w:t>It was a very busy environment. There was a</w:t>
            </w:r>
            <w:r w:rsidR="006C09D3">
              <w:rPr>
                <w:rFonts w:asciiTheme="minorHAnsi" w:hAnsiTheme="minorHAnsi"/>
                <w:bCs/>
              </w:rPr>
              <w:t xml:space="preserve"> </w:t>
            </w:r>
            <w:r>
              <w:rPr>
                <w:rFonts w:asciiTheme="minorHAnsi" w:hAnsiTheme="minorHAnsi"/>
                <w:bCs/>
              </w:rPr>
              <w:t>lot of background noise with the LSA’s supporting the pupils. This may have proved as a distraction to the pupil who could not understand what was on the card.</w:t>
            </w: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p w:rsidR="00C12F27" w:rsidRDefault="00C12F27">
            <w:pPr>
              <w:rPr>
                <w:rFonts w:asciiTheme="minorHAnsi" w:hAnsiTheme="minorHAnsi"/>
              </w:rPr>
            </w:pPr>
          </w:p>
        </w:tc>
      </w:tr>
    </w:tbl>
    <w:p w:rsidR="00C12F27" w:rsidRDefault="00C12F27" w:rsidP="005E5C78"/>
    <w:p w:rsidR="00C12F27" w:rsidRDefault="00C12F27">
      <w:r>
        <w:br w:type="page"/>
      </w:r>
    </w:p>
    <w:p w:rsidR="00211B53" w:rsidRPr="005E5C78" w:rsidRDefault="005E5C78" w:rsidP="005E5C78">
      <w:r w:rsidRPr="005E5C78">
        <w:t xml:space="preserve"> DOI: 10.1080/03433790110068242</w:t>
      </w:r>
    </w:p>
    <w:sectPr w:rsidR="00211B53" w:rsidRPr="005E5C78">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126A" w:rsidRDefault="0085126A" w:rsidP="003249AF">
      <w:pPr>
        <w:spacing w:after="0" w:line="240" w:lineRule="auto"/>
      </w:pPr>
      <w:r>
        <w:separator/>
      </w:r>
    </w:p>
  </w:endnote>
  <w:endnote w:type="continuationSeparator" w:id="0">
    <w:p w:rsidR="0085126A" w:rsidRDefault="0085126A" w:rsidP="00324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126A" w:rsidRDefault="0085126A" w:rsidP="003249AF">
      <w:pPr>
        <w:spacing w:after="0" w:line="240" w:lineRule="auto"/>
      </w:pPr>
      <w:r>
        <w:separator/>
      </w:r>
    </w:p>
  </w:footnote>
  <w:footnote w:type="continuationSeparator" w:id="0">
    <w:p w:rsidR="0085126A" w:rsidRDefault="0085126A" w:rsidP="00324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26A" w:rsidRDefault="0085126A">
    <w:pPr>
      <w:pStyle w:val="Header"/>
    </w:pPr>
    <w:r>
      <w:t xml:space="preserve">Joshua Evans    2103662                                                                                                       </w:t>
    </w:r>
    <w:r w:rsidR="006C09D3">
      <w:t>Word Count- 4978</w:t>
    </w:r>
  </w:p>
  <w:p w:rsidR="006C09D3" w:rsidRDefault="006C09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949"/>
    <w:rsid w:val="00062820"/>
    <w:rsid w:val="00075213"/>
    <w:rsid w:val="000851BB"/>
    <w:rsid w:val="000869AD"/>
    <w:rsid w:val="000A457B"/>
    <w:rsid w:val="000B05F8"/>
    <w:rsid w:val="000C5D74"/>
    <w:rsid w:val="00106BD9"/>
    <w:rsid w:val="00122681"/>
    <w:rsid w:val="00130292"/>
    <w:rsid w:val="00156922"/>
    <w:rsid w:val="001842D7"/>
    <w:rsid w:val="00186FC2"/>
    <w:rsid w:val="0020202E"/>
    <w:rsid w:val="00211B53"/>
    <w:rsid w:val="0021271F"/>
    <w:rsid w:val="00227542"/>
    <w:rsid w:val="00230669"/>
    <w:rsid w:val="00232532"/>
    <w:rsid w:val="00247D57"/>
    <w:rsid w:val="002636D5"/>
    <w:rsid w:val="00273878"/>
    <w:rsid w:val="0029095E"/>
    <w:rsid w:val="00291409"/>
    <w:rsid w:val="002C698E"/>
    <w:rsid w:val="002E347B"/>
    <w:rsid w:val="003249AF"/>
    <w:rsid w:val="003562CC"/>
    <w:rsid w:val="0037405E"/>
    <w:rsid w:val="0037551E"/>
    <w:rsid w:val="00391BCE"/>
    <w:rsid w:val="003A45FA"/>
    <w:rsid w:val="003D6369"/>
    <w:rsid w:val="00430860"/>
    <w:rsid w:val="00455AA1"/>
    <w:rsid w:val="00460676"/>
    <w:rsid w:val="00462610"/>
    <w:rsid w:val="004626D0"/>
    <w:rsid w:val="004B4F69"/>
    <w:rsid w:val="004D4CE1"/>
    <w:rsid w:val="004D749C"/>
    <w:rsid w:val="004E30DA"/>
    <w:rsid w:val="00521C2D"/>
    <w:rsid w:val="0057278F"/>
    <w:rsid w:val="005957C6"/>
    <w:rsid w:val="00596B1E"/>
    <w:rsid w:val="005B3446"/>
    <w:rsid w:val="005B6C01"/>
    <w:rsid w:val="005E2B85"/>
    <w:rsid w:val="005E5C78"/>
    <w:rsid w:val="00692E23"/>
    <w:rsid w:val="00697207"/>
    <w:rsid w:val="006A2AF4"/>
    <w:rsid w:val="006A2FC6"/>
    <w:rsid w:val="006B6AC2"/>
    <w:rsid w:val="006C09D3"/>
    <w:rsid w:val="006C6130"/>
    <w:rsid w:val="006C6AFB"/>
    <w:rsid w:val="006E07DF"/>
    <w:rsid w:val="006E4444"/>
    <w:rsid w:val="0075133E"/>
    <w:rsid w:val="00763949"/>
    <w:rsid w:val="00776060"/>
    <w:rsid w:val="007A4F69"/>
    <w:rsid w:val="007B078A"/>
    <w:rsid w:val="007B5213"/>
    <w:rsid w:val="007C079A"/>
    <w:rsid w:val="007C0CA1"/>
    <w:rsid w:val="007D18E1"/>
    <w:rsid w:val="00833236"/>
    <w:rsid w:val="00834D2A"/>
    <w:rsid w:val="00844238"/>
    <w:rsid w:val="0085126A"/>
    <w:rsid w:val="008616D3"/>
    <w:rsid w:val="0086715B"/>
    <w:rsid w:val="00882E04"/>
    <w:rsid w:val="008A5839"/>
    <w:rsid w:val="008E6179"/>
    <w:rsid w:val="00901CCE"/>
    <w:rsid w:val="0092427D"/>
    <w:rsid w:val="00941195"/>
    <w:rsid w:val="009527D9"/>
    <w:rsid w:val="00980E46"/>
    <w:rsid w:val="0098158F"/>
    <w:rsid w:val="009A1520"/>
    <w:rsid w:val="009A7FDE"/>
    <w:rsid w:val="00A156B3"/>
    <w:rsid w:val="00A33436"/>
    <w:rsid w:val="00A60405"/>
    <w:rsid w:val="00AB61EF"/>
    <w:rsid w:val="00AC16C2"/>
    <w:rsid w:val="00AC24DB"/>
    <w:rsid w:val="00AD3A51"/>
    <w:rsid w:val="00AD7DC0"/>
    <w:rsid w:val="00B01372"/>
    <w:rsid w:val="00B40A3F"/>
    <w:rsid w:val="00BA12BC"/>
    <w:rsid w:val="00BE47EC"/>
    <w:rsid w:val="00BF099B"/>
    <w:rsid w:val="00C12F27"/>
    <w:rsid w:val="00C169D1"/>
    <w:rsid w:val="00C17D1A"/>
    <w:rsid w:val="00C4531B"/>
    <w:rsid w:val="00C53622"/>
    <w:rsid w:val="00C82743"/>
    <w:rsid w:val="00CA0870"/>
    <w:rsid w:val="00CB7D65"/>
    <w:rsid w:val="00CC3480"/>
    <w:rsid w:val="00CE311E"/>
    <w:rsid w:val="00CE7739"/>
    <w:rsid w:val="00D03BA1"/>
    <w:rsid w:val="00D23ED7"/>
    <w:rsid w:val="00D33B4E"/>
    <w:rsid w:val="00D53FB6"/>
    <w:rsid w:val="00D73AC0"/>
    <w:rsid w:val="00D9278F"/>
    <w:rsid w:val="00DB35DB"/>
    <w:rsid w:val="00DC30B6"/>
    <w:rsid w:val="00DD2939"/>
    <w:rsid w:val="00DE27B7"/>
    <w:rsid w:val="00DE38F6"/>
    <w:rsid w:val="00E10DE6"/>
    <w:rsid w:val="00E92550"/>
    <w:rsid w:val="00EB1317"/>
    <w:rsid w:val="00EB3C36"/>
    <w:rsid w:val="00F05CC3"/>
    <w:rsid w:val="00F22A53"/>
    <w:rsid w:val="00F96CFD"/>
    <w:rsid w:val="00FA6535"/>
    <w:rsid w:val="00FD14C2"/>
    <w:rsid w:val="00FD7529"/>
    <w:rsid w:val="00FE6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5451"/>
  <w15:chartTrackingRefBased/>
  <w15:docId w15:val="{A73922EA-300A-4AFA-9BDF-65AC3F636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07DF"/>
    <w:rPr>
      <w:color w:val="0563C1" w:themeColor="hyperlink"/>
      <w:u w:val="single"/>
    </w:rPr>
  </w:style>
  <w:style w:type="paragraph" w:styleId="Header">
    <w:name w:val="header"/>
    <w:basedOn w:val="Normal"/>
    <w:link w:val="HeaderChar"/>
    <w:uiPriority w:val="99"/>
    <w:unhideWhenUsed/>
    <w:rsid w:val="00324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9AF"/>
  </w:style>
  <w:style w:type="paragraph" w:styleId="Footer">
    <w:name w:val="footer"/>
    <w:basedOn w:val="Normal"/>
    <w:link w:val="FooterChar"/>
    <w:uiPriority w:val="99"/>
    <w:unhideWhenUsed/>
    <w:rsid w:val="00324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9AF"/>
  </w:style>
  <w:style w:type="paragraph" w:styleId="BalloonText">
    <w:name w:val="Balloon Text"/>
    <w:basedOn w:val="Normal"/>
    <w:link w:val="BalloonTextChar"/>
    <w:uiPriority w:val="99"/>
    <w:semiHidden/>
    <w:unhideWhenUsed/>
    <w:rsid w:val="008512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126A"/>
    <w:rPr>
      <w:rFonts w:ascii="Segoe UI" w:hAnsi="Segoe UI" w:cs="Segoe UI"/>
      <w:sz w:val="18"/>
      <w:szCs w:val="18"/>
    </w:rPr>
  </w:style>
  <w:style w:type="table" w:styleId="TableGrid">
    <w:name w:val="Table Grid"/>
    <w:basedOn w:val="TableNormal"/>
    <w:uiPriority w:val="39"/>
    <w:rsid w:val="00C12F2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578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wner/Downloads/ToolsoftheMind-ElenaBodrovaDeborahJ.Leo_519.pdf" TargetMode="External"/><Relationship Id="rId13" Type="http://schemas.openxmlformats.org/officeDocument/2006/relationships/hyperlink" Target="https://www.jstage.jst.go.jp/article/arepj1962/47/0/47_29/_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Owner/Downloads/BERA-Ethical-Guidelines-for-Educational-Research_4thEdn_2018.pdf" TargetMode="External"/><Relationship Id="rId12" Type="http://schemas.openxmlformats.org/officeDocument/2006/relationships/hyperlink" Target="https://files.eric.ed.gov/fulltext/EJ854992.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daneshnamehicsa.ir/userfiles/file/Manabeh/Educating%20the%20reflective%20practitioner.pdf" TargetMode="External"/><Relationship Id="rId1" Type="http://schemas.openxmlformats.org/officeDocument/2006/relationships/styles" Target="styles.xml"/><Relationship Id="rId6" Type="http://schemas.openxmlformats.org/officeDocument/2006/relationships/hyperlink" Target="http://www.collaborativelearning.org/alexander.pdf" TargetMode="External"/><Relationship Id="rId11" Type="http://schemas.openxmlformats.org/officeDocument/2006/relationships/hyperlink" Target="https://gov.wales/sites/default/files/publications/2018-03/successful-futures.pdf" TargetMode="External"/><Relationship Id="rId5" Type="http://schemas.openxmlformats.org/officeDocument/2006/relationships/endnotes" Target="endnotes.xml"/><Relationship Id="rId15" Type="http://schemas.openxmlformats.org/officeDocument/2006/relationships/hyperlink" Target="https://www.simplypsychology.org/vygotsky.html" TargetMode="External"/><Relationship Id="rId10" Type="http://schemas.openxmlformats.org/officeDocument/2006/relationships/hyperlink" Target="https://www.verywellmind.com/jean-piaget-biography-1896-1980-2795549"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files.eric.ed.gov/fulltext/EJ1131532.pdf" TargetMode="External"/><Relationship Id="rId14" Type="http://schemas.openxmlformats.org/officeDocument/2006/relationships/hyperlink" Target="https://www.jstor.org/stable/900136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5626</Words>
  <Characters>32072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Evans</dc:creator>
  <cp:keywords/>
  <dc:description/>
  <cp:lastModifiedBy>Joshua Evans</cp:lastModifiedBy>
  <cp:revision>2</cp:revision>
  <cp:lastPrinted>2021-10-28T16:01:00Z</cp:lastPrinted>
  <dcterms:created xsi:type="dcterms:W3CDTF">2021-10-29T08:07:00Z</dcterms:created>
  <dcterms:modified xsi:type="dcterms:W3CDTF">2021-10-29T08:07:00Z</dcterms:modified>
</cp:coreProperties>
</file>