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F140F" w14:textId="77777777" w:rsidR="000B7E7D" w:rsidRPr="002B033F" w:rsidRDefault="000B7E7D" w:rsidP="000B7E7D">
      <w:pPr>
        <w:spacing w:line="360" w:lineRule="auto"/>
        <w:jc w:val="both"/>
        <w:rPr>
          <w:rFonts w:ascii="Times New Roman" w:hAnsi="Times New Roman" w:cs="Times New Roman"/>
          <w:sz w:val="24"/>
          <w:szCs w:val="24"/>
        </w:rPr>
      </w:pPr>
    </w:p>
    <w:p w14:paraId="51216096" w14:textId="77777777" w:rsidR="000B7E7D" w:rsidRPr="00643F36" w:rsidRDefault="000B7E7D" w:rsidP="000B7E7D">
      <w:pPr>
        <w:spacing w:line="360" w:lineRule="auto"/>
        <w:jc w:val="both"/>
        <w:rPr>
          <w:rFonts w:ascii="Times New Roman" w:hAnsi="Times New Roman" w:cs="Times New Roman"/>
          <w:sz w:val="24"/>
          <w:szCs w:val="24"/>
        </w:rPr>
      </w:pPr>
    </w:p>
    <w:p w14:paraId="08832BDE" w14:textId="77777777" w:rsidR="000B7E7D" w:rsidRPr="00643F36" w:rsidRDefault="000B7E7D" w:rsidP="000B7E7D">
      <w:pPr>
        <w:spacing w:line="360" w:lineRule="auto"/>
        <w:jc w:val="center"/>
        <w:rPr>
          <w:rFonts w:ascii="Times New Roman" w:hAnsi="Times New Roman" w:cs="Times New Roman"/>
          <w:b/>
          <w:bCs/>
          <w:sz w:val="24"/>
          <w:szCs w:val="24"/>
        </w:rPr>
      </w:pPr>
      <w:r w:rsidRPr="00643F36">
        <w:rPr>
          <w:rFonts w:ascii="Times New Roman" w:hAnsi="Times New Roman" w:cs="Times New Roman"/>
          <w:b/>
          <w:bCs/>
          <w:sz w:val="24"/>
          <w:szCs w:val="24"/>
        </w:rPr>
        <w:t>RESEARCH PROPOSAL</w:t>
      </w:r>
    </w:p>
    <w:p w14:paraId="2B36A12B" w14:textId="77777777" w:rsidR="000B7E7D" w:rsidRPr="00643F36" w:rsidRDefault="000B7E7D" w:rsidP="000B7E7D">
      <w:pPr>
        <w:spacing w:line="360" w:lineRule="auto"/>
        <w:jc w:val="center"/>
        <w:rPr>
          <w:rFonts w:ascii="Times New Roman" w:hAnsi="Times New Roman" w:cs="Times New Roman"/>
          <w:b/>
          <w:bCs/>
          <w:sz w:val="24"/>
          <w:szCs w:val="24"/>
        </w:rPr>
      </w:pPr>
    </w:p>
    <w:p w14:paraId="69D1A6F7" w14:textId="77777777" w:rsidR="000B7E7D" w:rsidRPr="00643F36" w:rsidRDefault="000B7E7D" w:rsidP="000B7E7D">
      <w:pPr>
        <w:spacing w:line="360" w:lineRule="auto"/>
        <w:jc w:val="center"/>
        <w:rPr>
          <w:rFonts w:ascii="Times New Roman" w:hAnsi="Times New Roman" w:cs="Times New Roman"/>
          <w:sz w:val="24"/>
          <w:szCs w:val="24"/>
        </w:rPr>
      </w:pPr>
    </w:p>
    <w:p w14:paraId="2AFF4259" w14:textId="77777777" w:rsidR="000B7E7D" w:rsidRPr="00643F36" w:rsidRDefault="000B7E7D" w:rsidP="000B7E7D">
      <w:pPr>
        <w:spacing w:line="360" w:lineRule="auto"/>
        <w:jc w:val="center"/>
        <w:rPr>
          <w:rFonts w:ascii="Times New Roman" w:hAnsi="Times New Roman" w:cs="Times New Roman"/>
          <w:sz w:val="28"/>
          <w:szCs w:val="28"/>
        </w:rPr>
      </w:pPr>
      <w:r w:rsidRPr="00643F36">
        <w:rPr>
          <w:rFonts w:ascii="Times New Roman" w:hAnsi="Times New Roman" w:cs="Times New Roman"/>
          <w:b/>
          <w:bCs/>
          <w:sz w:val="28"/>
          <w:szCs w:val="28"/>
        </w:rPr>
        <w:t>The Impact of Value-Based Pricing on Subscription Retention</w:t>
      </w:r>
      <w:r w:rsidRPr="00643F36">
        <w:rPr>
          <w:rFonts w:ascii="Times New Roman" w:hAnsi="Times New Roman" w:cs="Times New Roman"/>
          <w:sz w:val="28"/>
          <w:szCs w:val="28"/>
        </w:rPr>
        <w:t xml:space="preserve"> </w:t>
      </w:r>
      <w:r w:rsidRPr="00643F36">
        <w:rPr>
          <w:rFonts w:ascii="Times New Roman" w:hAnsi="Times New Roman" w:cs="Times New Roman"/>
          <w:b/>
          <w:bCs/>
          <w:sz w:val="28"/>
          <w:szCs w:val="28"/>
        </w:rPr>
        <w:t>in the UK During the Cost-of-Living Crisis</w:t>
      </w:r>
    </w:p>
    <w:p w14:paraId="1DA12A66" w14:textId="77777777" w:rsidR="000B7E7D" w:rsidRPr="00643F36" w:rsidRDefault="000B7E7D" w:rsidP="000B7E7D">
      <w:pPr>
        <w:spacing w:line="360" w:lineRule="auto"/>
        <w:jc w:val="center"/>
        <w:rPr>
          <w:rFonts w:ascii="Times New Roman" w:hAnsi="Times New Roman" w:cs="Times New Roman"/>
          <w:sz w:val="28"/>
          <w:szCs w:val="28"/>
        </w:rPr>
      </w:pPr>
    </w:p>
    <w:p w14:paraId="4AE44B45" w14:textId="77777777" w:rsidR="000B7E7D" w:rsidRDefault="000B7E7D" w:rsidP="000B7E7D">
      <w:pPr>
        <w:spacing w:line="360" w:lineRule="auto"/>
        <w:jc w:val="center"/>
        <w:rPr>
          <w:rFonts w:ascii="Times New Roman" w:hAnsi="Times New Roman" w:cs="Times New Roman"/>
          <w:sz w:val="24"/>
          <w:szCs w:val="24"/>
        </w:rPr>
      </w:pPr>
    </w:p>
    <w:p w14:paraId="33286318" w14:textId="77777777" w:rsidR="000B7E7D" w:rsidRPr="00643F36" w:rsidRDefault="000B7E7D" w:rsidP="000B7E7D">
      <w:pPr>
        <w:spacing w:line="360" w:lineRule="auto"/>
        <w:jc w:val="center"/>
        <w:rPr>
          <w:rFonts w:ascii="Times New Roman" w:hAnsi="Times New Roman" w:cs="Times New Roman"/>
          <w:b/>
          <w:bCs/>
          <w:sz w:val="24"/>
          <w:szCs w:val="24"/>
        </w:rPr>
      </w:pPr>
      <w:r w:rsidRPr="00643F36">
        <w:rPr>
          <w:rFonts w:ascii="Times New Roman" w:hAnsi="Times New Roman" w:cs="Times New Roman"/>
          <w:b/>
          <w:bCs/>
          <w:sz w:val="24"/>
          <w:szCs w:val="24"/>
        </w:rPr>
        <w:t>Student name:</w:t>
      </w:r>
      <w:r>
        <w:rPr>
          <w:rFonts w:ascii="Times New Roman" w:hAnsi="Times New Roman" w:cs="Times New Roman"/>
          <w:b/>
          <w:bCs/>
          <w:sz w:val="24"/>
          <w:szCs w:val="24"/>
        </w:rPr>
        <w:t xml:space="preserve"> </w:t>
      </w:r>
      <w:r w:rsidRPr="00643F36">
        <w:rPr>
          <w:rFonts w:ascii="Times New Roman" w:hAnsi="Times New Roman" w:cs="Times New Roman"/>
          <w:b/>
          <w:bCs/>
          <w:sz w:val="24"/>
          <w:szCs w:val="24"/>
        </w:rPr>
        <w:t xml:space="preserve">Viratbhai Limbachiya </w:t>
      </w:r>
    </w:p>
    <w:p w14:paraId="2F6E5F12" w14:textId="77777777" w:rsidR="000B7E7D" w:rsidRPr="00643F36" w:rsidRDefault="000B7E7D" w:rsidP="000B7E7D">
      <w:pPr>
        <w:spacing w:line="360" w:lineRule="auto"/>
        <w:jc w:val="center"/>
        <w:rPr>
          <w:rFonts w:ascii="Times New Roman" w:hAnsi="Times New Roman" w:cs="Times New Roman"/>
          <w:b/>
          <w:bCs/>
          <w:sz w:val="24"/>
          <w:szCs w:val="24"/>
        </w:rPr>
      </w:pPr>
    </w:p>
    <w:p w14:paraId="3841F6BA" w14:textId="77777777" w:rsidR="000B7E7D" w:rsidRPr="00643F36" w:rsidRDefault="000B7E7D" w:rsidP="000B7E7D">
      <w:pPr>
        <w:spacing w:line="360" w:lineRule="auto"/>
        <w:jc w:val="center"/>
        <w:rPr>
          <w:rFonts w:ascii="Times New Roman" w:hAnsi="Times New Roman" w:cs="Times New Roman"/>
          <w:b/>
          <w:bCs/>
          <w:sz w:val="24"/>
          <w:szCs w:val="24"/>
        </w:rPr>
      </w:pPr>
      <w:r w:rsidRPr="00643F36">
        <w:rPr>
          <w:rFonts w:ascii="Times New Roman" w:hAnsi="Times New Roman" w:cs="Times New Roman"/>
          <w:b/>
          <w:bCs/>
          <w:sz w:val="24"/>
          <w:szCs w:val="24"/>
        </w:rPr>
        <w:t>Student ID:</w:t>
      </w:r>
      <w:r>
        <w:rPr>
          <w:rFonts w:ascii="Times New Roman" w:hAnsi="Times New Roman" w:cs="Times New Roman"/>
          <w:b/>
          <w:bCs/>
          <w:sz w:val="24"/>
          <w:szCs w:val="24"/>
        </w:rPr>
        <w:t xml:space="preserve"> </w:t>
      </w:r>
      <w:r w:rsidRPr="00643F36">
        <w:rPr>
          <w:rFonts w:ascii="Times New Roman" w:hAnsi="Times New Roman" w:cs="Times New Roman"/>
          <w:b/>
          <w:bCs/>
          <w:sz w:val="24"/>
          <w:szCs w:val="24"/>
        </w:rPr>
        <w:t>2420851</w:t>
      </w:r>
    </w:p>
    <w:p w14:paraId="55A31875" w14:textId="77777777" w:rsidR="000B7E7D" w:rsidRPr="00643F36" w:rsidRDefault="000B7E7D" w:rsidP="000B7E7D">
      <w:pPr>
        <w:spacing w:line="360" w:lineRule="auto"/>
        <w:jc w:val="center"/>
        <w:rPr>
          <w:rFonts w:ascii="Times New Roman" w:hAnsi="Times New Roman" w:cs="Times New Roman"/>
          <w:b/>
          <w:bCs/>
          <w:sz w:val="24"/>
          <w:szCs w:val="24"/>
        </w:rPr>
      </w:pPr>
    </w:p>
    <w:p w14:paraId="6CEE2701" w14:textId="77777777" w:rsidR="000B7E7D" w:rsidRPr="00643F36" w:rsidRDefault="000B7E7D" w:rsidP="000B7E7D">
      <w:pPr>
        <w:spacing w:line="360" w:lineRule="auto"/>
        <w:jc w:val="center"/>
        <w:rPr>
          <w:rFonts w:ascii="Times New Roman" w:hAnsi="Times New Roman" w:cs="Times New Roman"/>
          <w:b/>
          <w:bCs/>
          <w:sz w:val="24"/>
          <w:szCs w:val="24"/>
        </w:rPr>
      </w:pPr>
      <w:r w:rsidRPr="00643F36">
        <w:rPr>
          <w:rFonts w:ascii="Times New Roman" w:hAnsi="Times New Roman" w:cs="Times New Roman"/>
          <w:b/>
          <w:bCs/>
          <w:sz w:val="24"/>
          <w:szCs w:val="24"/>
        </w:rPr>
        <w:t>Supervisor:</w:t>
      </w:r>
      <w:r>
        <w:rPr>
          <w:rFonts w:ascii="Times New Roman" w:hAnsi="Times New Roman" w:cs="Times New Roman"/>
          <w:b/>
          <w:bCs/>
          <w:sz w:val="24"/>
          <w:szCs w:val="24"/>
        </w:rPr>
        <w:t xml:space="preserve"> </w:t>
      </w:r>
      <w:r w:rsidRPr="00643F36">
        <w:rPr>
          <w:rFonts w:ascii="Times New Roman" w:hAnsi="Times New Roman" w:cs="Times New Roman"/>
          <w:b/>
          <w:bCs/>
          <w:sz w:val="24"/>
          <w:szCs w:val="24"/>
        </w:rPr>
        <w:t>Shahrukh Irfan</w:t>
      </w:r>
    </w:p>
    <w:p w14:paraId="075B3DCA" w14:textId="77777777" w:rsidR="000B7E7D" w:rsidRPr="00643F36" w:rsidRDefault="000B7E7D" w:rsidP="000B7E7D">
      <w:pPr>
        <w:spacing w:line="360" w:lineRule="auto"/>
        <w:jc w:val="center"/>
        <w:rPr>
          <w:rFonts w:ascii="Times New Roman" w:hAnsi="Times New Roman" w:cs="Times New Roman"/>
          <w:b/>
          <w:bCs/>
          <w:sz w:val="24"/>
          <w:szCs w:val="24"/>
        </w:rPr>
      </w:pPr>
    </w:p>
    <w:p w14:paraId="525E1B90" w14:textId="77777777" w:rsidR="000B7E7D" w:rsidRPr="00643F36" w:rsidRDefault="000B7E7D" w:rsidP="000B7E7D">
      <w:pPr>
        <w:spacing w:line="360" w:lineRule="auto"/>
        <w:jc w:val="center"/>
        <w:rPr>
          <w:rFonts w:ascii="Times New Roman" w:hAnsi="Times New Roman" w:cs="Times New Roman"/>
          <w:b/>
          <w:bCs/>
          <w:sz w:val="24"/>
          <w:szCs w:val="24"/>
        </w:rPr>
      </w:pPr>
      <w:r w:rsidRPr="00643F36">
        <w:rPr>
          <w:rFonts w:ascii="Times New Roman" w:hAnsi="Times New Roman" w:cs="Times New Roman"/>
          <w:b/>
          <w:bCs/>
          <w:sz w:val="24"/>
          <w:szCs w:val="24"/>
        </w:rPr>
        <w:t>Programme manager:</w:t>
      </w:r>
      <w:r>
        <w:rPr>
          <w:rFonts w:ascii="Times New Roman" w:hAnsi="Times New Roman" w:cs="Times New Roman"/>
          <w:b/>
          <w:bCs/>
          <w:sz w:val="24"/>
          <w:szCs w:val="24"/>
        </w:rPr>
        <w:t xml:space="preserve"> </w:t>
      </w:r>
      <w:r w:rsidRPr="00643F36">
        <w:rPr>
          <w:rFonts w:ascii="Times New Roman" w:hAnsi="Times New Roman" w:cs="Times New Roman"/>
          <w:b/>
          <w:bCs/>
          <w:sz w:val="24"/>
          <w:szCs w:val="24"/>
        </w:rPr>
        <w:t>Hoang Dang Nguyen</w:t>
      </w:r>
    </w:p>
    <w:p w14:paraId="7F545174" w14:textId="77777777" w:rsidR="000B7E7D" w:rsidRPr="002B033F" w:rsidRDefault="000B7E7D" w:rsidP="000B7E7D">
      <w:pPr>
        <w:spacing w:line="360" w:lineRule="auto"/>
        <w:jc w:val="both"/>
        <w:rPr>
          <w:rFonts w:ascii="Times New Roman" w:hAnsi="Times New Roman" w:cs="Times New Roman"/>
          <w:sz w:val="24"/>
          <w:szCs w:val="24"/>
        </w:rPr>
      </w:pPr>
    </w:p>
    <w:p w14:paraId="60C5CFC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br w:type="page"/>
      </w:r>
    </w:p>
    <w:p w14:paraId="1FC173F1" w14:textId="77777777" w:rsidR="000B7E7D" w:rsidRPr="002B033F" w:rsidRDefault="000B7E7D" w:rsidP="000B7E7D">
      <w:pPr>
        <w:pStyle w:val="ListParagraph"/>
        <w:numPr>
          <w:ilvl w:val="0"/>
          <w:numId w:val="1"/>
        </w:numPr>
        <w:spacing w:line="360" w:lineRule="auto"/>
        <w:contextualSpacing w:val="0"/>
        <w:jc w:val="both"/>
        <w:rPr>
          <w:rFonts w:ascii="Times New Roman" w:hAnsi="Times New Roman" w:cs="Times New Roman"/>
          <w:b/>
          <w:bCs/>
          <w:sz w:val="24"/>
          <w:szCs w:val="24"/>
        </w:rPr>
      </w:pPr>
      <w:r w:rsidRPr="002B033F">
        <w:rPr>
          <w:rFonts w:ascii="Times New Roman" w:hAnsi="Times New Roman" w:cs="Times New Roman"/>
          <w:b/>
          <w:bCs/>
          <w:sz w:val="24"/>
          <w:szCs w:val="24"/>
        </w:rPr>
        <w:lastRenderedPageBreak/>
        <w:t>Introduction</w:t>
      </w:r>
    </w:p>
    <w:p w14:paraId="5B89AC2E"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The subscription economy in the United Kingdom has significantly expanded in the last ten years. Recurring revenue models are used as the primary model of commercial </w:t>
      </w:r>
      <w:r>
        <w:rPr>
          <w:rFonts w:ascii="Times New Roman" w:hAnsi="Times New Roman" w:cs="Times New Roman"/>
          <w:sz w:val="24"/>
          <w:szCs w:val="24"/>
        </w:rPr>
        <w:t>organizations</w:t>
      </w:r>
      <w:r w:rsidRPr="002B033F">
        <w:rPr>
          <w:rFonts w:ascii="Times New Roman" w:hAnsi="Times New Roman" w:cs="Times New Roman"/>
          <w:sz w:val="24"/>
          <w:szCs w:val="24"/>
        </w:rPr>
        <w:t xml:space="preserve"> by services in media streaming, software-as-a-service, fitness, retail, and utilities. As of 2023, UKs subscription expenditure had topped over 2.4 billion </w:t>
      </w:r>
      <w:r>
        <w:rPr>
          <w:rFonts w:ascii="Times New Roman" w:hAnsi="Times New Roman" w:cs="Times New Roman"/>
          <w:sz w:val="24"/>
          <w:szCs w:val="24"/>
        </w:rPr>
        <w:t>pounds</w:t>
      </w:r>
      <w:r w:rsidRPr="002B033F">
        <w:rPr>
          <w:rFonts w:ascii="Times New Roman" w:hAnsi="Times New Roman" w:cs="Times New Roman"/>
          <w:sz w:val="24"/>
          <w:szCs w:val="24"/>
        </w:rPr>
        <w:t xml:space="preserve"> every year (Barclaycard, 2023), but it was also the time of the worst cost-of-living crisis the country had seen in 40 years.</w:t>
      </w:r>
    </w:p>
    <w:p w14:paraId="4B9F536D"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Pushed by supply shocks in the aftermath of the pandemic, the energy crisis in </w:t>
      </w:r>
      <w:r>
        <w:rPr>
          <w:rFonts w:ascii="Times New Roman" w:hAnsi="Times New Roman" w:cs="Times New Roman"/>
          <w:sz w:val="24"/>
          <w:szCs w:val="24"/>
        </w:rPr>
        <w:t>the Russia-Ukraine</w:t>
      </w:r>
      <w:r w:rsidRPr="002B033F">
        <w:rPr>
          <w:rFonts w:ascii="Times New Roman" w:hAnsi="Times New Roman" w:cs="Times New Roman"/>
          <w:sz w:val="24"/>
          <w:szCs w:val="24"/>
        </w:rPr>
        <w:t xml:space="preserve"> conflict, and ongoing inflation, the Consumer Price Index rose to 11.1% in October 2022 (</w:t>
      </w:r>
      <w:r>
        <w:rPr>
          <w:rFonts w:ascii="Times New Roman" w:hAnsi="Times New Roman" w:cs="Times New Roman"/>
          <w:sz w:val="24"/>
          <w:szCs w:val="24"/>
        </w:rPr>
        <w:t>ONS</w:t>
      </w:r>
      <w:r w:rsidRPr="002B033F">
        <w:rPr>
          <w:rFonts w:ascii="Times New Roman" w:hAnsi="Times New Roman" w:cs="Times New Roman"/>
          <w:sz w:val="24"/>
          <w:szCs w:val="24"/>
        </w:rPr>
        <w:t>, 2023)</w:t>
      </w:r>
      <w:r>
        <w:rPr>
          <w:rFonts w:ascii="Times New Roman" w:hAnsi="Times New Roman" w:cs="Times New Roman"/>
          <w:sz w:val="24"/>
          <w:szCs w:val="24"/>
        </w:rPr>
        <w:t xml:space="preserve">, </w:t>
      </w:r>
      <w:r w:rsidRPr="002B033F">
        <w:rPr>
          <w:rFonts w:ascii="Times New Roman" w:hAnsi="Times New Roman" w:cs="Times New Roman"/>
          <w:sz w:val="24"/>
          <w:szCs w:val="24"/>
        </w:rPr>
        <w:t>households experienced severe declines in their real-terms incomes. Agreement under strict control was given to discretionary subscription expenditure in this environment. According to a study conducted by Rahardja (2025), in 2022, more than 35% of consumers in the UK discontinued at least one subscription</w:t>
      </w:r>
      <w:r>
        <w:rPr>
          <w:rFonts w:ascii="Times New Roman" w:hAnsi="Times New Roman" w:cs="Times New Roman"/>
          <w:sz w:val="24"/>
          <w:szCs w:val="24"/>
        </w:rPr>
        <w:t>,</w:t>
      </w:r>
      <w:r w:rsidRPr="002B033F">
        <w:rPr>
          <w:rFonts w:ascii="Times New Roman" w:hAnsi="Times New Roman" w:cs="Times New Roman"/>
          <w:sz w:val="24"/>
          <w:szCs w:val="24"/>
        </w:rPr>
        <w:t xml:space="preserve"> claiming that they are value-conscious</w:t>
      </w:r>
      <w:r>
        <w:rPr>
          <w:rFonts w:ascii="Times New Roman" w:hAnsi="Times New Roman" w:cs="Times New Roman"/>
          <w:sz w:val="24"/>
          <w:szCs w:val="24"/>
        </w:rPr>
        <w:t>,</w:t>
      </w:r>
      <w:r w:rsidRPr="002B033F">
        <w:rPr>
          <w:rFonts w:ascii="Times New Roman" w:hAnsi="Times New Roman" w:cs="Times New Roman"/>
          <w:sz w:val="24"/>
          <w:szCs w:val="24"/>
        </w:rPr>
        <w:t xml:space="preserve"> and it is the main factor that influences their choice.</w:t>
      </w:r>
    </w:p>
    <w:p w14:paraId="3A5059F5"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conceptual model of explaining why some subscriptions survive consumer spending reduction</w:t>
      </w:r>
      <w:r>
        <w:rPr>
          <w:rFonts w:ascii="Times New Roman" w:hAnsi="Times New Roman" w:cs="Times New Roman"/>
          <w:sz w:val="24"/>
          <w:szCs w:val="24"/>
        </w:rPr>
        <w:t>,</w:t>
      </w:r>
      <w:r w:rsidRPr="002B033F">
        <w:rPr>
          <w:rFonts w:ascii="Times New Roman" w:hAnsi="Times New Roman" w:cs="Times New Roman"/>
          <w:sz w:val="24"/>
          <w:szCs w:val="24"/>
        </w:rPr>
        <w:t xml:space="preserve"> and others do not</w:t>
      </w:r>
      <w:r>
        <w:rPr>
          <w:rFonts w:ascii="Times New Roman" w:hAnsi="Times New Roman" w:cs="Times New Roman"/>
          <w:sz w:val="24"/>
          <w:szCs w:val="24"/>
        </w:rPr>
        <w:t>,</w:t>
      </w:r>
      <w:r w:rsidRPr="002B033F">
        <w:rPr>
          <w:rFonts w:ascii="Times New Roman" w:hAnsi="Times New Roman" w:cs="Times New Roman"/>
          <w:sz w:val="24"/>
          <w:szCs w:val="24"/>
        </w:rPr>
        <w:t xml:space="preserve"> is the basis of value-based pricing</w:t>
      </w:r>
      <w:r>
        <w:rPr>
          <w:rFonts w:ascii="Times New Roman" w:hAnsi="Times New Roman" w:cs="Times New Roman"/>
          <w:sz w:val="24"/>
          <w:szCs w:val="24"/>
        </w:rPr>
        <w:t>,</w:t>
      </w:r>
      <w:r w:rsidRPr="002B033F">
        <w:rPr>
          <w:rFonts w:ascii="Times New Roman" w:hAnsi="Times New Roman" w:cs="Times New Roman"/>
          <w:sz w:val="24"/>
          <w:szCs w:val="24"/>
        </w:rPr>
        <w:t xml:space="preserve"> which bases the price on the perceived value of the customer instead of </w:t>
      </w:r>
      <w:r>
        <w:rPr>
          <w:rFonts w:ascii="Times New Roman" w:hAnsi="Times New Roman" w:cs="Times New Roman"/>
          <w:sz w:val="24"/>
          <w:szCs w:val="24"/>
        </w:rPr>
        <w:t xml:space="preserve">the </w:t>
      </w:r>
      <w:r w:rsidRPr="002B033F">
        <w:rPr>
          <w:rFonts w:ascii="Times New Roman" w:hAnsi="Times New Roman" w:cs="Times New Roman"/>
          <w:sz w:val="24"/>
          <w:szCs w:val="24"/>
        </w:rPr>
        <w:t xml:space="preserve">cost of production or the price set by competitors. This proposal describes a secondary qualitative research study that will investigate </w:t>
      </w:r>
      <w:r>
        <w:rPr>
          <w:rFonts w:ascii="Times New Roman" w:hAnsi="Times New Roman" w:cs="Times New Roman"/>
          <w:sz w:val="24"/>
          <w:szCs w:val="24"/>
        </w:rPr>
        <w:t>the</w:t>
      </w:r>
      <w:r w:rsidRPr="002B033F">
        <w:rPr>
          <w:rFonts w:ascii="Times New Roman" w:hAnsi="Times New Roman" w:cs="Times New Roman"/>
          <w:sz w:val="24"/>
          <w:szCs w:val="24"/>
        </w:rPr>
        <w:t xml:space="preserve"> relationship in a systematic way.</w:t>
      </w:r>
    </w:p>
    <w:p w14:paraId="3797F248"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study is fully based on secondary data: available peer-reviewed academic sources, recognized industry magazines, government statistics</w:t>
      </w:r>
      <w:r>
        <w:rPr>
          <w:rFonts w:ascii="Times New Roman" w:hAnsi="Times New Roman" w:cs="Times New Roman"/>
          <w:sz w:val="24"/>
          <w:szCs w:val="24"/>
        </w:rPr>
        <w:t>,</w:t>
      </w:r>
      <w:r w:rsidRPr="002B033F">
        <w:rPr>
          <w:rFonts w:ascii="Times New Roman" w:hAnsi="Times New Roman" w:cs="Times New Roman"/>
          <w:sz w:val="24"/>
          <w:szCs w:val="24"/>
        </w:rPr>
        <w:t xml:space="preserve"> and valid market research. There is no primary data gathering involved. This method is methodologically suitable and </w:t>
      </w:r>
      <w:r>
        <w:rPr>
          <w:rFonts w:ascii="Times New Roman" w:hAnsi="Times New Roman" w:cs="Times New Roman"/>
          <w:sz w:val="24"/>
          <w:szCs w:val="24"/>
        </w:rPr>
        <w:t>academically</w:t>
      </w:r>
      <w:r w:rsidRPr="002B033F">
        <w:rPr>
          <w:rFonts w:ascii="Times New Roman" w:hAnsi="Times New Roman" w:cs="Times New Roman"/>
          <w:sz w:val="24"/>
          <w:szCs w:val="24"/>
        </w:rPr>
        <w:t xml:space="preserve"> rigorous, as there is a wide scope of published material on the subject</w:t>
      </w:r>
      <w:r>
        <w:rPr>
          <w:rFonts w:ascii="Times New Roman" w:hAnsi="Times New Roman" w:cs="Times New Roman"/>
          <w:sz w:val="24"/>
          <w:szCs w:val="24"/>
        </w:rPr>
        <w:t>,</w:t>
      </w:r>
      <w:r w:rsidRPr="002B033F">
        <w:rPr>
          <w:rFonts w:ascii="Times New Roman" w:hAnsi="Times New Roman" w:cs="Times New Roman"/>
          <w:sz w:val="24"/>
          <w:szCs w:val="24"/>
        </w:rPr>
        <w:t xml:space="preserve"> and the questions of the research are interpretive in nature.</w:t>
      </w:r>
    </w:p>
    <w:p w14:paraId="5B368BAC"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2. Background and Rationale</w:t>
      </w:r>
    </w:p>
    <w:p w14:paraId="56992551"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2.1 The UK Cost-of-Living Crisis and Subscription Behaviour</w:t>
      </w:r>
    </w:p>
    <w:p w14:paraId="4C397A7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According to ONS (2023), UK real household disposable income experienced a 2.5</w:t>
      </w:r>
      <w:r>
        <w:rPr>
          <w:rFonts w:ascii="Times New Roman" w:hAnsi="Times New Roman" w:cs="Times New Roman"/>
          <w:sz w:val="24"/>
          <w:szCs w:val="24"/>
        </w:rPr>
        <w:t xml:space="preserve">% </w:t>
      </w:r>
      <w:r w:rsidRPr="002B033F">
        <w:rPr>
          <w:rFonts w:ascii="Times New Roman" w:hAnsi="Times New Roman" w:cs="Times New Roman"/>
          <w:sz w:val="24"/>
          <w:szCs w:val="24"/>
        </w:rPr>
        <w:t>decline in 2022</w:t>
      </w:r>
      <w:r>
        <w:rPr>
          <w:rFonts w:ascii="Times New Roman" w:hAnsi="Times New Roman" w:cs="Times New Roman"/>
          <w:sz w:val="24"/>
          <w:szCs w:val="24"/>
        </w:rPr>
        <w:t xml:space="preserve">, </w:t>
      </w:r>
      <w:r w:rsidRPr="002B033F">
        <w:rPr>
          <w:rFonts w:ascii="Times New Roman" w:hAnsi="Times New Roman" w:cs="Times New Roman"/>
          <w:sz w:val="24"/>
          <w:szCs w:val="24"/>
        </w:rPr>
        <w:t xml:space="preserve">the highest annual reduction since the data has been recorded since 1955. According to Ofgem statistics, the average household will have tripled its energy bills between 2021 and 2023. It is against this context that there were significant structural changes in the subscription market. According to Telkmann, V (2025), in the UK, subscription video-on-demand (SVOD) churn in 1834 surged to 37% in 2022, compared to 19% in 2020. At the same time, the services that were perceived to provide </w:t>
      </w:r>
      <w:r w:rsidRPr="002B033F">
        <w:rPr>
          <w:rFonts w:ascii="Times New Roman" w:hAnsi="Times New Roman" w:cs="Times New Roman"/>
          <w:sz w:val="24"/>
          <w:szCs w:val="24"/>
        </w:rPr>
        <w:lastRenderedPageBreak/>
        <w:t>higher value (like Amazon Prime</w:t>
      </w:r>
      <w:r>
        <w:rPr>
          <w:rFonts w:ascii="Times New Roman" w:hAnsi="Times New Roman" w:cs="Times New Roman"/>
          <w:sz w:val="24"/>
          <w:szCs w:val="24"/>
        </w:rPr>
        <w:t>, which</w:t>
      </w:r>
      <w:r w:rsidRPr="002B033F">
        <w:rPr>
          <w:rFonts w:ascii="Times New Roman" w:hAnsi="Times New Roman" w:cs="Times New Roman"/>
          <w:sz w:val="24"/>
          <w:szCs w:val="24"/>
        </w:rPr>
        <w:t xml:space="preserve"> includes the delivery service, the streaming service, and the cloud storage one) showed significantly lower churn rates (Mintel, 2023).</w:t>
      </w:r>
    </w:p>
    <w:p w14:paraId="541C834B"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These contradicting results indicate that customer retention in economic distress is not only a matter of price level but rather a matter of </w:t>
      </w:r>
      <w:r>
        <w:rPr>
          <w:rFonts w:ascii="Times New Roman" w:hAnsi="Times New Roman" w:cs="Times New Roman"/>
          <w:sz w:val="24"/>
          <w:szCs w:val="24"/>
        </w:rPr>
        <w:t xml:space="preserve">the </w:t>
      </w:r>
      <w:r w:rsidRPr="002B033F">
        <w:rPr>
          <w:rFonts w:ascii="Times New Roman" w:hAnsi="Times New Roman" w:cs="Times New Roman"/>
          <w:sz w:val="24"/>
          <w:szCs w:val="24"/>
        </w:rPr>
        <w:t>relation between price and perceived value</w:t>
      </w:r>
      <w:r>
        <w:rPr>
          <w:rFonts w:ascii="Times New Roman" w:hAnsi="Times New Roman" w:cs="Times New Roman"/>
          <w:sz w:val="24"/>
          <w:szCs w:val="24"/>
        </w:rPr>
        <w:t>,</w:t>
      </w:r>
      <w:r w:rsidRPr="002B033F">
        <w:rPr>
          <w:rFonts w:ascii="Times New Roman" w:hAnsi="Times New Roman" w:cs="Times New Roman"/>
          <w:sz w:val="24"/>
          <w:szCs w:val="24"/>
        </w:rPr>
        <w:t xml:space="preserve"> which is the main assumption of the value-based pricing theory.</w:t>
      </w:r>
    </w:p>
    <w:p w14:paraId="64E5C071"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2.2 Value-Based Pricing: Theoretical Framework.</w:t>
      </w:r>
    </w:p>
    <w:p w14:paraId="5D1493F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As theorised by Hoseason</w:t>
      </w:r>
      <w:r>
        <w:rPr>
          <w:rFonts w:ascii="Times New Roman" w:hAnsi="Times New Roman" w:cs="Times New Roman"/>
          <w:sz w:val="24"/>
          <w:szCs w:val="24"/>
        </w:rPr>
        <w:t xml:space="preserve"> </w:t>
      </w:r>
      <w:r w:rsidRPr="002B033F">
        <w:rPr>
          <w:rFonts w:ascii="Times New Roman" w:hAnsi="Times New Roman" w:cs="Times New Roman"/>
          <w:sz w:val="24"/>
          <w:szCs w:val="24"/>
        </w:rPr>
        <w:t>(2003) and explained by Anderson et al. (2006), value-based pricing states that prices ought to reflect the economic and psychological worth that they provide to customers against their next best alternative. This is complicated in subscription markets where payment decisions are recurring: the customers must repeat the decision that the service is worth the price, and this introduces a retention risk (Lemon and Verhoeff, 2016).</w:t>
      </w:r>
    </w:p>
    <w:p w14:paraId="797DD15B"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According to Nagle and Muller (2018), cost-plus pricing (price based on internal cost structures), competition-based pricing (price based on market benchmarks), and value-based pricing (price based on customer value perception) are different. Their contribution, together with that of </w:t>
      </w:r>
      <w:r>
        <w:rPr>
          <w:rFonts w:ascii="Times New Roman" w:hAnsi="Times New Roman" w:cs="Times New Roman"/>
          <w:sz w:val="24"/>
          <w:szCs w:val="24"/>
        </w:rPr>
        <w:t>Zeithaml's</w:t>
      </w:r>
      <w:r w:rsidRPr="002B033F">
        <w:rPr>
          <w:rFonts w:ascii="Times New Roman" w:hAnsi="Times New Roman" w:cs="Times New Roman"/>
          <w:sz w:val="24"/>
          <w:szCs w:val="24"/>
        </w:rPr>
        <w:t xml:space="preserve"> (1988) model of perceived value, which is a ratio of the perceived benefits to perceived sacrifice</w:t>
      </w:r>
      <w:r>
        <w:rPr>
          <w:rFonts w:ascii="Times New Roman" w:hAnsi="Times New Roman" w:cs="Times New Roman"/>
          <w:sz w:val="24"/>
          <w:szCs w:val="24"/>
        </w:rPr>
        <w:t>,</w:t>
      </w:r>
      <w:r w:rsidRPr="002B033F">
        <w:rPr>
          <w:rFonts w:ascii="Times New Roman" w:hAnsi="Times New Roman" w:cs="Times New Roman"/>
          <w:sz w:val="24"/>
          <w:szCs w:val="24"/>
        </w:rPr>
        <w:t xml:space="preserve"> is the theoretical foundation of this paper.</w:t>
      </w:r>
    </w:p>
    <w:p w14:paraId="6AD593B5"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2.3 Research Gap</w:t>
      </w:r>
    </w:p>
    <w:p w14:paraId="1E906624"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The systematic literature search shows that though value-based pricing is thoroughly researched in terms of both B2B and FMCG (Anderson et al., 2006; Hinterhuber, 2008), specific to the UK and its macroeconomic crisis, the need to apply value-based pricing to retain subscribers at the B2C level is under-researched. </w:t>
      </w:r>
      <w:r>
        <w:rPr>
          <w:rFonts w:ascii="Times New Roman" w:hAnsi="Times New Roman" w:cs="Times New Roman"/>
          <w:sz w:val="24"/>
          <w:szCs w:val="24"/>
        </w:rPr>
        <w:t>Most of</w:t>
      </w:r>
      <w:r w:rsidRPr="002B033F">
        <w:rPr>
          <w:rFonts w:ascii="Times New Roman" w:hAnsi="Times New Roman" w:cs="Times New Roman"/>
          <w:sz w:val="24"/>
          <w:szCs w:val="24"/>
        </w:rPr>
        <w:t xml:space="preserve"> the subscription churn research concentrates on the quality of products, user experience</w:t>
      </w:r>
      <w:r>
        <w:rPr>
          <w:rFonts w:ascii="Times New Roman" w:hAnsi="Times New Roman" w:cs="Times New Roman"/>
          <w:sz w:val="24"/>
          <w:szCs w:val="24"/>
        </w:rPr>
        <w:t>,</w:t>
      </w:r>
      <w:r w:rsidRPr="002B033F">
        <w:rPr>
          <w:rFonts w:ascii="Times New Roman" w:hAnsi="Times New Roman" w:cs="Times New Roman"/>
          <w:sz w:val="24"/>
          <w:szCs w:val="24"/>
        </w:rPr>
        <w:t xml:space="preserve"> and interface design (Gupta and Zeithaml, 2006), where pricing is a lesser variable. This </w:t>
      </w:r>
      <w:r>
        <w:rPr>
          <w:rFonts w:ascii="Times New Roman" w:hAnsi="Times New Roman" w:cs="Times New Roman"/>
          <w:sz w:val="24"/>
          <w:szCs w:val="24"/>
        </w:rPr>
        <w:t xml:space="preserve">study </w:t>
      </w:r>
      <w:r w:rsidRPr="002B033F">
        <w:rPr>
          <w:rFonts w:ascii="Times New Roman" w:hAnsi="Times New Roman" w:cs="Times New Roman"/>
          <w:sz w:val="24"/>
          <w:szCs w:val="24"/>
        </w:rPr>
        <w:t>fills this gap.</w:t>
      </w:r>
    </w:p>
    <w:p w14:paraId="24AB2F66"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3. Research Aim</w:t>
      </w:r>
    </w:p>
    <w:p w14:paraId="564617FF"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To examine how value-based pricing strategies influence customer subscription retention in the UK during the cost-of-living crisis</w:t>
      </w:r>
      <w:r w:rsidRPr="002B033F">
        <w:rPr>
          <w:rFonts w:ascii="Times New Roman" w:hAnsi="Times New Roman" w:cs="Times New Roman"/>
          <w:i/>
          <w:iCs/>
          <w:sz w:val="24"/>
          <w:szCs w:val="24"/>
        </w:rPr>
        <w:t>.</w:t>
      </w:r>
    </w:p>
    <w:p w14:paraId="5A137777"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4. Research Objectives</w:t>
      </w:r>
    </w:p>
    <w:p w14:paraId="37DAE44D"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following four objectives operationalise the research aim:</w:t>
      </w:r>
    </w:p>
    <w:p w14:paraId="6375302B" w14:textId="77777777" w:rsidR="000B7E7D" w:rsidRPr="002B033F" w:rsidRDefault="000B7E7D" w:rsidP="000B7E7D">
      <w:pPr>
        <w:pStyle w:val="ListParagraph"/>
        <w:numPr>
          <w:ilvl w:val="0"/>
          <w:numId w:val="2"/>
        </w:numPr>
        <w:spacing w:line="360" w:lineRule="auto"/>
        <w:contextualSpacing w:val="0"/>
        <w:jc w:val="both"/>
        <w:rPr>
          <w:rFonts w:ascii="Times New Roman" w:hAnsi="Times New Roman" w:cs="Times New Roman"/>
          <w:sz w:val="24"/>
          <w:szCs w:val="24"/>
        </w:rPr>
      </w:pPr>
      <w:r w:rsidRPr="002B033F">
        <w:rPr>
          <w:rFonts w:ascii="Times New Roman" w:hAnsi="Times New Roman" w:cs="Times New Roman"/>
          <w:sz w:val="24"/>
          <w:szCs w:val="24"/>
        </w:rPr>
        <w:t xml:space="preserve">To explore the concept of value-based pricing and its application in subscription-based business models through existing theoretical and empirical literature. </w:t>
      </w:r>
    </w:p>
    <w:p w14:paraId="21C5C56E" w14:textId="77777777" w:rsidR="000B7E7D" w:rsidRPr="002B033F" w:rsidRDefault="000B7E7D" w:rsidP="000B7E7D">
      <w:pPr>
        <w:pStyle w:val="ListParagraph"/>
        <w:numPr>
          <w:ilvl w:val="0"/>
          <w:numId w:val="2"/>
        </w:numPr>
        <w:spacing w:line="360" w:lineRule="auto"/>
        <w:contextualSpacing w:val="0"/>
        <w:jc w:val="both"/>
        <w:rPr>
          <w:rFonts w:ascii="Times New Roman" w:hAnsi="Times New Roman" w:cs="Times New Roman"/>
          <w:sz w:val="24"/>
          <w:szCs w:val="24"/>
        </w:rPr>
      </w:pPr>
      <w:r w:rsidRPr="002B033F">
        <w:rPr>
          <w:rFonts w:ascii="Times New Roman" w:hAnsi="Times New Roman" w:cs="Times New Roman"/>
          <w:sz w:val="24"/>
          <w:szCs w:val="24"/>
        </w:rPr>
        <w:lastRenderedPageBreak/>
        <w:t xml:space="preserve">To examine secondary evidence of customer perceptions of pricing fairness and value during the UK cost-of-living crisis (2021–2024). </w:t>
      </w:r>
    </w:p>
    <w:p w14:paraId="3B33BE57" w14:textId="77777777" w:rsidR="000B7E7D" w:rsidRPr="002B033F" w:rsidRDefault="000B7E7D" w:rsidP="000B7E7D">
      <w:pPr>
        <w:pStyle w:val="ListParagraph"/>
        <w:numPr>
          <w:ilvl w:val="0"/>
          <w:numId w:val="2"/>
        </w:numPr>
        <w:spacing w:line="360" w:lineRule="auto"/>
        <w:contextualSpacing w:val="0"/>
        <w:jc w:val="both"/>
        <w:rPr>
          <w:rFonts w:ascii="Times New Roman" w:hAnsi="Times New Roman" w:cs="Times New Roman"/>
          <w:sz w:val="24"/>
          <w:szCs w:val="24"/>
        </w:rPr>
      </w:pPr>
      <w:r w:rsidRPr="002B033F">
        <w:rPr>
          <w:rFonts w:ascii="Times New Roman" w:hAnsi="Times New Roman" w:cs="Times New Roman"/>
          <w:sz w:val="24"/>
          <w:szCs w:val="24"/>
        </w:rPr>
        <w:t xml:space="preserve">To analyse the relationship between value-based pricing strategies and subscription retention rates, as evidenced in published studies and industry reports. </w:t>
      </w:r>
    </w:p>
    <w:p w14:paraId="4B19DDFB" w14:textId="77777777" w:rsidR="000B7E7D" w:rsidRPr="002B033F" w:rsidRDefault="000B7E7D" w:rsidP="000B7E7D">
      <w:pPr>
        <w:pStyle w:val="ListParagraph"/>
        <w:numPr>
          <w:ilvl w:val="0"/>
          <w:numId w:val="2"/>
        </w:numPr>
        <w:spacing w:line="360" w:lineRule="auto"/>
        <w:contextualSpacing w:val="0"/>
        <w:jc w:val="both"/>
        <w:rPr>
          <w:rFonts w:ascii="Times New Roman" w:hAnsi="Times New Roman" w:cs="Times New Roman"/>
          <w:sz w:val="24"/>
          <w:szCs w:val="24"/>
        </w:rPr>
      </w:pPr>
      <w:r w:rsidRPr="002B033F">
        <w:rPr>
          <w:rFonts w:ascii="Times New Roman" w:hAnsi="Times New Roman" w:cs="Times New Roman"/>
          <w:sz w:val="24"/>
          <w:szCs w:val="24"/>
        </w:rPr>
        <w:t>To recommend evidence-based pricing and retention strategies, drawn from the secondary literature, that subscription businesses can adopt to reduce churn during periods of financial pressure.</w:t>
      </w:r>
    </w:p>
    <w:p w14:paraId="3A65BFE0"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5. Research Questions</w:t>
      </w:r>
    </w:p>
    <w:p w14:paraId="6C7EB81C"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following research questions guide the systematic review and thematic analysis:</w:t>
      </w:r>
    </w:p>
    <w:p w14:paraId="5469EBCD"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b/>
          <w:bCs/>
          <w:sz w:val="24"/>
          <w:szCs w:val="24"/>
        </w:rPr>
        <w:t>RQ1:</w:t>
      </w:r>
      <w:r w:rsidRPr="002B033F">
        <w:rPr>
          <w:rFonts w:ascii="Times New Roman" w:hAnsi="Times New Roman" w:cs="Times New Roman"/>
          <w:sz w:val="24"/>
          <w:szCs w:val="24"/>
        </w:rPr>
        <w:t xml:space="preserve"> How is value-based pricing defined and applied in subscription-based business models within the existing theoretical and empirical literature?</w:t>
      </w:r>
    </w:p>
    <w:p w14:paraId="7E880B62"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b/>
          <w:bCs/>
          <w:sz w:val="24"/>
          <w:szCs w:val="24"/>
        </w:rPr>
        <w:t>RQ2:</w:t>
      </w:r>
      <w:r w:rsidRPr="002B033F">
        <w:rPr>
          <w:rFonts w:ascii="Times New Roman" w:hAnsi="Times New Roman" w:cs="Times New Roman"/>
          <w:sz w:val="24"/>
          <w:szCs w:val="24"/>
        </w:rPr>
        <w:t xml:space="preserve"> What does secondary evidence reveal about customer perceptions of pricing fairness and value during the UK cost-of-living crisis (2021–2024)?</w:t>
      </w:r>
    </w:p>
    <w:p w14:paraId="4429AEBB"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b/>
          <w:bCs/>
          <w:sz w:val="24"/>
          <w:szCs w:val="24"/>
        </w:rPr>
        <w:t>RQ3:</w:t>
      </w:r>
      <w:r w:rsidRPr="002B033F">
        <w:rPr>
          <w:rFonts w:ascii="Times New Roman" w:hAnsi="Times New Roman" w:cs="Times New Roman"/>
          <w:sz w:val="24"/>
          <w:szCs w:val="24"/>
        </w:rPr>
        <w:t xml:space="preserve"> What relationship exists between value-based pricing strategies and subscription retention rates, as evidenced in published studies and industry reports?</w:t>
      </w:r>
    </w:p>
    <w:p w14:paraId="0E2106C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b/>
          <w:bCs/>
          <w:sz w:val="24"/>
          <w:szCs w:val="24"/>
        </w:rPr>
        <w:t>RQ4:</w:t>
      </w:r>
      <w:r w:rsidRPr="002B033F">
        <w:rPr>
          <w:rFonts w:ascii="Times New Roman" w:hAnsi="Times New Roman" w:cs="Times New Roman"/>
          <w:sz w:val="24"/>
          <w:szCs w:val="24"/>
        </w:rPr>
        <w:t xml:space="preserve"> What evidence-based pricing and retention strategies does secondary literature recommend for subscription businesses to reduce churn during periods of financial pressure?</w:t>
      </w:r>
    </w:p>
    <w:p w14:paraId="240E3878"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6. Research Methodology</w:t>
      </w:r>
    </w:p>
    <w:p w14:paraId="50991934" w14:textId="77777777" w:rsidR="000B7E7D" w:rsidRPr="002B033F" w:rsidRDefault="000B7E7D" w:rsidP="000B7E7D">
      <w:pPr>
        <w:spacing w:line="360" w:lineRule="auto"/>
        <w:jc w:val="both"/>
        <w:rPr>
          <w:rFonts w:ascii="Times New Roman" w:hAnsi="Times New Roman" w:cs="Times New Roman"/>
          <w:b/>
          <w:bCs/>
          <w:sz w:val="24"/>
          <w:szCs w:val="24"/>
        </w:rPr>
      </w:pPr>
      <w:r w:rsidRPr="002B033F">
        <w:rPr>
          <w:rFonts w:ascii="Times New Roman" w:hAnsi="Times New Roman" w:cs="Times New Roman"/>
          <w:b/>
          <w:bCs/>
          <w:sz w:val="24"/>
          <w:szCs w:val="24"/>
        </w:rPr>
        <w:t>6.1 Research Philosophy: Interpretivism</w:t>
      </w:r>
    </w:p>
    <w:p w14:paraId="1C68AFEB"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present research follows an interpretivist philosophical approach. Interpretivism believes that the subjective meanings and the context of human behaviour and social phenomena</w:t>
      </w:r>
      <w:r>
        <w:rPr>
          <w:rFonts w:ascii="Times New Roman" w:hAnsi="Times New Roman" w:cs="Times New Roman"/>
          <w:sz w:val="24"/>
          <w:szCs w:val="24"/>
        </w:rPr>
        <w:t>,</w:t>
      </w:r>
      <w:r w:rsidRPr="002B033F">
        <w:rPr>
          <w:rFonts w:ascii="Times New Roman" w:hAnsi="Times New Roman" w:cs="Times New Roman"/>
          <w:sz w:val="24"/>
          <w:szCs w:val="24"/>
        </w:rPr>
        <w:t xml:space="preserve"> such as consumer pricing perceptions, value judgements, and retention decisions</w:t>
      </w:r>
      <w:r>
        <w:rPr>
          <w:rFonts w:ascii="Times New Roman" w:hAnsi="Times New Roman" w:cs="Times New Roman"/>
          <w:sz w:val="24"/>
          <w:szCs w:val="24"/>
        </w:rPr>
        <w:t>,</w:t>
      </w:r>
      <w:r w:rsidRPr="002B033F">
        <w:rPr>
          <w:rFonts w:ascii="Times New Roman" w:hAnsi="Times New Roman" w:cs="Times New Roman"/>
          <w:sz w:val="24"/>
          <w:szCs w:val="24"/>
        </w:rPr>
        <w:t xml:space="preserve"> cannot be sufficiently explained by positivist and hypothesis-testing methods (Bryman, 2016; Saunders et al., 2011). A lens based on interpretivism would be suitable in this case since:</w:t>
      </w:r>
    </w:p>
    <w:p w14:paraId="77317D8B" w14:textId="77777777" w:rsidR="000B7E7D" w:rsidRPr="002A44B2" w:rsidRDefault="000B7E7D" w:rsidP="000B7E7D">
      <w:pPr>
        <w:pStyle w:val="ListParagraph"/>
        <w:numPr>
          <w:ilvl w:val="0"/>
          <w:numId w:val="6"/>
        </w:numPr>
        <w:spacing w:line="360" w:lineRule="auto"/>
        <w:contextualSpacing w:val="0"/>
        <w:jc w:val="both"/>
        <w:rPr>
          <w:rFonts w:ascii="Times New Roman" w:hAnsi="Times New Roman" w:cs="Times New Roman"/>
          <w:sz w:val="24"/>
          <w:szCs w:val="24"/>
        </w:rPr>
      </w:pPr>
      <w:r w:rsidRPr="002A44B2">
        <w:rPr>
          <w:rFonts w:ascii="Times New Roman" w:hAnsi="Times New Roman" w:cs="Times New Roman"/>
          <w:sz w:val="24"/>
          <w:szCs w:val="24"/>
        </w:rPr>
        <w:t>The retention of subscriptions is not a strictly objective result, but is mediated by the subjective evaluation of value by customers.</w:t>
      </w:r>
    </w:p>
    <w:p w14:paraId="40AA4005" w14:textId="77777777" w:rsidR="000B7E7D" w:rsidRPr="002A44B2" w:rsidRDefault="000B7E7D" w:rsidP="000B7E7D">
      <w:pPr>
        <w:pStyle w:val="ListParagraph"/>
        <w:numPr>
          <w:ilvl w:val="0"/>
          <w:numId w:val="6"/>
        </w:numPr>
        <w:spacing w:line="360" w:lineRule="auto"/>
        <w:contextualSpacing w:val="0"/>
        <w:jc w:val="both"/>
        <w:rPr>
          <w:rFonts w:ascii="Times New Roman" w:hAnsi="Times New Roman" w:cs="Times New Roman"/>
          <w:sz w:val="24"/>
          <w:szCs w:val="24"/>
        </w:rPr>
      </w:pPr>
      <w:r w:rsidRPr="002A44B2">
        <w:rPr>
          <w:rFonts w:ascii="Times New Roman" w:hAnsi="Times New Roman" w:cs="Times New Roman"/>
          <w:sz w:val="24"/>
          <w:szCs w:val="24"/>
        </w:rPr>
        <w:t>The cost-of-living crisis is a phenomenon that is constructed socially and economically, and the impacts on consumer psychology cannot be measured in terms of numbers only.</w:t>
      </w:r>
    </w:p>
    <w:p w14:paraId="5E66E9D7" w14:textId="77777777" w:rsidR="000B7E7D" w:rsidRPr="002A44B2" w:rsidRDefault="000B7E7D" w:rsidP="000B7E7D">
      <w:pPr>
        <w:pStyle w:val="ListParagraph"/>
        <w:numPr>
          <w:ilvl w:val="0"/>
          <w:numId w:val="6"/>
        </w:numPr>
        <w:spacing w:line="360" w:lineRule="auto"/>
        <w:contextualSpacing w:val="0"/>
        <w:jc w:val="both"/>
        <w:rPr>
          <w:rFonts w:ascii="Times New Roman" w:hAnsi="Times New Roman" w:cs="Times New Roman"/>
          <w:sz w:val="24"/>
          <w:szCs w:val="24"/>
        </w:rPr>
      </w:pPr>
      <w:r w:rsidRPr="002A44B2">
        <w:rPr>
          <w:rFonts w:ascii="Times New Roman" w:hAnsi="Times New Roman" w:cs="Times New Roman"/>
          <w:sz w:val="24"/>
          <w:szCs w:val="24"/>
        </w:rPr>
        <w:t>The secondary sources in terms of scope, such as qualitative industry surveys and interpretive scholarly research, are the ones that would be best analysed using an interpretive framework.</w:t>
      </w:r>
    </w:p>
    <w:p w14:paraId="2D25B7C5" w14:textId="77777777" w:rsidR="000B7E7D" w:rsidRPr="00936AB9" w:rsidRDefault="000B7E7D" w:rsidP="000B7E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6.2 </w:t>
      </w:r>
      <w:r w:rsidRPr="00936AB9">
        <w:rPr>
          <w:rFonts w:ascii="Times New Roman" w:hAnsi="Times New Roman" w:cs="Times New Roman"/>
          <w:b/>
          <w:bCs/>
          <w:sz w:val="24"/>
          <w:szCs w:val="24"/>
        </w:rPr>
        <w:t>Research Approach: Inductive</w:t>
      </w:r>
    </w:p>
    <w:p w14:paraId="1B07D22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 xml:space="preserve"> Inductive is the type of research approach in which the researcher starts by researching one factor or phenomenon and then extends the definition of that phenomenon and area of interest to other related ones.</w:t>
      </w:r>
    </w:p>
    <w:p w14:paraId="161667AF"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philosophical method followed is an inductive one, which is in line with the interpretivist philosophy. This study does not start with set hypotheses to be measured by the data</w:t>
      </w:r>
      <w:r>
        <w:rPr>
          <w:rFonts w:ascii="Times New Roman" w:hAnsi="Times New Roman" w:cs="Times New Roman"/>
          <w:sz w:val="24"/>
          <w:szCs w:val="24"/>
        </w:rPr>
        <w:t>,</w:t>
      </w:r>
      <w:r w:rsidRPr="002B033F">
        <w:rPr>
          <w:rFonts w:ascii="Times New Roman" w:hAnsi="Times New Roman" w:cs="Times New Roman"/>
          <w:sz w:val="24"/>
          <w:szCs w:val="24"/>
        </w:rPr>
        <w:t xml:space="preserve"> but lets themes and theoretical propositions </w:t>
      </w:r>
      <w:r>
        <w:rPr>
          <w:rFonts w:ascii="Times New Roman" w:hAnsi="Times New Roman" w:cs="Times New Roman"/>
          <w:sz w:val="24"/>
          <w:szCs w:val="24"/>
        </w:rPr>
        <w:t>emerge from</w:t>
      </w:r>
      <w:r w:rsidRPr="002B033F">
        <w:rPr>
          <w:rFonts w:ascii="Times New Roman" w:hAnsi="Times New Roman" w:cs="Times New Roman"/>
          <w:sz w:val="24"/>
          <w:szCs w:val="24"/>
        </w:rPr>
        <w:t xml:space="preserve"> the secondary literature itself (Bryman, 2016). It would be especially fitting because the intersection of value-based pricing, subscription retention, and the UK cost-of-living crisis is a relatively new research setup in which pre-specified hypotheses would be too early to draw.</w:t>
      </w:r>
    </w:p>
    <w:p w14:paraId="7494508E"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6.3 Research Design: Secondary Qualitative / Systematic Literature Review.</w:t>
      </w:r>
    </w:p>
    <w:p w14:paraId="78E34953"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study will use a secondary qualitative design, which is a systematic literature review supplemented with thematic analysis. The choice of this design is explained by the following reasons:</w:t>
      </w:r>
    </w:p>
    <w:p w14:paraId="4280EB2A"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Why Secondary Data?</w:t>
      </w:r>
    </w:p>
    <w:p w14:paraId="66CA8764"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Secondary data is the information that is gathered and published by other people to be used in the current study (Saunders et al., 2011). Secondary data is used in this situation </w:t>
      </w:r>
      <w:r>
        <w:rPr>
          <w:rFonts w:ascii="Times New Roman" w:hAnsi="Times New Roman" w:cs="Times New Roman"/>
          <w:sz w:val="24"/>
          <w:szCs w:val="24"/>
        </w:rPr>
        <w:t>appropriately and rigorously</w:t>
      </w:r>
      <w:r w:rsidRPr="002B033F">
        <w:rPr>
          <w:rFonts w:ascii="Times New Roman" w:hAnsi="Times New Roman" w:cs="Times New Roman"/>
          <w:sz w:val="24"/>
          <w:szCs w:val="24"/>
        </w:rPr>
        <w:t xml:space="preserve"> as:</w:t>
      </w:r>
    </w:p>
    <w:p w14:paraId="02B8FF11" w14:textId="77777777" w:rsidR="000B7E7D" w:rsidRPr="00936AB9" w:rsidRDefault="000B7E7D" w:rsidP="000B7E7D">
      <w:pPr>
        <w:pStyle w:val="ListParagraph"/>
        <w:numPr>
          <w:ilvl w:val="0"/>
          <w:numId w:val="3"/>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 core variables of this study, which are value-based pricing, perceived value, price fairness, subscription churn, and consumer behaviour in the UK during the cost-of-living crisis, are already covered in a large amount of peer-reviewed literature, government statistics, and industry research.</w:t>
      </w:r>
    </w:p>
    <w:p w14:paraId="0E1DECB2" w14:textId="77777777" w:rsidR="000B7E7D" w:rsidRPr="00936AB9" w:rsidRDefault="000B7E7D" w:rsidP="000B7E7D">
      <w:pPr>
        <w:pStyle w:val="ListParagraph"/>
        <w:numPr>
          <w:ilvl w:val="0"/>
          <w:numId w:val="3"/>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 xml:space="preserve">The range of synthesis of secondary data is extensive </w:t>
      </w:r>
      <w:r>
        <w:rPr>
          <w:rFonts w:ascii="Times New Roman" w:hAnsi="Times New Roman" w:cs="Times New Roman"/>
          <w:sz w:val="24"/>
          <w:szCs w:val="24"/>
        </w:rPr>
        <w:t>across</w:t>
      </w:r>
      <w:r w:rsidRPr="00936AB9">
        <w:rPr>
          <w:rFonts w:ascii="Times New Roman" w:hAnsi="Times New Roman" w:cs="Times New Roman"/>
          <w:sz w:val="24"/>
          <w:szCs w:val="24"/>
        </w:rPr>
        <w:t xml:space="preserve"> many contexts, </w:t>
      </w:r>
      <w:r>
        <w:rPr>
          <w:rFonts w:ascii="Times New Roman" w:hAnsi="Times New Roman" w:cs="Times New Roman"/>
          <w:sz w:val="24"/>
          <w:szCs w:val="24"/>
        </w:rPr>
        <w:t>times</w:t>
      </w:r>
      <w:r w:rsidRPr="00936AB9">
        <w:rPr>
          <w:rFonts w:ascii="Times New Roman" w:hAnsi="Times New Roman" w:cs="Times New Roman"/>
          <w:sz w:val="24"/>
          <w:szCs w:val="24"/>
        </w:rPr>
        <w:t xml:space="preserve">, and </w:t>
      </w:r>
      <w:r>
        <w:rPr>
          <w:rFonts w:ascii="Times New Roman" w:hAnsi="Times New Roman" w:cs="Times New Roman"/>
          <w:sz w:val="24"/>
          <w:szCs w:val="24"/>
        </w:rPr>
        <w:t>populations</w:t>
      </w:r>
      <w:r w:rsidRPr="00936AB9">
        <w:rPr>
          <w:rFonts w:ascii="Times New Roman" w:hAnsi="Times New Roman" w:cs="Times New Roman"/>
          <w:sz w:val="24"/>
          <w:szCs w:val="24"/>
        </w:rPr>
        <w:t>, compared with a single primary study (Bryman, 2016).</w:t>
      </w:r>
    </w:p>
    <w:p w14:paraId="2D0E2104" w14:textId="77777777" w:rsidR="000B7E7D" w:rsidRPr="002A44B2"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It is not that the research questions are conceptual and relational</w:t>
      </w:r>
      <w:r>
        <w:rPr>
          <w:rFonts w:ascii="Times New Roman" w:hAnsi="Times New Roman" w:cs="Times New Roman"/>
          <w:sz w:val="24"/>
          <w:szCs w:val="24"/>
        </w:rPr>
        <w:t>,</w:t>
      </w:r>
      <w:r w:rsidRPr="002B033F">
        <w:rPr>
          <w:rFonts w:ascii="Times New Roman" w:hAnsi="Times New Roman" w:cs="Times New Roman"/>
          <w:sz w:val="24"/>
          <w:szCs w:val="24"/>
        </w:rPr>
        <w:t xml:space="preserve"> as they attempt to discern patterns and mechanisms through existing literature</w:t>
      </w:r>
      <w:r>
        <w:rPr>
          <w:rFonts w:ascii="Times New Roman" w:hAnsi="Times New Roman" w:cs="Times New Roman"/>
          <w:sz w:val="24"/>
          <w:szCs w:val="24"/>
        </w:rPr>
        <w:t>,</w:t>
      </w:r>
      <w:r w:rsidRPr="002B033F">
        <w:rPr>
          <w:rFonts w:ascii="Times New Roman" w:hAnsi="Times New Roman" w:cs="Times New Roman"/>
          <w:sz w:val="24"/>
          <w:szCs w:val="24"/>
        </w:rPr>
        <w:t xml:space="preserve"> as opposed to necessitating the gathering of original empirical data.</w:t>
      </w:r>
      <w:r>
        <w:rPr>
          <w:rFonts w:ascii="Times New Roman" w:hAnsi="Times New Roman" w:cs="Times New Roman"/>
          <w:sz w:val="24"/>
          <w:szCs w:val="24"/>
        </w:rPr>
        <w:t xml:space="preserve"> </w:t>
      </w:r>
      <w:r w:rsidRPr="002A44B2">
        <w:rPr>
          <w:rFonts w:ascii="Times New Roman" w:hAnsi="Times New Roman" w:cs="Times New Roman"/>
          <w:sz w:val="24"/>
          <w:szCs w:val="24"/>
        </w:rPr>
        <w:t>Secondary research does not involve the ethical and logistical issues of surveying or interviewing human subjects and nevertheless produces credible and practically helpful information.</w:t>
      </w:r>
      <w:r>
        <w:rPr>
          <w:rFonts w:ascii="Times New Roman" w:hAnsi="Times New Roman" w:cs="Times New Roman"/>
          <w:sz w:val="24"/>
          <w:szCs w:val="24"/>
        </w:rPr>
        <w:t xml:space="preserve"> </w:t>
      </w:r>
      <w:r w:rsidRPr="002A44B2">
        <w:rPr>
          <w:rFonts w:ascii="Times New Roman" w:hAnsi="Times New Roman" w:cs="Times New Roman"/>
          <w:sz w:val="24"/>
          <w:szCs w:val="24"/>
        </w:rPr>
        <w:t>The cost-of-living crisis (2021-2024) has already gained widespread coverage in the published sources, so the retrospective secondary analysis is feasible and exhaustive.</w:t>
      </w:r>
    </w:p>
    <w:p w14:paraId="1215515A"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Why Qualitative?</w:t>
      </w:r>
    </w:p>
    <w:p w14:paraId="56DE9454"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Instead of trying to quantify the exact strength of the statistical relationships, a qualitative approach is selected </w:t>
      </w:r>
      <w:r>
        <w:rPr>
          <w:rFonts w:ascii="Times New Roman" w:hAnsi="Times New Roman" w:cs="Times New Roman"/>
          <w:sz w:val="24"/>
          <w:szCs w:val="24"/>
        </w:rPr>
        <w:t>instead of</w:t>
      </w:r>
      <w:r w:rsidRPr="002B033F">
        <w:rPr>
          <w:rFonts w:ascii="Times New Roman" w:hAnsi="Times New Roman" w:cs="Times New Roman"/>
          <w:sz w:val="24"/>
          <w:szCs w:val="24"/>
        </w:rPr>
        <w:t xml:space="preserve"> quantitative secondary analysis since the study aims to comprehend </w:t>
      </w:r>
      <w:r>
        <w:rPr>
          <w:rFonts w:ascii="Times New Roman" w:hAnsi="Times New Roman" w:cs="Times New Roman"/>
          <w:sz w:val="24"/>
          <w:szCs w:val="24"/>
        </w:rPr>
        <w:t xml:space="preserve">the </w:t>
      </w:r>
      <w:r w:rsidRPr="002B033F">
        <w:rPr>
          <w:rFonts w:ascii="Times New Roman" w:hAnsi="Times New Roman" w:cs="Times New Roman"/>
          <w:sz w:val="24"/>
          <w:szCs w:val="24"/>
        </w:rPr>
        <w:t xml:space="preserve">meaning, </w:t>
      </w:r>
      <w:r w:rsidRPr="002B033F">
        <w:rPr>
          <w:rFonts w:ascii="Times New Roman" w:hAnsi="Times New Roman" w:cs="Times New Roman"/>
          <w:sz w:val="24"/>
          <w:szCs w:val="24"/>
        </w:rPr>
        <w:lastRenderedPageBreak/>
        <w:t>context, and process</w:t>
      </w:r>
      <w:r>
        <w:rPr>
          <w:rFonts w:ascii="Times New Roman" w:hAnsi="Times New Roman" w:cs="Times New Roman"/>
          <w:sz w:val="24"/>
          <w:szCs w:val="24"/>
        </w:rPr>
        <w:t>,</w:t>
      </w:r>
      <w:r w:rsidRPr="002B033F">
        <w:rPr>
          <w:rFonts w:ascii="Times New Roman" w:hAnsi="Times New Roman" w:cs="Times New Roman"/>
          <w:sz w:val="24"/>
          <w:szCs w:val="24"/>
        </w:rPr>
        <w:t xml:space="preserve"> that is, how and why value-based pricing affects retention. The qualitative secondary information (the study using interviews, ethnographic research about a consumer, and the thematic survey of a particular industry) reflects the depth of perceptions of the customer, which cannot be determined by quantitative data.</w:t>
      </w:r>
    </w:p>
    <w:p w14:paraId="33ED41EB"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7. Secondary Data: Sources and Selection</w:t>
      </w:r>
    </w:p>
    <w:p w14:paraId="3006A153"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7.1 Categories of Secondary Data</w:t>
      </w:r>
    </w:p>
    <w:p w14:paraId="0967B589"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study draws on three categories of secondary data, each serving a distinct purpose within the research:</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960"/>
        <w:gridCol w:w="3000"/>
      </w:tblGrid>
      <w:tr w:rsidR="000B7E7D" w:rsidRPr="002B033F" w14:paraId="3579F117" w14:textId="77777777" w:rsidTr="00756081">
        <w:tc>
          <w:tcPr>
            <w:tcW w:w="24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6AAC0E13"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Category</w:t>
            </w:r>
          </w:p>
        </w:tc>
        <w:tc>
          <w:tcPr>
            <w:tcW w:w="396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65A4EFC7"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Examples</w:t>
            </w:r>
          </w:p>
        </w:tc>
        <w:tc>
          <w:tcPr>
            <w:tcW w:w="30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038F8F5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Purpose</w:t>
            </w:r>
          </w:p>
        </w:tc>
      </w:tr>
      <w:tr w:rsidR="000B7E7D" w:rsidRPr="002B033F" w14:paraId="2BF61346" w14:textId="77777777" w:rsidTr="00756081">
        <w:tc>
          <w:tcPr>
            <w:tcW w:w="24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222D0F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Academic Literature</w:t>
            </w:r>
          </w:p>
        </w:tc>
        <w:tc>
          <w:tcPr>
            <w:tcW w:w="39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CB6F31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JSTOR, Scopus, Business Source Complete, Google Scholar — peer-reviewed journals (20</w:t>
            </w:r>
            <w:r>
              <w:rPr>
                <w:rFonts w:ascii="Times New Roman" w:hAnsi="Times New Roman" w:cs="Times New Roman"/>
                <w:sz w:val="24"/>
                <w:szCs w:val="24"/>
              </w:rPr>
              <w:t>16</w:t>
            </w:r>
            <w:r w:rsidRPr="002B033F">
              <w:rPr>
                <w:rFonts w:ascii="Times New Roman" w:hAnsi="Times New Roman" w:cs="Times New Roman"/>
                <w:sz w:val="24"/>
                <w:szCs w:val="24"/>
              </w:rPr>
              <w:t>–202</w:t>
            </w:r>
            <w:r>
              <w:rPr>
                <w:rFonts w:ascii="Times New Roman" w:hAnsi="Times New Roman" w:cs="Times New Roman"/>
                <w:sz w:val="24"/>
                <w:szCs w:val="24"/>
              </w:rPr>
              <w:t>6</w:t>
            </w:r>
            <w:r w:rsidRPr="002B033F">
              <w:rPr>
                <w:rFonts w:ascii="Times New Roman" w:hAnsi="Times New Roman" w:cs="Times New Roman"/>
                <w:sz w:val="24"/>
                <w:szCs w:val="24"/>
              </w:rPr>
              <w:t>)</w:t>
            </w:r>
          </w:p>
        </w:tc>
        <w:tc>
          <w:tcPr>
            <w:tcW w:w="30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01977F2A"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Theoretical grounding; empirical evidence on pricing and retention</w:t>
            </w:r>
          </w:p>
        </w:tc>
      </w:tr>
      <w:tr w:rsidR="000B7E7D" w:rsidRPr="002B033F" w14:paraId="614E9D38" w14:textId="77777777" w:rsidTr="00756081">
        <w:tc>
          <w:tcPr>
            <w:tcW w:w="24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A4E33EF"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Government &amp; Regulatory Data</w:t>
            </w:r>
          </w:p>
        </w:tc>
        <w:tc>
          <w:tcPr>
            <w:tcW w:w="39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452B0C1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ONS (inflation, income, CPI data); Ofgem (energy pricing); FCA (consumer credit reports); Ofcom (media consumption)</w:t>
            </w:r>
          </w:p>
        </w:tc>
        <w:tc>
          <w:tcPr>
            <w:tcW w:w="3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F7B894A"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Macroeconomic context</w:t>
            </w:r>
            <w:r>
              <w:rPr>
                <w:rFonts w:ascii="Times New Roman" w:hAnsi="Times New Roman" w:cs="Times New Roman"/>
                <w:sz w:val="24"/>
                <w:szCs w:val="24"/>
              </w:rPr>
              <w:t>:</w:t>
            </w:r>
            <w:r w:rsidRPr="002B033F">
              <w:rPr>
                <w:rFonts w:ascii="Times New Roman" w:hAnsi="Times New Roman" w:cs="Times New Roman"/>
                <w:sz w:val="24"/>
                <w:szCs w:val="24"/>
              </w:rPr>
              <w:t xml:space="preserve"> quantitative benchmarks for the cost-of-living crisis</w:t>
            </w:r>
          </w:p>
        </w:tc>
      </w:tr>
      <w:tr w:rsidR="000B7E7D" w:rsidRPr="002B033F" w14:paraId="30E10013" w14:textId="77777777" w:rsidTr="00756081">
        <w:tc>
          <w:tcPr>
            <w:tcW w:w="24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1FF2562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Industry &amp; Market Research</w:t>
            </w:r>
          </w:p>
        </w:tc>
        <w:tc>
          <w:tcPr>
            <w:tcW w:w="39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EE08DE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Zuora Subscription Economy Index; Mintel; </w:t>
            </w:r>
            <w:r w:rsidRPr="002B033F">
              <w:rPr>
                <w:rFonts w:ascii="Times New Roman" w:eastAsia="SimSun" w:hAnsi="Times New Roman" w:cs="Times New Roman"/>
                <w:color w:val="222222"/>
                <w:sz w:val="24"/>
                <w:szCs w:val="24"/>
                <w:shd w:val="clear" w:color="auto" w:fill="FFFFFF"/>
              </w:rPr>
              <w:t>Telkmann, V. (2024)</w:t>
            </w:r>
            <w:r w:rsidRPr="002B033F">
              <w:rPr>
                <w:rFonts w:ascii="Times New Roman" w:hAnsi="Times New Roman" w:cs="Times New Roman"/>
                <w:sz w:val="24"/>
                <w:szCs w:val="24"/>
              </w:rPr>
              <w:t xml:space="preserve">; </w:t>
            </w:r>
            <w:r w:rsidRPr="002B033F">
              <w:rPr>
                <w:rFonts w:ascii="Times New Roman" w:eastAsia="SimSun" w:hAnsi="Times New Roman" w:cs="Times New Roman"/>
                <w:color w:val="222222"/>
                <w:sz w:val="24"/>
                <w:szCs w:val="24"/>
                <w:shd w:val="clear" w:color="auto" w:fill="FFFFFF"/>
              </w:rPr>
              <w:t>Rahardja, B.V. (2025)</w:t>
            </w:r>
            <w:r w:rsidRPr="002B033F">
              <w:rPr>
                <w:rFonts w:ascii="Times New Roman" w:hAnsi="Times New Roman" w:cs="Times New Roman"/>
                <w:sz w:val="24"/>
                <w:szCs w:val="24"/>
              </w:rPr>
              <w:t>; Barclaycard Subscription Economy Report; McKinsey &amp; Company; Statista</w:t>
            </w:r>
          </w:p>
        </w:tc>
        <w:tc>
          <w:tcPr>
            <w:tcW w:w="30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77AFDDE8"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Real-world subscription market data; churn rates; consumer sentiment; pricing trends</w:t>
            </w:r>
          </w:p>
        </w:tc>
      </w:tr>
    </w:tbl>
    <w:p w14:paraId="42CC96DE" w14:textId="77777777" w:rsidR="000B7E7D" w:rsidRPr="002B033F" w:rsidRDefault="000B7E7D" w:rsidP="000B7E7D">
      <w:pPr>
        <w:spacing w:line="360" w:lineRule="auto"/>
        <w:jc w:val="both"/>
        <w:rPr>
          <w:rFonts w:ascii="Times New Roman" w:hAnsi="Times New Roman" w:cs="Times New Roman"/>
          <w:sz w:val="24"/>
          <w:szCs w:val="24"/>
        </w:rPr>
      </w:pPr>
    </w:p>
    <w:p w14:paraId="3DC4A4CE"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7.2 Inclusion and Exclusion Criteria</w:t>
      </w:r>
    </w:p>
    <w:p w14:paraId="3BF34ABA"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To ensure the secondary data collected is relevant, credible, and methodologically sound, the following criteria will be applied:</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3880"/>
        <w:gridCol w:w="3880"/>
      </w:tblGrid>
      <w:tr w:rsidR="000B7E7D" w:rsidRPr="002B033F" w14:paraId="6D9C8336"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F869DE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Criterion</w:t>
            </w:r>
          </w:p>
        </w:tc>
        <w:tc>
          <w:tcPr>
            <w:tcW w:w="388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6A63B88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Inclusion</w:t>
            </w:r>
          </w:p>
        </w:tc>
        <w:tc>
          <w:tcPr>
            <w:tcW w:w="388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0EABBDC9"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Exclusion</w:t>
            </w:r>
          </w:p>
        </w:tc>
      </w:tr>
      <w:tr w:rsidR="000B7E7D" w:rsidRPr="002B033F" w14:paraId="43224B47"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8629B7D"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Date</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69F3E16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20</w:t>
            </w:r>
            <w:r>
              <w:rPr>
                <w:rFonts w:ascii="Times New Roman" w:hAnsi="Times New Roman" w:cs="Times New Roman"/>
                <w:sz w:val="24"/>
                <w:szCs w:val="24"/>
              </w:rPr>
              <w:t>16</w:t>
            </w:r>
            <w:r w:rsidRPr="002B033F">
              <w:rPr>
                <w:rFonts w:ascii="Times New Roman" w:hAnsi="Times New Roman" w:cs="Times New Roman"/>
                <w:sz w:val="24"/>
                <w:szCs w:val="24"/>
              </w:rPr>
              <w:t>–202</w:t>
            </w:r>
            <w:r>
              <w:rPr>
                <w:rFonts w:ascii="Times New Roman" w:hAnsi="Times New Roman" w:cs="Times New Roman"/>
                <w:sz w:val="24"/>
                <w:szCs w:val="24"/>
              </w:rPr>
              <w:t>6</w:t>
            </w:r>
            <w:r w:rsidRPr="002B033F">
              <w:rPr>
                <w:rFonts w:ascii="Times New Roman" w:hAnsi="Times New Roman" w:cs="Times New Roman"/>
                <w:sz w:val="24"/>
                <w:szCs w:val="24"/>
              </w:rPr>
              <w:t xml:space="preserve"> for empirical studies; seminal theoretical works regardless of date</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4C1B01D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Sources predating 20</w:t>
            </w:r>
            <w:r>
              <w:rPr>
                <w:rFonts w:ascii="Times New Roman" w:hAnsi="Times New Roman" w:cs="Times New Roman"/>
                <w:sz w:val="24"/>
                <w:szCs w:val="24"/>
              </w:rPr>
              <w:t>16</w:t>
            </w:r>
            <w:r w:rsidRPr="002B033F">
              <w:rPr>
                <w:rFonts w:ascii="Times New Roman" w:hAnsi="Times New Roman" w:cs="Times New Roman"/>
                <w:sz w:val="24"/>
                <w:szCs w:val="24"/>
              </w:rPr>
              <w:t xml:space="preserve"> (unless foundational theory)</w:t>
            </w:r>
          </w:p>
        </w:tc>
      </w:tr>
      <w:tr w:rsidR="000B7E7D" w:rsidRPr="002B033F" w14:paraId="7E43CC9F"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5AEC92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Geography</w:t>
            </w:r>
          </w:p>
        </w:tc>
        <w:tc>
          <w:tcPr>
            <w:tcW w:w="38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D676EE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UK-focused studies; comparative UK/EU studies</w:t>
            </w:r>
          </w:p>
        </w:tc>
        <w:tc>
          <w:tcPr>
            <w:tcW w:w="38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41755D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Studies with no UK relevance or context</w:t>
            </w:r>
          </w:p>
        </w:tc>
      </w:tr>
      <w:tr w:rsidR="000B7E7D" w:rsidRPr="002B033F" w14:paraId="244246A3"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0A0DFB95"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Topic</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579348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Value-based pricing, subscription retention, perceived value, price fairness, consumer behaviour during financial stress</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5E02D9A"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Studies on unrelated pricing models (e.g., auction pricing) with no transferable insights</w:t>
            </w:r>
          </w:p>
        </w:tc>
      </w:tr>
      <w:tr w:rsidR="000B7E7D" w:rsidRPr="002B033F" w14:paraId="6D49490E"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D9C9EF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Source type</w:t>
            </w:r>
          </w:p>
        </w:tc>
        <w:tc>
          <w:tcPr>
            <w:tcW w:w="38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C8AB1E9"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Peer-reviewed journals, ONS/Ofcom/FCA reports, </w:t>
            </w:r>
            <w:r>
              <w:rPr>
                <w:rFonts w:ascii="Times New Roman" w:hAnsi="Times New Roman" w:cs="Times New Roman"/>
                <w:sz w:val="24"/>
                <w:szCs w:val="24"/>
              </w:rPr>
              <w:t xml:space="preserve">and </w:t>
            </w:r>
            <w:r w:rsidRPr="002B033F">
              <w:rPr>
                <w:rFonts w:ascii="Times New Roman" w:hAnsi="Times New Roman" w:cs="Times New Roman"/>
                <w:sz w:val="24"/>
                <w:szCs w:val="24"/>
              </w:rPr>
              <w:t>named industry research from established organisations</w:t>
            </w:r>
          </w:p>
        </w:tc>
        <w:tc>
          <w:tcPr>
            <w:tcW w:w="38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FD8052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Anonymous blog posts, non-peer-reviewed opinion pieces, </w:t>
            </w:r>
            <w:r>
              <w:rPr>
                <w:rFonts w:ascii="Times New Roman" w:hAnsi="Times New Roman" w:cs="Times New Roman"/>
                <w:sz w:val="24"/>
                <w:szCs w:val="24"/>
              </w:rPr>
              <w:t xml:space="preserve">and </w:t>
            </w:r>
            <w:r w:rsidRPr="002B033F">
              <w:rPr>
                <w:rFonts w:ascii="Times New Roman" w:hAnsi="Times New Roman" w:cs="Times New Roman"/>
                <w:sz w:val="24"/>
                <w:szCs w:val="24"/>
              </w:rPr>
              <w:t>sources without clear methodology</w:t>
            </w:r>
          </w:p>
        </w:tc>
      </w:tr>
      <w:tr w:rsidR="000B7E7D" w:rsidRPr="002B033F" w14:paraId="699A153D" w14:textId="77777777" w:rsidTr="00756081">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F84934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Language</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0C12C19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English</w:t>
            </w:r>
          </w:p>
        </w:tc>
        <w:tc>
          <w:tcPr>
            <w:tcW w:w="38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4698A90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Non-English sources</w:t>
            </w:r>
          </w:p>
        </w:tc>
      </w:tr>
    </w:tbl>
    <w:p w14:paraId="572DA3DE" w14:textId="77777777" w:rsidR="000B7E7D" w:rsidRPr="002B033F" w:rsidRDefault="000B7E7D" w:rsidP="000B7E7D">
      <w:pPr>
        <w:spacing w:line="360" w:lineRule="auto"/>
        <w:jc w:val="both"/>
        <w:rPr>
          <w:rFonts w:ascii="Times New Roman" w:hAnsi="Times New Roman" w:cs="Times New Roman"/>
          <w:sz w:val="24"/>
          <w:szCs w:val="24"/>
        </w:rPr>
      </w:pPr>
    </w:p>
    <w:p w14:paraId="0CF46C45"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7.3 Search Strategy</w:t>
      </w:r>
    </w:p>
    <w:p w14:paraId="17EA46C5"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Academic databases will be searched using the following keyword combinations, applied to titles, abstracts, and keywords:</w:t>
      </w:r>
    </w:p>
    <w:p w14:paraId="11A9B3C8" w14:textId="77777777" w:rsidR="000B7E7D" w:rsidRPr="00936AB9" w:rsidRDefault="000B7E7D" w:rsidP="000B7E7D">
      <w:pPr>
        <w:pStyle w:val="ListParagraph"/>
        <w:numPr>
          <w:ilvl w:val="0"/>
          <w:numId w:val="4"/>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"value-based pricing" AND "subscription" AND "retention" OR "churn</w:t>
      </w:r>
      <w:r>
        <w:rPr>
          <w:rFonts w:ascii="Times New Roman" w:hAnsi="Times New Roman" w:cs="Times New Roman"/>
          <w:sz w:val="24"/>
          <w:szCs w:val="24"/>
        </w:rPr>
        <w:t>.</w:t>
      </w:r>
      <w:r w:rsidRPr="00936AB9">
        <w:rPr>
          <w:rFonts w:ascii="Times New Roman" w:hAnsi="Times New Roman" w:cs="Times New Roman"/>
          <w:sz w:val="24"/>
          <w:szCs w:val="24"/>
        </w:rPr>
        <w:t>"</w:t>
      </w:r>
    </w:p>
    <w:p w14:paraId="3662CCAF" w14:textId="77777777" w:rsidR="000B7E7D" w:rsidRPr="00936AB9" w:rsidRDefault="000B7E7D" w:rsidP="000B7E7D">
      <w:pPr>
        <w:pStyle w:val="ListParagraph"/>
        <w:numPr>
          <w:ilvl w:val="0"/>
          <w:numId w:val="4"/>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"perceived value" AND "subscription" AND "UK" OR "United Kingdom</w:t>
      </w:r>
      <w:r>
        <w:rPr>
          <w:rFonts w:ascii="Times New Roman" w:hAnsi="Times New Roman" w:cs="Times New Roman"/>
          <w:sz w:val="24"/>
          <w:szCs w:val="24"/>
        </w:rPr>
        <w:t>.</w:t>
      </w:r>
      <w:r w:rsidRPr="00936AB9">
        <w:rPr>
          <w:rFonts w:ascii="Times New Roman" w:hAnsi="Times New Roman" w:cs="Times New Roman"/>
          <w:sz w:val="24"/>
          <w:szCs w:val="24"/>
        </w:rPr>
        <w:t>"</w:t>
      </w:r>
    </w:p>
    <w:p w14:paraId="075324ED" w14:textId="77777777" w:rsidR="000B7E7D" w:rsidRPr="00936AB9" w:rsidRDefault="000B7E7D" w:rsidP="000B7E7D">
      <w:pPr>
        <w:pStyle w:val="ListParagraph"/>
        <w:numPr>
          <w:ilvl w:val="0"/>
          <w:numId w:val="4"/>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"price fairness" AND "consumer behaviour" AND "cost of living</w:t>
      </w:r>
      <w:r>
        <w:rPr>
          <w:rFonts w:ascii="Times New Roman" w:hAnsi="Times New Roman" w:cs="Times New Roman"/>
          <w:sz w:val="24"/>
          <w:szCs w:val="24"/>
        </w:rPr>
        <w:t>.</w:t>
      </w:r>
      <w:r w:rsidRPr="00936AB9">
        <w:rPr>
          <w:rFonts w:ascii="Times New Roman" w:hAnsi="Times New Roman" w:cs="Times New Roman"/>
          <w:sz w:val="24"/>
          <w:szCs w:val="24"/>
        </w:rPr>
        <w:t>"</w:t>
      </w:r>
    </w:p>
    <w:p w14:paraId="1BBC594A" w14:textId="77777777" w:rsidR="000B7E7D" w:rsidRPr="00936AB9" w:rsidRDefault="000B7E7D" w:rsidP="000B7E7D">
      <w:pPr>
        <w:pStyle w:val="ListParagraph"/>
        <w:numPr>
          <w:ilvl w:val="0"/>
          <w:numId w:val="4"/>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"subscription economy" AND "cancellation" AND "financial pressure</w:t>
      </w:r>
      <w:r>
        <w:rPr>
          <w:rFonts w:ascii="Times New Roman" w:hAnsi="Times New Roman" w:cs="Times New Roman"/>
          <w:sz w:val="24"/>
          <w:szCs w:val="24"/>
        </w:rPr>
        <w:t>.</w:t>
      </w:r>
      <w:r w:rsidRPr="00936AB9">
        <w:rPr>
          <w:rFonts w:ascii="Times New Roman" w:hAnsi="Times New Roman" w:cs="Times New Roman"/>
          <w:sz w:val="24"/>
          <w:szCs w:val="24"/>
        </w:rPr>
        <w:t>"</w:t>
      </w:r>
    </w:p>
    <w:p w14:paraId="23BA2069" w14:textId="77777777" w:rsidR="000B7E7D" w:rsidRPr="00936AB9" w:rsidRDefault="000B7E7D" w:rsidP="000B7E7D">
      <w:pPr>
        <w:pStyle w:val="ListParagraph"/>
        <w:numPr>
          <w:ilvl w:val="0"/>
          <w:numId w:val="4"/>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"customer perceived value" AND "pricing strategy" AND "recession" OR "economic downturn</w:t>
      </w:r>
      <w:r>
        <w:rPr>
          <w:rFonts w:ascii="Times New Roman" w:hAnsi="Times New Roman" w:cs="Times New Roman"/>
          <w:sz w:val="24"/>
          <w:szCs w:val="24"/>
        </w:rPr>
        <w:t>.</w:t>
      </w:r>
      <w:r w:rsidRPr="00936AB9">
        <w:rPr>
          <w:rFonts w:ascii="Times New Roman" w:hAnsi="Times New Roman" w:cs="Times New Roman"/>
          <w:sz w:val="24"/>
          <w:szCs w:val="24"/>
        </w:rPr>
        <w:t>"</w:t>
      </w:r>
    </w:p>
    <w:p w14:paraId="367A1C49"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sources in the industry will be found on the websites of the publishers (e.g., zuora.com, mintel.com, ons.gov.uk, ofcom.org.uk). The macroeconomic environment will be put into context using the ONS time-series data on inflation (CPIH), real household disposable income</w:t>
      </w:r>
      <w:r>
        <w:rPr>
          <w:rFonts w:ascii="Times New Roman" w:hAnsi="Times New Roman" w:cs="Times New Roman"/>
          <w:sz w:val="24"/>
          <w:szCs w:val="24"/>
        </w:rPr>
        <w:t>,</w:t>
      </w:r>
      <w:r w:rsidRPr="002B033F">
        <w:rPr>
          <w:rFonts w:ascii="Times New Roman" w:hAnsi="Times New Roman" w:cs="Times New Roman"/>
          <w:sz w:val="24"/>
          <w:szCs w:val="24"/>
        </w:rPr>
        <w:t xml:space="preserve"> and consumer spending.</w:t>
      </w:r>
    </w:p>
    <w:p w14:paraId="059BE295"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7.4 Source Evaluation</w:t>
      </w:r>
    </w:p>
    <w:p w14:paraId="48501B3C"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The suitability of all secondary sources to be included will be assessed using the CRAAP framework (Currency, Relevance, Authority, Accuracy, Purpose). Reports funded by industries (e.g.</w:t>
      </w:r>
      <w:r>
        <w:rPr>
          <w:rFonts w:ascii="Times New Roman" w:hAnsi="Times New Roman" w:cs="Times New Roman"/>
          <w:sz w:val="24"/>
          <w:szCs w:val="24"/>
        </w:rPr>
        <w:t>,</w:t>
      </w:r>
      <w:r w:rsidRPr="002B033F">
        <w:rPr>
          <w:rFonts w:ascii="Times New Roman" w:hAnsi="Times New Roman" w:cs="Times New Roman"/>
          <w:sz w:val="24"/>
          <w:szCs w:val="24"/>
        </w:rPr>
        <w:t xml:space="preserve"> by Zuora or Barclaycard</w:t>
      </w:r>
      <w:r>
        <w:rPr>
          <w:rFonts w:ascii="Times New Roman" w:hAnsi="Times New Roman" w:cs="Times New Roman"/>
          <w:sz w:val="24"/>
          <w:szCs w:val="24"/>
        </w:rPr>
        <w:t>, which</w:t>
      </w:r>
      <w:r w:rsidRPr="002B033F">
        <w:rPr>
          <w:rFonts w:ascii="Times New Roman" w:hAnsi="Times New Roman" w:cs="Times New Roman"/>
          <w:sz w:val="24"/>
          <w:szCs w:val="24"/>
        </w:rPr>
        <w:t xml:space="preserve"> have a commercial interest in </w:t>
      </w:r>
      <w:r>
        <w:rPr>
          <w:rFonts w:ascii="Times New Roman" w:hAnsi="Times New Roman" w:cs="Times New Roman"/>
          <w:sz w:val="24"/>
          <w:szCs w:val="24"/>
        </w:rPr>
        <w:t xml:space="preserve">the </w:t>
      </w:r>
      <w:r w:rsidRPr="002B033F">
        <w:rPr>
          <w:rFonts w:ascii="Times New Roman" w:hAnsi="Times New Roman" w:cs="Times New Roman"/>
          <w:sz w:val="24"/>
          <w:szCs w:val="24"/>
        </w:rPr>
        <w:t>subscription economy) will be recognized as potentially biased and will be triangulated with independent academic sources where feasible.</w:t>
      </w:r>
    </w:p>
    <w:p w14:paraId="4431B3F9"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8. Data Analysis: Thematic Analysis</w:t>
      </w:r>
    </w:p>
    <w:p w14:paraId="41D235DE"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thematic analysis is chosen as the method of analysis due to its best suitability in examining and presenting patterns (themes) in qualitative data. When applied to secondary research, thematic analysis allows the researcher to put discoveries of various sources into different academic papers, government reports, and industry studies into a unified theoretical explanation.</w:t>
      </w:r>
    </w:p>
    <w:p w14:paraId="38695A65"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As opposed to content analysis</w:t>
      </w:r>
      <w:r>
        <w:rPr>
          <w:rFonts w:ascii="Times New Roman" w:hAnsi="Times New Roman" w:cs="Times New Roman"/>
          <w:sz w:val="24"/>
          <w:szCs w:val="24"/>
        </w:rPr>
        <w:t>,</w:t>
      </w:r>
      <w:r w:rsidRPr="002B033F">
        <w:rPr>
          <w:rFonts w:ascii="Times New Roman" w:hAnsi="Times New Roman" w:cs="Times New Roman"/>
          <w:sz w:val="24"/>
          <w:szCs w:val="24"/>
        </w:rPr>
        <w:t xml:space="preserve"> where one counts occurrences, thematic analysis makes sense </w:t>
      </w:r>
      <w:r>
        <w:rPr>
          <w:rFonts w:ascii="Times New Roman" w:hAnsi="Times New Roman" w:cs="Times New Roman"/>
          <w:sz w:val="24"/>
          <w:szCs w:val="24"/>
        </w:rPr>
        <w:t xml:space="preserve">and is thus </w:t>
      </w:r>
      <w:r w:rsidRPr="002B033F">
        <w:rPr>
          <w:rFonts w:ascii="Times New Roman" w:hAnsi="Times New Roman" w:cs="Times New Roman"/>
          <w:sz w:val="24"/>
          <w:szCs w:val="24"/>
        </w:rPr>
        <w:t>suitable to the interpretivist philosophy that this study is founded on. It is in direct compatibility with secondary research design since, unlike grounded theory, it does not need the creation of original data.</w:t>
      </w:r>
    </w:p>
    <w:p w14:paraId="3CBD98E0"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8.1 Six Phases of Thematic Analysis</w:t>
      </w:r>
    </w:p>
    <w:p w14:paraId="509EAE74"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Braun and Clarke's (2006) six-phase framework will be followed:</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2200"/>
        <w:gridCol w:w="6560"/>
      </w:tblGrid>
      <w:tr w:rsidR="000B7E7D" w:rsidRPr="002B033F" w14:paraId="5223C0D2"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297734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w:t>
            </w:r>
          </w:p>
        </w:tc>
        <w:tc>
          <w:tcPr>
            <w:tcW w:w="22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372D59A8"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Phase</w:t>
            </w:r>
          </w:p>
        </w:tc>
        <w:tc>
          <w:tcPr>
            <w:tcW w:w="656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61D5622A"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Activities in This Study</w:t>
            </w:r>
          </w:p>
        </w:tc>
      </w:tr>
      <w:tr w:rsidR="000B7E7D" w:rsidRPr="002B033F" w14:paraId="7179BA98"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40A910C8"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1</w:t>
            </w:r>
          </w:p>
        </w:tc>
        <w:tc>
          <w:tcPr>
            <w:tcW w:w="22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30F58FFD"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Familiarisation</w:t>
            </w:r>
          </w:p>
        </w:tc>
        <w:tc>
          <w:tcPr>
            <w:tcW w:w="65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7A1B3C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Close reading of all selected secondary sources; annotation of key ideas related to value-based pricing, perceived value, and retention</w:t>
            </w:r>
          </w:p>
        </w:tc>
      </w:tr>
      <w:tr w:rsidR="000B7E7D" w:rsidRPr="002B033F" w14:paraId="55131A63"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5F83DFF"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2</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F6F4550"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Generating Initial Codes</w:t>
            </w:r>
          </w:p>
        </w:tc>
        <w:tc>
          <w:tcPr>
            <w:tcW w:w="65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AC2FA8E"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Line-by-line coding of relevant passages across academic and industry sources; codes reflect pricing strategies, consumer responses, retention behaviours, and crisis-related factors</w:t>
            </w:r>
          </w:p>
        </w:tc>
      </w:tr>
      <w:tr w:rsidR="000B7E7D" w:rsidRPr="002B033F" w14:paraId="07935D91"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8E82B05"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3</w:t>
            </w:r>
          </w:p>
        </w:tc>
        <w:tc>
          <w:tcPr>
            <w:tcW w:w="22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DC73D99"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Searching for Themes</w:t>
            </w:r>
          </w:p>
        </w:tc>
        <w:tc>
          <w:tcPr>
            <w:tcW w:w="65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3F930E2B"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Clustering related codes into candidate themes (e.g., 'tier-based value perception', 'price fairness under financial stress', 'value communication strategies')</w:t>
            </w:r>
          </w:p>
        </w:tc>
      </w:tr>
      <w:tr w:rsidR="000B7E7D" w:rsidRPr="002B033F" w14:paraId="3CF19AD9"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B79444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4</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63CAE35"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Reviewing Themes</w:t>
            </w:r>
          </w:p>
        </w:tc>
        <w:tc>
          <w:tcPr>
            <w:tcW w:w="65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50F4085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Cross-checking themes against the full dataset; merging, splitting, or discarding themes as needed; ensuring themes reflect the research questions</w:t>
            </w:r>
            <w:r>
              <w:rPr>
                <w:rFonts w:ascii="Times New Roman" w:hAnsi="Times New Roman" w:cs="Times New Roman"/>
                <w:sz w:val="24"/>
                <w:szCs w:val="24"/>
              </w:rPr>
              <w:t>.</w:t>
            </w:r>
          </w:p>
        </w:tc>
      </w:tr>
      <w:tr w:rsidR="000B7E7D" w:rsidRPr="002B033F" w14:paraId="451DF226"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1BCE401D"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5</w:t>
            </w:r>
          </w:p>
        </w:tc>
        <w:tc>
          <w:tcPr>
            <w:tcW w:w="22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27E64BD"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Defining and Naming Themes</w:t>
            </w:r>
          </w:p>
        </w:tc>
        <w:tc>
          <w:tcPr>
            <w:tcW w:w="65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5EB7615"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Articulating the essence of each theme</w:t>
            </w:r>
            <w:r>
              <w:rPr>
                <w:rFonts w:ascii="Times New Roman" w:hAnsi="Times New Roman" w:cs="Times New Roman"/>
                <w:sz w:val="24"/>
                <w:szCs w:val="24"/>
              </w:rPr>
              <w:t>,</w:t>
            </w:r>
            <w:r w:rsidRPr="002B033F">
              <w:rPr>
                <w:rFonts w:ascii="Times New Roman" w:hAnsi="Times New Roman" w:cs="Times New Roman"/>
                <w:sz w:val="24"/>
                <w:szCs w:val="24"/>
              </w:rPr>
              <w:t xml:space="preserve"> writing analytical narratives</w:t>
            </w:r>
            <w:r>
              <w:rPr>
                <w:rFonts w:ascii="Times New Roman" w:hAnsi="Times New Roman" w:cs="Times New Roman"/>
                <w:sz w:val="24"/>
                <w:szCs w:val="24"/>
              </w:rPr>
              <w:t>, and</w:t>
            </w:r>
            <w:r w:rsidRPr="002B033F">
              <w:rPr>
                <w:rFonts w:ascii="Times New Roman" w:hAnsi="Times New Roman" w:cs="Times New Roman"/>
                <w:sz w:val="24"/>
                <w:szCs w:val="24"/>
              </w:rPr>
              <w:t xml:space="preserve"> identifying sub-themes</w:t>
            </w:r>
          </w:p>
        </w:tc>
      </w:tr>
      <w:tr w:rsidR="000B7E7D" w:rsidRPr="002B033F" w14:paraId="62399782" w14:textId="77777777" w:rsidTr="00756081">
        <w:tc>
          <w:tcPr>
            <w:tcW w:w="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28DF7293"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6</w:t>
            </w:r>
          </w:p>
        </w:tc>
        <w:tc>
          <w:tcPr>
            <w:tcW w:w="22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F3B31EB"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Producing the Report</w:t>
            </w:r>
          </w:p>
        </w:tc>
        <w:tc>
          <w:tcPr>
            <w:tcW w:w="65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CF6C6E8"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Integrating themes into a coherent discussion</w:t>
            </w:r>
            <w:r>
              <w:rPr>
                <w:rFonts w:ascii="Times New Roman" w:hAnsi="Times New Roman" w:cs="Times New Roman"/>
                <w:sz w:val="24"/>
                <w:szCs w:val="24"/>
              </w:rPr>
              <w:t>,</w:t>
            </w:r>
            <w:r w:rsidRPr="002B033F">
              <w:rPr>
                <w:rFonts w:ascii="Times New Roman" w:hAnsi="Times New Roman" w:cs="Times New Roman"/>
                <w:sz w:val="24"/>
                <w:szCs w:val="24"/>
              </w:rPr>
              <w:t xml:space="preserve"> linking findings back to research questions and </w:t>
            </w:r>
            <w:r>
              <w:rPr>
                <w:rFonts w:ascii="Times New Roman" w:hAnsi="Times New Roman" w:cs="Times New Roman"/>
                <w:sz w:val="24"/>
                <w:szCs w:val="24"/>
              </w:rPr>
              <w:t xml:space="preserve">the </w:t>
            </w:r>
            <w:r w:rsidRPr="002B033F">
              <w:rPr>
                <w:rFonts w:ascii="Times New Roman" w:hAnsi="Times New Roman" w:cs="Times New Roman"/>
                <w:sz w:val="24"/>
                <w:szCs w:val="24"/>
              </w:rPr>
              <w:t>conceptual framework</w:t>
            </w:r>
            <w:r>
              <w:rPr>
                <w:rFonts w:ascii="Times New Roman" w:hAnsi="Times New Roman" w:cs="Times New Roman"/>
                <w:sz w:val="24"/>
                <w:szCs w:val="24"/>
              </w:rPr>
              <w:t>,</w:t>
            </w:r>
            <w:r w:rsidRPr="002B033F">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2B033F">
              <w:rPr>
                <w:rFonts w:ascii="Times New Roman" w:hAnsi="Times New Roman" w:cs="Times New Roman"/>
                <w:sz w:val="24"/>
                <w:szCs w:val="24"/>
              </w:rPr>
              <w:t>drawing conclusions</w:t>
            </w:r>
            <w:r>
              <w:rPr>
                <w:rFonts w:ascii="Times New Roman" w:hAnsi="Times New Roman" w:cs="Times New Roman"/>
                <w:sz w:val="24"/>
                <w:szCs w:val="24"/>
              </w:rPr>
              <w:t>.</w:t>
            </w:r>
          </w:p>
        </w:tc>
      </w:tr>
    </w:tbl>
    <w:p w14:paraId="56763F46" w14:textId="77777777" w:rsidR="000B7E7D" w:rsidRPr="002B033F" w:rsidRDefault="000B7E7D" w:rsidP="000B7E7D">
      <w:pPr>
        <w:spacing w:line="360" w:lineRule="auto"/>
        <w:jc w:val="both"/>
        <w:rPr>
          <w:rFonts w:ascii="Times New Roman" w:hAnsi="Times New Roman" w:cs="Times New Roman"/>
          <w:sz w:val="24"/>
          <w:szCs w:val="24"/>
        </w:rPr>
      </w:pPr>
    </w:p>
    <w:p w14:paraId="11665399"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8.2 Anticipated Themes</w:t>
      </w:r>
    </w:p>
    <w:p w14:paraId="1DA1CF07"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Based on an initial scoping review of the literature, the following themes are anticipated (subject to revision following full analysis):</w:t>
      </w:r>
    </w:p>
    <w:p w14:paraId="63900D18"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Theme 1 — Perceived Value as a Retention Anchor: How customers' assessments of value-for-money act as the primary determinant of subscription continuance decisions during financial pressure.</w:t>
      </w:r>
    </w:p>
    <w:p w14:paraId="28532B7C"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Theme 2 — Price Fairness and Psychological Framing: How the perceived fairness of price increases (relative to value delivered) mediates churn risk, drawing on fairness theory (Bolton &amp; Alba, 2006).</w:t>
      </w:r>
    </w:p>
    <w:p w14:paraId="19B7FEC1"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Theme 3 — Tier Design and Flexibility as Value Signals: How multi-tier pricing structures and pause/downgrade options communicate commitment to customer value and reduce cancellation.</w:t>
      </w:r>
    </w:p>
    <w:p w14:paraId="42B4E943"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Theme 4 — Value Communication and Transparency: How explicit communication of subscription benefits influences perceived value, particularly among cost-sensitive consumers.</w:t>
      </w:r>
    </w:p>
    <w:p w14:paraId="31657D31"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Theme 5 — Macro-Economic Context Effects: How the specific conditions of the UK cost-of-living crisis (inflation, energy costs, wage stagnation) moderated consumer sensitivity to subscription pricing.</w:t>
      </w:r>
    </w:p>
    <w:p w14:paraId="1D809014"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9. Conceptual Framework</w:t>
      </w:r>
    </w:p>
    <w:p w14:paraId="6824097C"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study is grounded in three complementary theoretical constructs, all derived from the secondary literature: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2480"/>
        <w:gridCol w:w="4080"/>
      </w:tblGrid>
      <w:tr w:rsidR="000B7E7D" w:rsidRPr="002B033F" w14:paraId="7E20B505" w14:textId="77777777" w:rsidTr="00756081">
        <w:tc>
          <w:tcPr>
            <w:tcW w:w="28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498CB90E"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Theory</w:t>
            </w:r>
          </w:p>
        </w:tc>
        <w:tc>
          <w:tcPr>
            <w:tcW w:w="248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36A43437"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Key Sources</w:t>
            </w:r>
          </w:p>
        </w:tc>
        <w:tc>
          <w:tcPr>
            <w:tcW w:w="408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5473EB8F"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Role in This Study</w:t>
            </w:r>
          </w:p>
        </w:tc>
      </w:tr>
      <w:tr w:rsidR="000B7E7D" w:rsidRPr="002B033F" w14:paraId="55B797B8" w14:textId="77777777" w:rsidTr="00756081">
        <w:tc>
          <w:tcPr>
            <w:tcW w:w="28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47CD8C7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Value-Based Pricing Theory</w:t>
            </w:r>
          </w:p>
        </w:tc>
        <w:tc>
          <w:tcPr>
            <w:tcW w:w="24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33933AB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eastAsia="SimSun" w:hAnsi="Times New Roman" w:cs="Times New Roman"/>
                <w:color w:val="222222"/>
                <w:sz w:val="24"/>
                <w:szCs w:val="24"/>
                <w:shd w:val="clear" w:color="auto" w:fill="FFFFFF"/>
              </w:rPr>
              <w:t xml:space="preserve">Hoseason, J </w:t>
            </w:r>
            <w:r w:rsidRPr="002B033F">
              <w:rPr>
                <w:rFonts w:ascii="Times New Roman" w:hAnsi="Times New Roman" w:cs="Times New Roman"/>
                <w:sz w:val="24"/>
                <w:szCs w:val="24"/>
              </w:rPr>
              <w:t>(2003); Anderson et al. (2006); Nagle &amp; Müller (2018)</w:t>
            </w:r>
          </w:p>
        </w:tc>
        <w:tc>
          <w:tcPr>
            <w:tcW w:w="40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323FD41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Defines the independent variable: how subscription prices are anchored to customer value perception rather than cost or competition</w:t>
            </w:r>
          </w:p>
        </w:tc>
      </w:tr>
      <w:tr w:rsidR="000B7E7D" w:rsidRPr="002B033F" w14:paraId="547D86FF" w14:textId="77777777" w:rsidTr="00756081">
        <w:tc>
          <w:tcPr>
            <w:tcW w:w="28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F445E3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Customer Perceived Value Model</w:t>
            </w:r>
          </w:p>
        </w:tc>
        <w:tc>
          <w:tcPr>
            <w:tcW w:w="24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CE00F5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Zeithaml (1988); Woodruff (1997); Sweeney &amp; Soutar (2001)</w:t>
            </w:r>
          </w:p>
        </w:tc>
        <w:tc>
          <w:tcPr>
            <w:tcW w:w="408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3AB8897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Explains the mediating mechanism: how customers weigh perceived benefits against perceived price sacrifice in making retention decisions</w:t>
            </w:r>
          </w:p>
        </w:tc>
      </w:tr>
      <w:tr w:rsidR="000B7E7D" w:rsidRPr="002B033F" w14:paraId="4BA15BC3" w14:textId="77777777" w:rsidTr="00756081">
        <w:tc>
          <w:tcPr>
            <w:tcW w:w="28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6EB0C165"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Subscription Churn &amp; Retention Theory</w:t>
            </w:r>
          </w:p>
        </w:tc>
        <w:tc>
          <w:tcPr>
            <w:tcW w:w="24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0DF83AF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Gupta &amp; Zeithaml (2006); Lemon &amp; Verhoef (2016); Avery et al. (2012)</w:t>
            </w:r>
          </w:p>
        </w:tc>
        <w:tc>
          <w:tcPr>
            <w:tcW w:w="408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06FA4E7A"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Defines the dependent variable: the factors that drive subscription continuance vs. cancellation over time</w:t>
            </w:r>
          </w:p>
        </w:tc>
      </w:tr>
    </w:tbl>
    <w:p w14:paraId="084A1F96" w14:textId="77777777" w:rsidR="000B7E7D" w:rsidRPr="002B033F" w:rsidRDefault="000B7E7D" w:rsidP="000B7E7D">
      <w:pPr>
        <w:spacing w:line="360" w:lineRule="auto"/>
        <w:jc w:val="both"/>
        <w:rPr>
          <w:rFonts w:ascii="Times New Roman" w:hAnsi="Times New Roman" w:cs="Times New Roman"/>
          <w:sz w:val="24"/>
          <w:szCs w:val="24"/>
        </w:rPr>
      </w:pPr>
    </w:p>
    <w:p w14:paraId="1EAA6582"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10. Proposed Timeline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600"/>
        <w:gridCol w:w="5760"/>
      </w:tblGrid>
      <w:tr w:rsidR="000B7E7D" w:rsidRPr="002B033F" w14:paraId="21CD99CA"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0A04DF8E"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Phase</w:t>
            </w:r>
          </w:p>
        </w:tc>
        <w:tc>
          <w:tcPr>
            <w:tcW w:w="160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78010E5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Duration</w:t>
            </w:r>
          </w:p>
        </w:tc>
        <w:tc>
          <w:tcPr>
            <w:tcW w:w="5760" w:type="dxa"/>
            <w:tcBorders>
              <w:top w:val="single" w:sz="0" w:space="0" w:color="CCCCCC"/>
              <w:left w:val="single" w:sz="0" w:space="0" w:color="CCCCCC"/>
              <w:bottom w:val="single" w:sz="0" w:space="0" w:color="CCCCCC"/>
              <w:right w:val="single" w:sz="0" w:space="0" w:color="CCCCCC"/>
            </w:tcBorders>
            <w:shd w:val="clear" w:color="auto" w:fill="1F3864"/>
            <w:tcMar>
              <w:top w:w="80" w:type="dxa"/>
              <w:left w:w="120" w:type="dxa"/>
              <w:bottom w:w="80" w:type="dxa"/>
              <w:right w:w="120" w:type="dxa"/>
            </w:tcMar>
          </w:tcPr>
          <w:p w14:paraId="5B8F416B"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b/>
                <w:bCs/>
                <w:color w:val="FFFFFF"/>
                <w:sz w:val="24"/>
                <w:szCs w:val="24"/>
              </w:rPr>
              <w:t>Key Activities</w:t>
            </w:r>
          </w:p>
        </w:tc>
      </w:tr>
      <w:tr w:rsidR="000B7E7D" w:rsidRPr="002B033F" w14:paraId="4BE090B2"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67918DC8"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Phase 1: Source Identification</w:t>
            </w:r>
          </w:p>
        </w:tc>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5F922B9"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Weeks 1–2</w:t>
            </w:r>
          </w:p>
        </w:tc>
        <w:tc>
          <w:tcPr>
            <w:tcW w:w="57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1B5F0B7"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Database searches (Scopus, JSTOR, BSC); access ONS/Ofcom/Mintel/Zuora reports; apply inclusion/exclusion criteria; compile source list</w:t>
            </w:r>
          </w:p>
        </w:tc>
      </w:tr>
      <w:tr w:rsidR="000B7E7D" w:rsidRPr="002B033F" w14:paraId="22981309"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11BCBF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Phase 2: Critical Reading</w:t>
            </w:r>
          </w:p>
        </w:tc>
        <w:tc>
          <w:tcPr>
            <w:tcW w:w="1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226B96C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Weeks 3–4</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1483E29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Deep reading and annotation of all selected sources; CRAAP evaluation; note-taking on pricing strategies, retention data, consumer sentiment</w:t>
            </w:r>
          </w:p>
        </w:tc>
      </w:tr>
      <w:tr w:rsidR="000B7E7D" w:rsidRPr="002B033F" w14:paraId="13BAE9E9"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3F1EF22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Phase 3: Coding</w:t>
            </w:r>
          </w:p>
        </w:tc>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213BEAD7"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Weeks 5–6</w:t>
            </w:r>
          </w:p>
        </w:tc>
        <w:tc>
          <w:tcPr>
            <w:tcW w:w="57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12AD0C3B"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Line-by-line coding of relevant passages; generation of initial codebook; grouping codes into candidate themes</w:t>
            </w:r>
          </w:p>
        </w:tc>
      </w:tr>
      <w:tr w:rsidR="000B7E7D" w:rsidRPr="002B033F" w14:paraId="219438AF"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04AC452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Phase 4: Thematic Analysis</w:t>
            </w:r>
          </w:p>
        </w:tc>
        <w:tc>
          <w:tcPr>
            <w:tcW w:w="1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5FE56A71"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Weeks 6–7</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7F314E42"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 xml:space="preserve">Review, refine, and define final themes; write thematic narratives; link to </w:t>
            </w:r>
            <w:r>
              <w:rPr>
                <w:rFonts w:ascii="Times New Roman" w:hAnsi="Times New Roman" w:cs="Times New Roman"/>
                <w:sz w:val="24"/>
                <w:szCs w:val="24"/>
              </w:rPr>
              <w:t xml:space="preserve">the </w:t>
            </w:r>
            <w:r w:rsidRPr="002B033F">
              <w:rPr>
                <w:rFonts w:ascii="Times New Roman" w:hAnsi="Times New Roman" w:cs="Times New Roman"/>
                <w:sz w:val="24"/>
                <w:szCs w:val="24"/>
              </w:rPr>
              <w:t>conceptual framework</w:t>
            </w:r>
            <w:r>
              <w:rPr>
                <w:rFonts w:ascii="Times New Roman" w:hAnsi="Times New Roman" w:cs="Times New Roman"/>
                <w:sz w:val="24"/>
                <w:szCs w:val="24"/>
              </w:rPr>
              <w:t>.</w:t>
            </w:r>
          </w:p>
        </w:tc>
      </w:tr>
      <w:tr w:rsidR="000B7E7D" w:rsidRPr="002B033F" w14:paraId="593BCD13"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4E4F4B0B"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Phase 5: Write-Up &amp; Discussion</w:t>
            </w:r>
          </w:p>
        </w:tc>
        <w:tc>
          <w:tcPr>
            <w:tcW w:w="160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52FECB0C"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Weeks 8–9</w:t>
            </w:r>
          </w:p>
        </w:tc>
        <w:tc>
          <w:tcPr>
            <w:tcW w:w="5760" w:type="dxa"/>
            <w:tcBorders>
              <w:top w:val="single" w:sz="0" w:space="0" w:color="CCCCCC"/>
              <w:left w:val="single" w:sz="0" w:space="0" w:color="CCCCCC"/>
              <w:bottom w:val="single" w:sz="0" w:space="0" w:color="CCCCCC"/>
              <w:right w:val="single" w:sz="0" w:space="0" w:color="CCCCCC"/>
            </w:tcBorders>
            <w:shd w:val="clear" w:color="auto" w:fill="F2F7FF"/>
            <w:tcMar>
              <w:top w:w="80" w:type="dxa"/>
              <w:left w:w="120" w:type="dxa"/>
              <w:bottom w:w="80" w:type="dxa"/>
              <w:right w:w="120" w:type="dxa"/>
            </w:tcMar>
          </w:tcPr>
          <w:p w14:paraId="13C07456"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Draft findings, discussion, and conclusion chapters; integrate theory with evidence from secondary sources</w:t>
            </w:r>
          </w:p>
        </w:tc>
      </w:tr>
      <w:tr w:rsidR="000B7E7D" w:rsidRPr="002B033F" w14:paraId="4D25E465" w14:textId="77777777" w:rsidTr="00756081">
        <w:tc>
          <w:tcPr>
            <w:tcW w:w="20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63736D4"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lastRenderedPageBreak/>
              <w:t>Phase 6: Review &amp; Submission</w:t>
            </w:r>
          </w:p>
        </w:tc>
        <w:tc>
          <w:tcPr>
            <w:tcW w:w="160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F3F568D"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Week 10</w:t>
            </w:r>
          </w:p>
        </w:tc>
        <w:tc>
          <w:tcPr>
            <w:tcW w:w="5760" w:type="dxa"/>
            <w:tcBorders>
              <w:top w:val="single" w:sz="0" w:space="0" w:color="CCCCCC"/>
              <w:left w:val="single" w:sz="0" w:space="0" w:color="CCCCCC"/>
              <w:bottom w:val="single" w:sz="0" w:space="0" w:color="CCCCCC"/>
              <w:right w:val="single" w:sz="0" w:space="0" w:color="CCCCCC"/>
            </w:tcBorders>
            <w:shd w:val="clear" w:color="auto" w:fill="FFFFFF"/>
            <w:tcMar>
              <w:top w:w="80" w:type="dxa"/>
              <w:left w:w="120" w:type="dxa"/>
              <w:bottom w:w="80" w:type="dxa"/>
              <w:right w:w="120" w:type="dxa"/>
            </w:tcMar>
          </w:tcPr>
          <w:p w14:paraId="6BE862DF" w14:textId="77777777" w:rsidR="000B7E7D" w:rsidRPr="002B033F" w:rsidRDefault="000B7E7D" w:rsidP="00756081">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Proofreading</w:t>
            </w:r>
            <w:r>
              <w:rPr>
                <w:rFonts w:ascii="Times New Roman" w:hAnsi="Times New Roman" w:cs="Times New Roman"/>
                <w:sz w:val="24"/>
                <w:szCs w:val="24"/>
              </w:rPr>
              <w:t>,</w:t>
            </w:r>
            <w:r w:rsidRPr="002B033F">
              <w:rPr>
                <w:rFonts w:ascii="Times New Roman" w:hAnsi="Times New Roman" w:cs="Times New Roman"/>
                <w:sz w:val="24"/>
                <w:szCs w:val="24"/>
              </w:rPr>
              <w:t xml:space="preserve"> academic integrity check</w:t>
            </w:r>
            <w:r>
              <w:rPr>
                <w:rFonts w:ascii="Times New Roman" w:hAnsi="Times New Roman" w:cs="Times New Roman"/>
                <w:sz w:val="24"/>
                <w:szCs w:val="24"/>
              </w:rPr>
              <w:t>,</w:t>
            </w:r>
            <w:r w:rsidRPr="002B033F">
              <w:rPr>
                <w:rFonts w:ascii="Times New Roman" w:hAnsi="Times New Roman" w:cs="Times New Roman"/>
                <w:sz w:val="24"/>
                <w:szCs w:val="24"/>
              </w:rPr>
              <w:t xml:space="preserve"> formatting</w:t>
            </w:r>
            <w:r>
              <w:rPr>
                <w:rFonts w:ascii="Times New Roman" w:hAnsi="Times New Roman" w:cs="Times New Roman"/>
                <w:sz w:val="24"/>
                <w:szCs w:val="24"/>
              </w:rPr>
              <w:t>, and</w:t>
            </w:r>
            <w:r w:rsidRPr="002B033F">
              <w:rPr>
                <w:rFonts w:ascii="Times New Roman" w:hAnsi="Times New Roman" w:cs="Times New Roman"/>
                <w:sz w:val="24"/>
                <w:szCs w:val="24"/>
              </w:rPr>
              <w:t xml:space="preserve"> final submission</w:t>
            </w:r>
          </w:p>
        </w:tc>
      </w:tr>
    </w:tbl>
    <w:p w14:paraId="41B7D95F" w14:textId="77777777" w:rsidR="000B7E7D" w:rsidRPr="002B033F" w:rsidRDefault="000B7E7D" w:rsidP="000B7E7D">
      <w:pPr>
        <w:spacing w:line="360" w:lineRule="auto"/>
        <w:jc w:val="both"/>
        <w:rPr>
          <w:rFonts w:ascii="Times New Roman" w:hAnsi="Times New Roman" w:cs="Times New Roman"/>
          <w:sz w:val="24"/>
          <w:szCs w:val="24"/>
        </w:rPr>
      </w:pPr>
    </w:p>
    <w:p w14:paraId="451AF3D1"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11. Ethical Considerations</w:t>
      </w:r>
    </w:p>
    <w:p w14:paraId="36087EC1"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Since the content of the study is based solely on secondary sources, i.e.</w:t>
      </w:r>
      <w:r>
        <w:rPr>
          <w:rFonts w:ascii="Times New Roman" w:hAnsi="Times New Roman" w:cs="Times New Roman"/>
          <w:sz w:val="24"/>
          <w:szCs w:val="24"/>
        </w:rPr>
        <w:t>,</w:t>
      </w:r>
      <w:r w:rsidRPr="002B033F">
        <w:rPr>
          <w:rFonts w:ascii="Times New Roman" w:hAnsi="Times New Roman" w:cs="Times New Roman"/>
          <w:sz w:val="24"/>
          <w:szCs w:val="24"/>
        </w:rPr>
        <w:t xml:space="preserve"> on publicly available academic literature, government statistics, and commercial research reports, it does not imply any data collection </w:t>
      </w:r>
      <w:r>
        <w:rPr>
          <w:rFonts w:ascii="Times New Roman" w:hAnsi="Times New Roman" w:cs="Times New Roman"/>
          <w:sz w:val="24"/>
          <w:szCs w:val="24"/>
        </w:rPr>
        <w:t>or</w:t>
      </w:r>
      <w:r w:rsidRPr="002B033F">
        <w:rPr>
          <w:rFonts w:ascii="Times New Roman" w:hAnsi="Times New Roman" w:cs="Times New Roman"/>
          <w:sz w:val="24"/>
          <w:szCs w:val="24"/>
        </w:rPr>
        <w:t xml:space="preserve"> working with human subjects. As such, it does not require formal approval of ethical standards as per the usual institutional standards in the non-interventional secondary research.</w:t>
      </w:r>
    </w:p>
    <w:p w14:paraId="7EF3862E"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However, the ethical principles to be followed during the study will be strictly followed</w:t>
      </w:r>
      <w:r>
        <w:rPr>
          <w:rFonts w:ascii="Times New Roman" w:hAnsi="Times New Roman" w:cs="Times New Roman"/>
          <w:sz w:val="24"/>
          <w:szCs w:val="24"/>
        </w:rPr>
        <w:t>,</w:t>
      </w:r>
      <w:r w:rsidRPr="002B033F">
        <w:rPr>
          <w:rFonts w:ascii="Times New Roman" w:hAnsi="Times New Roman" w:cs="Times New Roman"/>
          <w:sz w:val="24"/>
          <w:szCs w:val="24"/>
        </w:rPr>
        <w:t xml:space="preserve"> and they will include:</w:t>
      </w:r>
    </w:p>
    <w:p w14:paraId="5F6F8B45"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Academic Integrity: All the references will be quoted in APA format. Reproduction of any text will not be done without reference.</w:t>
      </w:r>
    </w:p>
    <w:p w14:paraId="553EB9F2"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Limitations Transparency: The limitations and scope of all the secondary sources will be cited</w:t>
      </w:r>
      <w:r>
        <w:rPr>
          <w:rFonts w:ascii="Times New Roman" w:hAnsi="Times New Roman" w:cs="Times New Roman"/>
          <w:sz w:val="24"/>
          <w:szCs w:val="24"/>
        </w:rPr>
        <w:t>,</w:t>
      </w:r>
      <w:r w:rsidRPr="00936AB9">
        <w:rPr>
          <w:rFonts w:ascii="Times New Roman" w:hAnsi="Times New Roman" w:cs="Times New Roman"/>
          <w:sz w:val="24"/>
          <w:szCs w:val="24"/>
        </w:rPr>
        <w:t xml:space="preserve"> as well as the publication bias of academic journals and the commercial bias of reports funded by the industry.</w:t>
      </w:r>
    </w:p>
    <w:p w14:paraId="6270579F"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Critical Assessment of Industry Sources: Reports issued by business organizations (e.g., Zuora, Barclaycard) that have a strong incentive to enhance positive subscription economy messages will be critically evaluated and cross-referenced with non-business sources.</w:t>
      </w:r>
    </w:p>
    <w:p w14:paraId="0ADE5F62"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No Fabrication or Misrepresentation: There will be no selective omission, distortion</w:t>
      </w:r>
      <w:r>
        <w:rPr>
          <w:rFonts w:ascii="Times New Roman" w:hAnsi="Times New Roman" w:cs="Times New Roman"/>
          <w:sz w:val="24"/>
          <w:szCs w:val="24"/>
        </w:rPr>
        <w:t>,</w:t>
      </w:r>
      <w:r w:rsidRPr="00936AB9">
        <w:rPr>
          <w:rFonts w:ascii="Times New Roman" w:hAnsi="Times New Roman" w:cs="Times New Roman"/>
          <w:sz w:val="24"/>
          <w:szCs w:val="24"/>
        </w:rPr>
        <w:t xml:space="preserve"> or </w:t>
      </w:r>
      <w:r>
        <w:rPr>
          <w:rFonts w:ascii="Times New Roman" w:hAnsi="Times New Roman" w:cs="Times New Roman"/>
          <w:sz w:val="24"/>
          <w:szCs w:val="24"/>
        </w:rPr>
        <w:t>out-of-context</w:t>
      </w:r>
      <w:r w:rsidRPr="00936AB9">
        <w:rPr>
          <w:rFonts w:ascii="Times New Roman" w:hAnsi="Times New Roman" w:cs="Times New Roman"/>
          <w:sz w:val="24"/>
          <w:szCs w:val="24"/>
        </w:rPr>
        <w:t xml:space="preserve"> presentation of any data using secondary sources.</w:t>
      </w:r>
    </w:p>
    <w:p w14:paraId="0FFDE64E" w14:textId="77777777" w:rsidR="000B7E7D" w:rsidRPr="002B033F" w:rsidRDefault="000B7E7D" w:rsidP="000B7E7D">
      <w:pPr>
        <w:spacing w:line="360" w:lineRule="auto"/>
        <w:jc w:val="both"/>
        <w:rPr>
          <w:rFonts w:ascii="Times New Roman" w:hAnsi="Times New Roman" w:cs="Times New Roman"/>
          <w:sz w:val="24"/>
          <w:szCs w:val="24"/>
        </w:rPr>
      </w:pPr>
    </w:p>
    <w:p w14:paraId="1A78FE8D"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12. Anticipated Limitations</w:t>
      </w:r>
    </w:p>
    <w:p w14:paraId="2ECA3440"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 weaknesses of the secondary qualitative method are as follows</w:t>
      </w:r>
      <w:r>
        <w:rPr>
          <w:rFonts w:ascii="Times New Roman" w:hAnsi="Times New Roman" w:cs="Times New Roman"/>
          <w:sz w:val="24"/>
          <w:szCs w:val="24"/>
        </w:rPr>
        <w:t>,</w:t>
      </w:r>
      <w:r w:rsidRPr="002B033F">
        <w:rPr>
          <w:rFonts w:ascii="Times New Roman" w:hAnsi="Times New Roman" w:cs="Times New Roman"/>
          <w:sz w:val="24"/>
          <w:szCs w:val="24"/>
        </w:rPr>
        <w:t xml:space="preserve"> and they will be covered in the final research report:</w:t>
      </w:r>
    </w:p>
    <w:p w14:paraId="1E434A9A"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 xml:space="preserve">Absence of Primary Data: The research is unable to take up </w:t>
      </w:r>
      <w:r>
        <w:rPr>
          <w:rFonts w:ascii="Times New Roman" w:hAnsi="Times New Roman" w:cs="Times New Roman"/>
          <w:sz w:val="24"/>
          <w:szCs w:val="24"/>
        </w:rPr>
        <w:t>real-time</w:t>
      </w:r>
      <w:r w:rsidRPr="00936AB9">
        <w:rPr>
          <w:rFonts w:ascii="Times New Roman" w:hAnsi="Times New Roman" w:cs="Times New Roman"/>
          <w:sz w:val="24"/>
          <w:szCs w:val="24"/>
        </w:rPr>
        <w:t xml:space="preserve">, </w:t>
      </w:r>
      <w:r>
        <w:rPr>
          <w:rFonts w:ascii="Times New Roman" w:hAnsi="Times New Roman" w:cs="Times New Roman"/>
          <w:sz w:val="24"/>
          <w:szCs w:val="24"/>
        </w:rPr>
        <w:t>first-hand</w:t>
      </w:r>
      <w:r w:rsidRPr="00936AB9">
        <w:rPr>
          <w:rFonts w:ascii="Times New Roman" w:hAnsi="Times New Roman" w:cs="Times New Roman"/>
          <w:sz w:val="24"/>
          <w:szCs w:val="24"/>
        </w:rPr>
        <w:t xml:space="preserve"> consumer </w:t>
      </w:r>
      <w:r>
        <w:rPr>
          <w:rFonts w:ascii="Times New Roman" w:hAnsi="Times New Roman" w:cs="Times New Roman"/>
          <w:sz w:val="24"/>
          <w:szCs w:val="24"/>
        </w:rPr>
        <w:t>attitudes</w:t>
      </w:r>
      <w:r w:rsidRPr="00936AB9">
        <w:rPr>
          <w:rFonts w:ascii="Times New Roman" w:hAnsi="Times New Roman" w:cs="Times New Roman"/>
          <w:sz w:val="24"/>
          <w:szCs w:val="24"/>
        </w:rPr>
        <w:t xml:space="preserve"> or unpublished business data. Research results can only be limited to those published.</w:t>
      </w:r>
    </w:p>
    <w:p w14:paraId="1691B723"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 xml:space="preserve">Publication Bias: Academic literature is prone to over-reporting statistically significant or newly discovered studies and thus </w:t>
      </w:r>
      <w:r>
        <w:rPr>
          <w:rFonts w:ascii="Times New Roman" w:hAnsi="Times New Roman" w:cs="Times New Roman"/>
          <w:sz w:val="24"/>
          <w:szCs w:val="24"/>
        </w:rPr>
        <w:t>biases</w:t>
      </w:r>
      <w:r w:rsidRPr="00936AB9">
        <w:rPr>
          <w:rFonts w:ascii="Times New Roman" w:hAnsi="Times New Roman" w:cs="Times New Roman"/>
          <w:sz w:val="24"/>
          <w:szCs w:val="24"/>
        </w:rPr>
        <w:t xml:space="preserve"> thematic patterns.</w:t>
      </w:r>
    </w:p>
    <w:p w14:paraId="6F2B6E3D"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Commercial Source Bias: Stakeholders of a subscription-economy industry can also choose to show a more rosy picture regarding value-based pricing results than the independent evidence.</w:t>
      </w:r>
    </w:p>
    <w:p w14:paraId="703100A9"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lastRenderedPageBreak/>
        <w:t>Temporal Lag: Published scholarly literature generally indicates the situation 1-3 years before publication, i.e.</w:t>
      </w:r>
      <w:r>
        <w:rPr>
          <w:rFonts w:ascii="Times New Roman" w:hAnsi="Times New Roman" w:cs="Times New Roman"/>
          <w:sz w:val="24"/>
          <w:szCs w:val="24"/>
        </w:rPr>
        <w:t>,</w:t>
      </w:r>
      <w:r w:rsidRPr="00936AB9">
        <w:rPr>
          <w:rFonts w:ascii="Times New Roman" w:hAnsi="Times New Roman" w:cs="Times New Roman"/>
          <w:sz w:val="24"/>
          <w:szCs w:val="24"/>
        </w:rPr>
        <w:t xml:space="preserve"> the latest stages of the cost-of-living crisis might be more effectively captured in an industry datum than in a peer-reviewed article.</w:t>
      </w:r>
    </w:p>
    <w:p w14:paraId="22F33FD1" w14:textId="77777777" w:rsidR="000B7E7D" w:rsidRPr="00936AB9" w:rsidRDefault="000B7E7D" w:rsidP="000B7E7D">
      <w:pPr>
        <w:pStyle w:val="ListParagraph"/>
        <w:numPr>
          <w:ilvl w:val="0"/>
          <w:numId w:val="5"/>
        </w:numPr>
        <w:spacing w:line="360" w:lineRule="auto"/>
        <w:contextualSpacing w:val="0"/>
        <w:jc w:val="both"/>
        <w:rPr>
          <w:rFonts w:ascii="Times New Roman" w:hAnsi="Times New Roman" w:cs="Times New Roman"/>
          <w:sz w:val="24"/>
          <w:szCs w:val="24"/>
        </w:rPr>
      </w:pPr>
      <w:r w:rsidRPr="00936AB9">
        <w:rPr>
          <w:rFonts w:ascii="Times New Roman" w:hAnsi="Times New Roman" w:cs="Times New Roman"/>
          <w:sz w:val="24"/>
          <w:szCs w:val="24"/>
        </w:rPr>
        <w:t>Transferability: Results are put in context to the UK subscription market in 2021-2024. They might not be directly relevant to other markets, industries, and economic conditions.</w:t>
      </w:r>
    </w:p>
    <w:p w14:paraId="68E40878" w14:textId="77777777" w:rsidR="000B7E7D" w:rsidRPr="002B033F" w:rsidRDefault="000B7E7D" w:rsidP="000B7E7D">
      <w:pPr>
        <w:spacing w:line="360" w:lineRule="auto"/>
        <w:jc w:val="both"/>
        <w:rPr>
          <w:rFonts w:ascii="Times New Roman" w:hAnsi="Times New Roman" w:cs="Times New Roman"/>
          <w:sz w:val="24"/>
          <w:szCs w:val="24"/>
        </w:rPr>
      </w:pPr>
      <w:r w:rsidRPr="002B033F">
        <w:rPr>
          <w:rFonts w:ascii="Times New Roman" w:hAnsi="Times New Roman" w:cs="Times New Roman"/>
          <w:sz w:val="24"/>
          <w:szCs w:val="24"/>
        </w:rPr>
        <w:t>These limitations will be openly addressed</w:t>
      </w:r>
      <w:r>
        <w:rPr>
          <w:rFonts w:ascii="Times New Roman" w:hAnsi="Times New Roman" w:cs="Times New Roman"/>
          <w:sz w:val="24"/>
          <w:szCs w:val="24"/>
        </w:rPr>
        <w:t>,</w:t>
      </w:r>
      <w:r w:rsidRPr="002B033F">
        <w:rPr>
          <w:rFonts w:ascii="Times New Roman" w:hAnsi="Times New Roman" w:cs="Times New Roman"/>
          <w:sz w:val="24"/>
          <w:szCs w:val="24"/>
        </w:rPr>
        <w:t xml:space="preserve"> and they will not be used </w:t>
      </w:r>
      <w:r>
        <w:rPr>
          <w:rFonts w:ascii="Times New Roman" w:hAnsi="Times New Roman" w:cs="Times New Roman"/>
          <w:sz w:val="24"/>
          <w:szCs w:val="24"/>
        </w:rPr>
        <w:t>to nullify</w:t>
      </w:r>
      <w:r w:rsidRPr="002B033F">
        <w:rPr>
          <w:rFonts w:ascii="Times New Roman" w:hAnsi="Times New Roman" w:cs="Times New Roman"/>
          <w:sz w:val="24"/>
          <w:szCs w:val="24"/>
        </w:rPr>
        <w:t xml:space="preserve"> the findings of the study, but they will be seen as contextual boundaries within which the findings should be viewed.</w:t>
      </w:r>
    </w:p>
    <w:p w14:paraId="0F25D1BE" w14:textId="77777777" w:rsidR="000B7E7D" w:rsidRPr="002B033F" w:rsidRDefault="000B7E7D" w:rsidP="000B7E7D">
      <w:pPr>
        <w:spacing w:line="360" w:lineRule="auto"/>
        <w:jc w:val="both"/>
        <w:rPr>
          <w:rFonts w:ascii="Times New Roman" w:hAnsi="Times New Roman" w:cs="Times New Roman"/>
          <w:sz w:val="24"/>
          <w:szCs w:val="24"/>
        </w:rPr>
      </w:pPr>
    </w:p>
    <w:p w14:paraId="38EC19F3"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t>13. Expected Contributions</w:t>
      </w:r>
    </w:p>
    <w:p w14:paraId="54AC5465" w14:textId="77777777" w:rsidR="000B7E7D" w:rsidRPr="002B033F"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b/>
          <w:bCs/>
          <w:sz w:val="24"/>
          <w:szCs w:val="24"/>
        </w:rPr>
        <w:t>Academic Contribution:</w:t>
      </w:r>
      <w:r w:rsidRPr="002B033F">
        <w:rPr>
          <w:rFonts w:ascii="Times New Roman" w:hAnsi="Times New Roman" w:cs="Times New Roman"/>
          <w:sz w:val="24"/>
          <w:szCs w:val="24"/>
        </w:rPr>
        <w:t xml:space="preserve"> The integration of scattered scholarly research on value-based pricing and subscription retention in the unique and under-researched setting of a UK macroeconomic crisis seals a knowledge gap in the pricing and consumer behaviour literature.</w:t>
      </w:r>
    </w:p>
    <w:p w14:paraId="722E8DB7" w14:textId="77777777" w:rsidR="000B7E7D" w:rsidRPr="002B033F" w:rsidRDefault="000B7E7D" w:rsidP="000B7E7D">
      <w:pPr>
        <w:spacing w:line="360" w:lineRule="auto"/>
        <w:jc w:val="both"/>
        <w:rPr>
          <w:rFonts w:ascii="Times New Roman" w:hAnsi="Times New Roman" w:cs="Times New Roman"/>
          <w:sz w:val="24"/>
          <w:szCs w:val="24"/>
        </w:rPr>
      </w:pPr>
      <w:r w:rsidRPr="002A44B2">
        <w:rPr>
          <w:rFonts w:ascii="Times New Roman" w:hAnsi="Times New Roman" w:cs="Times New Roman"/>
          <w:b/>
          <w:bCs/>
          <w:sz w:val="24"/>
          <w:szCs w:val="24"/>
        </w:rPr>
        <w:t>Managerial Contribution</w:t>
      </w:r>
      <w:r w:rsidRPr="002B033F">
        <w:rPr>
          <w:rFonts w:ascii="Times New Roman" w:hAnsi="Times New Roman" w:cs="Times New Roman"/>
          <w:sz w:val="24"/>
          <w:szCs w:val="24"/>
        </w:rPr>
        <w:t>: Making evidence-based contributions to the pricing strategy, tier design, and value communication as effective retention instruments in economic downturns in the UK subscription business.</w:t>
      </w:r>
    </w:p>
    <w:p w14:paraId="7EFF9C50" w14:textId="77777777" w:rsidR="000B7E7D" w:rsidRPr="002B033F"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b/>
          <w:bCs/>
          <w:sz w:val="24"/>
          <w:szCs w:val="24"/>
        </w:rPr>
        <w:t>Policy Contribution:</w:t>
      </w:r>
      <w:r w:rsidRPr="002B033F">
        <w:rPr>
          <w:rFonts w:ascii="Times New Roman" w:hAnsi="Times New Roman" w:cs="Times New Roman"/>
          <w:sz w:val="24"/>
          <w:szCs w:val="24"/>
        </w:rPr>
        <w:t xml:space="preserve"> Educating on the pricing transparency and consumer protection in subscription markets, which is pertinent to continued Ofcom and Competition and Markets Authority (CMA) investigations </w:t>
      </w:r>
      <w:r>
        <w:rPr>
          <w:rFonts w:ascii="Times New Roman" w:hAnsi="Times New Roman" w:cs="Times New Roman"/>
          <w:sz w:val="24"/>
          <w:szCs w:val="24"/>
        </w:rPr>
        <w:t>into</w:t>
      </w:r>
      <w:r w:rsidRPr="002B033F">
        <w:rPr>
          <w:rFonts w:ascii="Times New Roman" w:hAnsi="Times New Roman" w:cs="Times New Roman"/>
          <w:sz w:val="24"/>
          <w:szCs w:val="24"/>
        </w:rPr>
        <w:t xml:space="preserve"> auto-renewal and price-increase practices.</w:t>
      </w:r>
    </w:p>
    <w:p w14:paraId="2F1CAC90" w14:textId="77777777" w:rsidR="000B7E7D" w:rsidRDefault="000B7E7D" w:rsidP="000B7E7D">
      <w:pPr>
        <w:spacing w:line="360" w:lineRule="auto"/>
        <w:jc w:val="both"/>
        <w:rPr>
          <w:rFonts w:ascii="Times New Roman" w:hAnsi="Times New Roman" w:cs="Times New Roman"/>
          <w:sz w:val="24"/>
          <w:szCs w:val="24"/>
        </w:rPr>
      </w:pPr>
    </w:p>
    <w:p w14:paraId="7A14E1C2" w14:textId="77777777" w:rsidR="000B7E7D" w:rsidRDefault="000B7E7D" w:rsidP="000B7E7D">
      <w:pPr>
        <w:spacing w:line="360" w:lineRule="auto"/>
        <w:jc w:val="both"/>
        <w:rPr>
          <w:rFonts w:ascii="Times New Roman" w:hAnsi="Times New Roman" w:cs="Times New Roman"/>
          <w:sz w:val="24"/>
          <w:szCs w:val="24"/>
        </w:rPr>
      </w:pPr>
    </w:p>
    <w:p w14:paraId="0E25BA54" w14:textId="77777777" w:rsidR="000B7E7D" w:rsidRDefault="000B7E7D" w:rsidP="000B7E7D">
      <w:pPr>
        <w:spacing w:line="360" w:lineRule="auto"/>
        <w:jc w:val="both"/>
        <w:rPr>
          <w:rFonts w:ascii="Times New Roman" w:hAnsi="Times New Roman" w:cs="Times New Roman"/>
          <w:sz w:val="24"/>
          <w:szCs w:val="24"/>
        </w:rPr>
      </w:pPr>
    </w:p>
    <w:p w14:paraId="5869DCE4" w14:textId="77777777" w:rsidR="000B7E7D" w:rsidRDefault="000B7E7D" w:rsidP="000B7E7D">
      <w:pPr>
        <w:spacing w:line="360" w:lineRule="auto"/>
        <w:jc w:val="both"/>
        <w:rPr>
          <w:rFonts w:ascii="Times New Roman" w:hAnsi="Times New Roman" w:cs="Times New Roman"/>
          <w:sz w:val="24"/>
          <w:szCs w:val="24"/>
        </w:rPr>
      </w:pPr>
    </w:p>
    <w:p w14:paraId="704BEF64" w14:textId="77777777" w:rsidR="000B7E7D" w:rsidRDefault="000B7E7D" w:rsidP="000B7E7D">
      <w:pPr>
        <w:spacing w:line="360" w:lineRule="auto"/>
        <w:jc w:val="both"/>
        <w:rPr>
          <w:rFonts w:ascii="Times New Roman" w:hAnsi="Times New Roman" w:cs="Times New Roman"/>
          <w:sz w:val="24"/>
          <w:szCs w:val="24"/>
        </w:rPr>
      </w:pPr>
    </w:p>
    <w:p w14:paraId="2C2BC3FE" w14:textId="77777777" w:rsidR="000B7E7D" w:rsidRDefault="000B7E7D" w:rsidP="000B7E7D">
      <w:pPr>
        <w:spacing w:line="360" w:lineRule="auto"/>
        <w:jc w:val="both"/>
        <w:rPr>
          <w:rFonts w:ascii="Times New Roman" w:hAnsi="Times New Roman" w:cs="Times New Roman"/>
          <w:sz w:val="24"/>
          <w:szCs w:val="24"/>
        </w:rPr>
      </w:pPr>
    </w:p>
    <w:p w14:paraId="260ABA12" w14:textId="77777777" w:rsidR="000B7E7D" w:rsidRDefault="000B7E7D" w:rsidP="000B7E7D">
      <w:pPr>
        <w:spacing w:line="360" w:lineRule="auto"/>
        <w:jc w:val="both"/>
        <w:rPr>
          <w:rFonts w:ascii="Times New Roman" w:hAnsi="Times New Roman" w:cs="Times New Roman"/>
          <w:sz w:val="24"/>
          <w:szCs w:val="24"/>
        </w:rPr>
      </w:pPr>
    </w:p>
    <w:p w14:paraId="0491135E" w14:textId="77777777" w:rsidR="000B7E7D" w:rsidRDefault="000B7E7D" w:rsidP="000B7E7D">
      <w:pPr>
        <w:spacing w:line="360" w:lineRule="auto"/>
        <w:jc w:val="both"/>
        <w:rPr>
          <w:rFonts w:ascii="Times New Roman" w:hAnsi="Times New Roman" w:cs="Times New Roman"/>
          <w:sz w:val="24"/>
          <w:szCs w:val="24"/>
        </w:rPr>
      </w:pPr>
    </w:p>
    <w:p w14:paraId="4CA0B3EC" w14:textId="77777777" w:rsidR="000B7E7D" w:rsidRDefault="000B7E7D" w:rsidP="000B7E7D">
      <w:pPr>
        <w:spacing w:line="360" w:lineRule="auto"/>
        <w:jc w:val="both"/>
        <w:rPr>
          <w:rFonts w:ascii="Times New Roman" w:hAnsi="Times New Roman" w:cs="Times New Roman"/>
          <w:sz w:val="24"/>
          <w:szCs w:val="24"/>
        </w:rPr>
      </w:pPr>
    </w:p>
    <w:p w14:paraId="4C23361B" w14:textId="77777777" w:rsidR="000B7E7D" w:rsidRDefault="000B7E7D" w:rsidP="000B7E7D">
      <w:pPr>
        <w:spacing w:line="360" w:lineRule="auto"/>
        <w:jc w:val="both"/>
        <w:rPr>
          <w:rFonts w:ascii="Times New Roman" w:hAnsi="Times New Roman" w:cs="Times New Roman"/>
          <w:sz w:val="24"/>
          <w:szCs w:val="24"/>
        </w:rPr>
      </w:pPr>
    </w:p>
    <w:p w14:paraId="7DDF8DAF" w14:textId="77777777" w:rsidR="000B7E7D" w:rsidRDefault="000B7E7D" w:rsidP="000B7E7D">
      <w:pPr>
        <w:spacing w:line="360" w:lineRule="auto"/>
        <w:jc w:val="both"/>
        <w:rPr>
          <w:rFonts w:ascii="Times New Roman" w:hAnsi="Times New Roman" w:cs="Times New Roman"/>
          <w:sz w:val="24"/>
          <w:szCs w:val="24"/>
        </w:rPr>
      </w:pPr>
    </w:p>
    <w:p w14:paraId="044B77A7" w14:textId="77777777" w:rsidR="000B7E7D" w:rsidRDefault="000B7E7D" w:rsidP="000B7E7D">
      <w:pPr>
        <w:spacing w:line="360" w:lineRule="auto"/>
        <w:jc w:val="both"/>
        <w:rPr>
          <w:rFonts w:ascii="Times New Roman" w:hAnsi="Times New Roman" w:cs="Times New Roman"/>
          <w:sz w:val="24"/>
          <w:szCs w:val="24"/>
        </w:rPr>
      </w:pPr>
    </w:p>
    <w:p w14:paraId="5E39E58F" w14:textId="77777777" w:rsidR="000B7E7D" w:rsidRDefault="000B7E7D" w:rsidP="000B7E7D">
      <w:pPr>
        <w:spacing w:line="360" w:lineRule="auto"/>
        <w:jc w:val="both"/>
        <w:rPr>
          <w:rFonts w:ascii="Times New Roman" w:hAnsi="Times New Roman" w:cs="Times New Roman"/>
          <w:sz w:val="24"/>
          <w:szCs w:val="24"/>
        </w:rPr>
      </w:pPr>
    </w:p>
    <w:p w14:paraId="6E287903" w14:textId="77777777" w:rsidR="000B7E7D" w:rsidRPr="00936AB9" w:rsidRDefault="000B7E7D" w:rsidP="000B7E7D">
      <w:pPr>
        <w:spacing w:line="360" w:lineRule="auto"/>
        <w:jc w:val="both"/>
        <w:rPr>
          <w:rFonts w:ascii="Times New Roman" w:hAnsi="Times New Roman" w:cs="Times New Roman"/>
          <w:b/>
          <w:bCs/>
          <w:sz w:val="24"/>
          <w:szCs w:val="24"/>
        </w:rPr>
      </w:pPr>
      <w:r w:rsidRPr="00936AB9">
        <w:rPr>
          <w:rFonts w:ascii="Times New Roman" w:hAnsi="Times New Roman" w:cs="Times New Roman"/>
          <w:b/>
          <w:bCs/>
          <w:sz w:val="24"/>
          <w:szCs w:val="24"/>
        </w:rPr>
        <w:lastRenderedPageBreak/>
        <w:t>References</w:t>
      </w:r>
    </w:p>
    <w:p w14:paraId="21B74EAB"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hAnsi="Times New Roman" w:cs="Times New Roman"/>
          <w:sz w:val="24"/>
          <w:szCs w:val="24"/>
        </w:rPr>
        <w:t>.</w:t>
      </w:r>
      <w:r w:rsidRPr="00936AB9">
        <w:rPr>
          <w:rFonts w:ascii="Times New Roman" w:eastAsia="SimSun" w:hAnsi="Times New Roman" w:cs="Times New Roman"/>
          <w:color w:val="222222"/>
          <w:sz w:val="24"/>
          <w:szCs w:val="24"/>
          <w:shd w:val="clear" w:color="auto" w:fill="FFFFFF"/>
        </w:rPr>
        <w:t>Rahardja, B.V., 2025. CHANGING PATTERNS OF DIGITAL CONSUMER BEHAVIOR. </w:t>
      </w:r>
      <w:r w:rsidRPr="00936AB9">
        <w:rPr>
          <w:rFonts w:ascii="Times New Roman" w:eastAsia="SimSun" w:hAnsi="Times New Roman" w:cs="Times New Roman"/>
          <w:i/>
          <w:iCs/>
          <w:color w:val="222222"/>
          <w:sz w:val="24"/>
          <w:szCs w:val="24"/>
          <w:shd w:val="clear" w:color="auto" w:fill="FFFFFF"/>
        </w:rPr>
        <w:t>AIRA (Artificial Intelligence Research and Applied Learning)</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4</w:t>
      </w:r>
      <w:r w:rsidRPr="00936AB9">
        <w:rPr>
          <w:rFonts w:ascii="Times New Roman" w:eastAsia="SimSun" w:hAnsi="Times New Roman" w:cs="Times New Roman"/>
          <w:color w:val="222222"/>
          <w:sz w:val="24"/>
          <w:szCs w:val="24"/>
          <w:shd w:val="clear" w:color="auto" w:fill="FFFFFF"/>
        </w:rPr>
        <w:t>(1), pp.79-91.</w:t>
      </w:r>
    </w:p>
    <w:p w14:paraId="1051C33A"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Anderson, J.C., Narus, J.A. and Van Rossum, W., 2006. Customer value propositions in business markets. </w:t>
      </w:r>
      <w:r w:rsidRPr="00936AB9">
        <w:rPr>
          <w:rFonts w:ascii="Times New Roman" w:hAnsi="Times New Roman" w:cs="Times New Roman"/>
          <w:i/>
          <w:iCs/>
          <w:sz w:val="24"/>
          <w:szCs w:val="24"/>
        </w:rPr>
        <w:t>Harvard business review</w:t>
      </w:r>
      <w:r w:rsidRPr="00936AB9">
        <w:rPr>
          <w:rFonts w:ascii="Times New Roman" w:hAnsi="Times New Roman" w:cs="Times New Roman"/>
          <w:sz w:val="24"/>
          <w:szCs w:val="24"/>
        </w:rPr>
        <w:t>, </w:t>
      </w:r>
      <w:r w:rsidRPr="00936AB9">
        <w:rPr>
          <w:rFonts w:ascii="Times New Roman" w:hAnsi="Times New Roman" w:cs="Times New Roman"/>
          <w:i/>
          <w:iCs/>
          <w:sz w:val="24"/>
          <w:szCs w:val="24"/>
        </w:rPr>
        <w:t>84</w:t>
      </w:r>
      <w:r w:rsidRPr="00936AB9">
        <w:rPr>
          <w:rFonts w:ascii="Times New Roman" w:hAnsi="Times New Roman" w:cs="Times New Roman"/>
          <w:sz w:val="24"/>
          <w:szCs w:val="24"/>
        </w:rPr>
        <w:t>(3), p.90.</w:t>
      </w:r>
    </w:p>
    <w:p w14:paraId="2BBB3807"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Avery, J., Fournier, S.</w:t>
      </w:r>
      <w:r>
        <w:rPr>
          <w:rFonts w:ascii="Times New Roman" w:hAnsi="Times New Roman" w:cs="Times New Roman"/>
          <w:sz w:val="24"/>
          <w:szCs w:val="24"/>
        </w:rPr>
        <w:t>,</w:t>
      </w:r>
      <w:r w:rsidRPr="00936AB9">
        <w:rPr>
          <w:rFonts w:ascii="Times New Roman" w:hAnsi="Times New Roman" w:cs="Times New Roman"/>
          <w:sz w:val="24"/>
          <w:szCs w:val="24"/>
        </w:rPr>
        <w:t xml:space="preserve"> and Wittenbraker, J., 2014. Unlock the mysteries of your customer relationships. </w:t>
      </w:r>
      <w:r w:rsidRPr="00936AB9">
        <w:rPr>
          <w:rFonts w:ascii="Times New Roman" w:hAnsi="Times New Roman" w:cs="Times New Roman"/>
          <w:i/>
          <w:iCs/>
          <w:sz w:val="24"/>
          <w:szCs w:val="24"/>
        </w:rPr>
        <w:t>Harvard business review</w:t>
      </w:r>
      <w:r w:rsidRPr="00936AB9">
        <w:rPr>
          <w:rFonts w:ascii="Times New Roman" w:hAnsi="Times New Roman" w:cs="Times New Roman"/>
          <w:sz w:val="24"/>
          <w:szCs w:val="24"/>
        </w:rPr>
        <w:t>, </w:t>
      </w:r>
      <w:r w:rsidRPr="00936AB9">
        <w:rPr>
          <w:rFonts w:ascii="Times New Roman" w:hAnsi="Times New Roman" w:cs="Times New Roman"/>
          <w:i/>
          <w:iCs/>
          <w:sz w:val="24"/>
          <w:szCs w:val="24"/>
        </w:rPr>
        <w:t>92</w:t>
      </w:r>
      <w:r w:rsidRPr="00936AB9">
        <w:rPr>
          <w:rFonts w:ascii="Times New Roman" w:hAnsi="Times New Roman" w:cs="Times New Roman"/>
          <w:sz w:val="24"/>
          <w:szCs w:val="24"/>
        </w:rPr>
        <w:t>(7), pp.72-81.</w:t>
      </w:r>
    </w:p>
    <w:p w14:paraId="4861219C"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 xml:space="preserve">Barclaycard. (2023). The subscription economy: UK spending habits report. Barclaycard Payments. </w:t>
      </w:r>
      <w:hyperlink r:id="rId5" w:history="1">
        <w:r w:rsidRPr="00936AB9">
          <w:rPr>
            <w:rStyle w:val="Hyperlink"/>
            <w:rFonts w:ascii="Times New Roman" w:hAnsi="Times New Roman" w:cs="Times New Roman"/>
            <w:sz w:val="24"/>
            <w:szCs w:val="24"/>
          </w:rPr>
          <w:t>https://home.barclays/insights/2025/10/Next-Phase-Subscription-Economy/</w:t>
        </w:r>
      </w:hyperlink>
    </w:p>
    <w:p w14:paraId="515338EF"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Bolton, L.E. and Alba, J.W., 2006. Price fairness: Good and service differences and the role of vendor costs. </w:t>
      </w:r>
      <w:r w:rsidRPr="00936AB9">
        <w:rPr>
          <w:rFonts w:ascii="Times New Roman" w:hAnsi="Times New Roman" w:cs="Times New Roman"/>
          <w:i/>
          <w:iCs/>
          <w:sz w:val="24"/>
          <w:szCs w:val="24"/>
        </w:rPr>
        <w:t>Journal of Consumer Research</w:t>
      </w:r>
      <w:r w:rsidRPr="00936AB9">
        <w:rPr>
          <w:rFonts w:ascii="Times New Roman" w:hAnsi="Times New Roman" w:cs="Times New Roman"/>
          <w:sz w:val="24"/>
          <w:szCs w:val="24"/>
        </w:rPr>
        <w:t>, </w:t>
      </w:r>
      <w:r w:rsidRPr="00936AB9">
        <w:rPr>
          <w:rFonts w:ascii="Times New Roman" w:hAnsi="Times New Roman" w:cs="Times New Roman"/>
          <w:i/>
          <w:iCs/>
          <w:sz w:val="24"/>
          <w:szCs w:val="24"/>
        </w:rPr>
        <w:t>33</w:t>
      </w:r>
      <w:r w:rsidRPr="00936AB9">
        <w:rPr>
          <w:rFonts w:ascii="Times New Roman" w:hAnsi="Times New Roman" w:cs="Times New Roman"/>
          <w:sz w:val="24"/>
          <w:szCs w:val="24"/>
        </w:rPr>
        <w:t>(2), pp.258-265.</w:t>
      </w:r>
    </w:p>
    <w:p w14:paraId="00BC0BCF"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Braun, V. and Clarke, V., 2006. Using thematic analysis in psychology. </w:t>
      </w:r>
      <w:r w:rsidRPr="00936AB9">
        <w:rPr>
          <w:rFonts w:ascii="Times New Roman" w:eastAsia="SimSun" w:hAnsi="Times New Roman" w:cs="Times New Roman"/>
          <w:i/>
          <w:iCs/>
          <w:color w:val="222222"/>
          <w:sz w:val="24"/>
          <w:szCs w:val="24"/>
          <w:shd w:val="clear" w:color="auto" w:fill="FFFFFF"/>
        </w:rPr>
        <w:t>Qualitative research in psychology</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3</w:t>
      </w:r>
      <w:r w:rsidRPr="00936AB9">
        <w:rPr>
          <w:rFonts w:ascii="Times New Roman" w:eastAsia="SimSun" w:hAnsi="Times New Roman" w:cs="Times New Roman"/>
          <w:color w:val="222222"/>
          <w:sz w:val="24"/>
          <w:szCs w:val="24"/>
          <w:shd w:val="clear" w:color="auto" w:fill="FFFFFF"/>
        </w:rPr>
        <w:t>(2), pp.77-101.</w:t>
      </w:r>
    </w:p>
    <w:p w14:paraId="491DB5A7"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Bryman, A., 2016. </w:t>
      </w:r>
      <w:r w:rsidRPr="00936AB9">
        <w:rPr>
          <w:rFonts w:ascii="Times New Roman" w:eastAsia="SimSun" w:hAnsi="Times New Roman" w:cs="Times New Roman"/>
          <w:i/>
          <w:iCs/>
          <w:color w:val="222222"/>
          <w:sz w:val="24"/>
          <w:szCs w:val="24"/>
          <w:shd w:val="clear" w:color="auto" w:fill="FFFFFF"/>
        </w:rPr>
        <w:t>Social research methods</w:t>
      </w:r>
      <w:r w:rsidRPr="00936AB9">
        <w:rPr>
          <w:rFonts w:ascii="Times New Roman" w:eastAsia="SimSun" w:hAnsi="Times New Roman" w:cs="Times New Roman"/>
          <w:color w:val="222222"/>
          <w:sz w:val="24"/>
          <w:szCs w:val="24"/>
          <w:shd w:val="clear" w:color="auto" w:fill="FFFFFF"/>
        </w:rPr>
        <w:t xml:space="preserve">. Oxford </w:t>
      </w:r>
      <w:r>
        <w:rPr>
          <w:rFonts w:ascii="Times New Roman" w:eastAsia="SimSun" w:hAnsi="Times New Roman" w:cs="Times New Roman"/>
          <w:color w:val="222222"/>
          <w:sz w:val="24"/>
          <w:szCs w:val="24"/>
          <w:shd w:val="clear" w:color="auto" w:fill="FFFFFF"/>
        </w:rPr>
        <w:t>University Press</w:t>
      </w:r>
      <w:r w:rsidRPr="00936AB9">
        <w:rPr>
          <w:rFonts w:ascii="Times New Roman" w:eastAsia="SimSun" w:hAnsi="Times New Roman" w:cs="Times New Roman"/>
          <w:color w:val="222222"/>
          <w:sz w:val="24"/>
          <w:szCs w:val="24"/>
          <w:shd w:val="clear" w:color="auto" w:fill="FFFFFF"/>
        </w:rPr>
        <w:t>.</w:t>
      </w:r>
    </w:p>
    <w:p w14:paraId="13CE9D04"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Gupta, S. and Zeithaml, V., 2006. Customer metrics and their impact on financial performance. </w:t>
      </w:r>
      <w:r w:rsidRPr="00936AB9">
        <w:rPr>
          <w:rFonts w:ascii="Times New Roman" w:eastAsia="SimSun" w:hAnsi="Times New Roman" w:cs="Times New Roman"/>
          <w:i/>
          <w:iCs/>
          <w:color w:val="222222"/>
          <w:sz w:val="24"/>
          <w:szCs w:val="24"/>
          <w:shd w:val="clear" w:color="auto" w:fill="FFFFFF"/>
        </w:rPr>
        <w:t>Marketing science</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25</w:t>
      </w:r>
      <w:r w:rsidRPr="00936AB9">
        <w:rPr>
          <w:rFonts w:ascii="Times New Roman" w:eastAsia="SimSun" w:hAnsi="Times New Roman" w:cs="Times New Roman"/>
          <w:color w:val="222222"/>
          <w:sz w:val="24"/>
          <w:szCs w:val="24"/>
          <w:shd w:val="clear" w:color="auto" w:fill="FFFFFF"/>
        </w:rPr>
        <w:t>(6), pp.718-739.</w:t>
      </w:r>
    </w:p>
    <w:p w14:paraId="786A5D1E"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Hinterhuber, A., 2008. Customer value‐based pricing strategies: why companies resist. </w:t>
      </w:r>
      <w:r w:rsidRPr="00936AB9">
        <w:rPr>
          <w:rFonts w:ascii="Times New Roman" w:eastAsia="SimSun" w:hAnsi="Times New Roman" w:cs="Times New Roman"/>
          <w:i/>
          <w:iCs/>
          <w:color w:val="222222"/>
          <w:sz w:val="24"/>
          <w:szCs w:val="24"/>
          <w:shd w:val="clear" w:color="auto" w:fill="FFFFFF"/>
        </w:rPr>
        <w:t xml:space="preserve">Journal of </w:t>
      </w:r>
      <w:r>
        <w:rPr>
          <w:rFonts w:ascii="Times New Roman" w:eastAsia="SimSun" w:hAnsi="Times New Roman" w:cs="Times New Roman"/>
          <w:i/>
          <w:iCs/>
          <w:color w:val="222222"/>
          <w:sz w:val="24"/>
          <w:szCs w:val="24"/>
          <w:shd w:val="clear" w:color="auto" w:fill="FFFFFF"/>
        </w:rPr>
        <w:t>Business Strategy</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29</w:t>
      </w:r>
      <w:r w:rsidRPr="00936AB9">
        <w:rPr>
          <w:rFonts w:ascii="Times New Roman" w:eastAsia="SimSun" w:hAnsi="Times New Roman" w:cs="Times New Roman"/>
          <w:color w:val="222222"/>
          <w:sz w:val="24"/>
          <w:szCs w:val="24"/>
          <w:shd w:val="clear" w:color="auto" w:fill="FFFFFF"/>
        </w:rPr>
        <w:t>(4), pp.41-50.</w:t>
      </w:r>
    </w:p>
    <w:p w14:paraId="238350B8"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Hoseason, J., 2003. Pricing: Making profitable decisions. </w:t>
      </w:r>
      <w:r w:rsidRPr="00936AB9">
        <w:rPr>
          <w:rFonts w:ascii="Times New Roman" w:eastAsia="SimSun" w:hAnsi="Times New Roman" w:cs="Times New Roman"/>
          <w:i/>
          <w:iCs/>
          <w:color w:val="222222"/>
          <w:sz w:val="24"/>
          <w:szCs w:val="24"/>
          <w:shd w:val="clear" w:color="auto" w:fill="FFFFFF"/>
        </w:rPr>
        <w:t>Journal of Revenue and Pricing Management</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2</w:t>
      </w:r>
      <w:r w:rsidRPr="00936AB9">
        <w:rPr>
          <w:rFonts w:ascii="Times New Roman" w:eastAsia="SimSun" w:hAnsi="Times New Roman" w:cs="Times New Roman"/>
          <w:color w:val="222222"/>
          <w:sz w:val="24"/>
          <w:szCs w:val="24"/>
          <w:shd w:val="clear" w:color="auto" w:fill="FFFFFF"/>
        </w:rPr>
        <w:t>(2), pp.175-177.</w:t>
      </w:r>
    </w:p>
    <w:p w14:paraId="7FBC7064"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Lemon, K.N. and Verhoef, P.C., 2016. Understanding customer experience throughout the customer journey. </w:t>
      </w:r>
      <w:r w:rsidRPr="00936AB9">
        <w:rPr>
          <w:rFonts w:ascii="Times New Roman" w:eastAsia="SimSun" w:hAnsi="Times New Roman" w:cs="Times New Roman"/>
          <w:i/>
          <w:iCs/>
          <w:color w:val="222222"/>
          <w:sz w:val="24"/>
          <w:szCs w:val="24"/>
          <w:shd w:val="clear" w:color="auto" w:fill="FFFFFF"/>
        </w:rPr>
        <w:t xml:space="preserve">Journal of </w:t>
      </w:r>
      <w:r>
        <w:rPr>
          <w:rFonts w:ascii="Times New Roman" w:eastAsia="SimSun" w:hAnsi="Times New Roman" w:cs="Times New Roman"/>
          <w:i/>
          <w:iCs/>
          <w:color w:val="222222"/>
          <w:sz w:val="24"/>
          <w:szCs w:val="24"/>
          <w:shd w:val="clear" w:color="auto" w:fill="FFFFFF"/>
        </w:rPr>
        <w:t>Marketing</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80</w:t>
      </w:r>
      <w:r w:rsidRPr="00936AB9">
        <w:rPr>
          <w:rFonts w:ascii="Times New Roman" w:eastAsia="SimSun" w:hAnsi="Times New Roman" w:cs="Times New Roman"/>
          <w:color w:val="222222"/>
          <w:sz w:val="24"/>
          <w:szCs w:val="24"/>
          <w:shd w:val="clear" w:color="auto" w:fill="FFFFFF"/>
        </w:rPr>
        <w:t>(6), pp.69-96.</w:t>
      </w:r>
    </w:p>
    <w:p w14:paraId="7B30AC74"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 xml:space="preserve">Mintel. (2023). Subscription services – UK – 2023. Mintel Group Ltd </w:t>
      </w:r>
      <w:hyperlink r:id="rId6" w:history="1">
        <w:r w:rsidRPr="00936AB9">
          <w:rPr>
            <w:rStyle w:val="Hyperlink"/>
            <w:rFonts w:ascii="Times New Roman" w:hAnsi="Times New Roman" w:cs="Times New Roman"/>
            <w:sz w:val="24"/>
            <w:szCs w:val="24"/>
          </w:rPr>
          <w:t>https://store.mintel.com/report/uk-online-retailing-market-report-2023</w:t>
        </w:r>
      </w:hyperlink>
      <w:r w:rsidRPr="00936AB9">
        <w:rPr>
          <w:rFonts w:ascii="Times New Roman" w:hAnsi="Times New Roman" w:cs="Times New Roman"/>
          <w:sz w:val="24"/>
          <w:szCs w:val="24"/>
        </w:rPr>
        <w:t xml:space="preserve"> </w:t>
      </w:r>
    </w:p>
    <w:p w14:paraId="1554CF5C"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Nagle, T.T., 2024. The strategy and tactics of pricing.</w:t>
      </w:r>
    </w:p>
    <w:p w14:paraId="71A3C194" w14:textId="77777777" w:rsidR="000B7E7D" w:rsidRPr="00936AB9"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 xml:space="preserve">Office for National Statistics. (2023). Consumer price inflation, UK: October 2022. ONS. </w:t>
      </w:r>
      <w:hyperlink r:id="rId7" w:history="1">
        <w:r w:rsidRPr="00936AB9">
          <w:rPr>
            <w:rStyle w:val="Hyperlink"/>
            <w:rFonts w:ascii="Times New Roman" w:hAnsi="Times New Roman" w:cs="Times New Roman"/>
            <w:sz w:val="24"/>
            <w:szCs w:val="24"/>
          </w:rPr>
          <w:t>https://www.ons.gov.uk</w:t>
        </w:r>
      </w:hyperlink>
      <w:r w:rsidRPr="00936AB9">
        <w:rPr>
          <w:rFonts w:ascii="Times New Roman" w:hAnsi="Times New Roman" w:cs="Times New Roman"/>
          <w:sz w:val="24"/>
          <w:szCs w:val="24"/>
        </w:rPr>
        <w:t xml:space="preserve"> </w:t>
      </w:r>
    </w:p>
    <w:p w14:paraId="32463DB5"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Saunders, M., Lewis, P. and Thornhill, A., 2011. Research Methods for Business Students (4th edn.</w:t>
      </w:r>
    </w:p>
    <w:p w14:paraId="4BBA14CE"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 xml:space="preserve">Sweeney, J.C. and Soutar, G.N., 2001. Consumer perceived value: The development of a </w:t>
      </w:r>
      <w:r>
        <w:rPr>
          <w:rFonts w:ascii="Times New Roman" w:eastAsia="SimSun" w:hAnsi="Times New Roman" w:cs="Times New Roman"/>
          <w:color w:val="222222"/>
          <w:sz w:val="24"/>
          <w:szCs w:val="24"/>
          <w:shd w:val="clear" w:color="auto" w:fill="FFFFFF"/>
        </w:rPr>
        <w:t>multiple-item</w:t>
      </w:r>
      <w:r w:rsidRPr="00936AB9">
        <w:rPr>
          <w:rFonts w:ascii="Times New Roman" w:eastAsia="SimSun" w:hAnsi="Times New Roman" w:cs="Times New Roman"/>
          <w:color w:val="222222"/>
          <w:sz w:val="24"/>
          <w:szCs w:val="24"/>
          <w:shd w:val="clear" w:color="auto" w:fill="FFFFFF"/>
        </w:rPr>
        <w:t xml:space="preserve"> scale. </w:t>
      </w:r>
      <w:r w:rsidRPr="00936AB9">
        <w:rPr>
          <w:rFonts w:ascii="Times New Roman" w:eastAsia="SimSun" w:hAnsi="Times New Roman" w:cs="Times New Roman"/>
          <w:i/>
          <w:iCs/>
          <w:color w:val="222222"/>
          <w:sz w:val="24"/>
          <w:szCs w:val="24"/>
          <w:shd w:val="clear" w:color="auto" w:fill="FFFFFF"/>
        </w:rPr>
        <w:t xml:space="preserve">Journal of </w:t>
      </w:r>
      <w:r>
        <w:rPr>
          <w:rFonts w:ascii="Times New Roman" w:eastAsia="SimSun" w:hAnsi="Times New Roman" w:cs="Times New Roman"/>
          <w:i/>
          <w:iCs/>
          <w:color w:val="222222"/>
          <w:sz w:val="24"/>
          <w:szCs w:val="24"/>
          <w:shd w:val="clear" w:color="auto" w:fill="FFFFFF"/>
        </w:rPr>
        <w:t>Retailing</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77</w:t>
      </w:r>
      <w:r w:rsidRPr="00936AB9">
        <w:rPr>
          <w:rFonts w:ascii="Times New Roman" w:eastAsia="SimSun" w:hAnsi="Times New Roman" w:cs="Times New Roman"/>
          <w:color w:val="222222"/>
          <w:sz w:val="24"/>
          <w:szCs w:val="24"/>
          <w:shd w:val="clear" w:color="auto" w:fill="FFFFFF"/>
        </w:rPr>
        <w:t>(2), pp.203-220.</w:t>
      </w:r>
    </w:p>
    <w:p w14:paraId="3CBD0AB0"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lastRenderedPageBreak/>
        <w:t>Telkmann, V., 2024. Media libraries and subscription video-on-demand services in Germany: Usage habits and perceived differences from the user’s perspective. </w:t>
      </w:r>
      <w:r w:rsidRPr="00936AB9">
        <w:rPr>
          <w:rFonts w:ascii="Times New Roman" w:eastAsia="SimSun" w:hAnsi="Times New Roman" w:cs="Times New Roman"/>
          <w:i/>
          <w:iCs/>
          <w:color w:val="222222"/>
          <w:sz w:val="24"/>
          <w:szCs w:val="24"/>
          <w:shd w:val="clear" w:color="auto" w:fill="FFFFFF"/>
        </w:rPr>
        <w:t>Journal of Creative Industries and Cultural Studies: JOCIS</w:t>
      </w:r>
      <w:r w:rsidRPr="00936AB9">
        <w:rPr>
          <w:rFonts w:ascii="Times New Roman" w:eastAsia="SimSun" w:hAnsi="Times New Roman" w:cs="Times New Roman"/>
          <w:color w:val="222222"/>
          <w:sz w:val="24"/>
          <w:szCs w:val="24"/>
          <w:shd w:val="clear" w:color="auto" w:fill="FFFFFF"/>
        </w:rPr>
        <w:t>, (11), pp.176-214.</w:t>
      </w:r>
    </w:p>
    <w:p w14:paraId="3B4FD256"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Woodruff, R.B., 1997. Customer value: the next source for competitive advantage. </w:t>
      </w:r>
      <w:r w:rsidRPr="00936AB9">
        <w:rPr>
          <w:rFonts w:ascii="Times New Roman" w:eastAsia="SimSun" w:hAnsi="Times New Roman" w:cs="Times New Roman"/>
          <w:i/>
          <w:iCs/>
          <w:color w:val="222222"/>
          <w:sz w:val="24"/>
          <w:szCs w:val="24"/>
          <w:shd w:val="clear" w:color="auto" w:fill="FFFFFF"/>
        </w:rPr>
        <w:t xml:space="preserve">Journal of the </w:t>
      </w:r>
      <w:r>
        <w:rPr>
          <w:rFonts w:ascii="Times New Roman" w:eastAsia="SimSun" w:hAnsi="Times New Roman" w:cs="Times New Roman"/>
          <w:i/>
          <w:iCs/>
          <w:color w:val="222222"/>
          <w:sz w:val="24"/>
          <w:szCs w:val="24"/>
          <w:shd w:val="clear" w:color="auto" w:fill="FFFFFF"/>
        </w:rPr>
        <w:t>Academy</w:t>
      </w:r>
      <w:r w:rsidRPr="00936AB9">
        <w:rPr>
          <w:rFonts w:ascii="Times New Roman" w:eastAsia="SimSun" w:hAnsi="Times New Roman" w:cs="Times New Roman"/>
          <w:i/>
          <w:iCs/>
          <w:color w:val="222222"/>
          <w:sz w:val="24"/>
          <w:szCs w:val="24"/>
          <w:shd w:val="clear" w:color="auto" w:fill="FFFFFF"/>
        </w:rPr>
        <w:t xml:space="preserve"> of </w:t>
      </w:r>
      <w:r>
        <w:rPr>
          <w:rFonts w:ascii="Times New Roman" w:eastAsia="SimSun" w:hAnsi="Times New Roman" w:cs="Times New Roman"/>
          <w:i/>
          <w:iCs/>
          <w:color w:val="222222"/>
          <w:sz w:val="24"/>
          <w:szCs w:val="24"/>
          <w:shd w:val="clear" w:color="auto" w:fill="FFFFFF"/>
        </w:rPr>
        <w:t>Marketing Science</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25</w:t>
      </w:r>
      <w:r w:rsidRPr="00936AB9">
        <w:rPr>
          <w:rFonts w:ascii="Times New Roman" w:eastAsia="SimSun" w:hAnsi="Times New Roman" w:cs="Times New Roman"/>
          <w:color w:val="222222"/>
          <w:sz w:val="24"/>
          <w:szCs w:val="24"/>
          <w:shd w:val="clear" w:color="auto" w:fill="FFFFFF"/>
        </w:rPr>
        <w:t>(2), pp.139-153.</w:t>
      </w:r>
    </w:p>
    <w:p w14:paraId="00450344" w14:textId="77777777" w:rsidR="000B7E7D" w:rsidRPr="00936AB9" w:rsidRDefault="000B7E7D" w:rsidP="000B7E7D">
      <w:pPr>
        <w:spacing w:line="360" w:lineRule="auto"/>
        <w:jc w:val="both"/>
        <w:rPr>
          <w:rFonts w:ascii="Times New Roman" w:eastAsia="SimSun" w:hAnsi="Times New Roman" w:cs="Times New Roman"/>
          <w:color w:val="222222"/>
          <w:sz w:val="24"/>
          <w:szCs w:val="24"/>
          <w:shd w:val="clear" w:color="auto" w:fill="FFFFFF"/>
        </w:rPr>
      </w:pPr>
      <w:r w:rsidRPr="00936AB9">
        <w:rPr>
          <w:rFonts w:ascii="Times New Roman" w:eastAsia="SimSun" w:hAnsi="Times New Roman" w:cs="Times New Roman"/>
          <w:color w:val="222222"/>
          <w:sz w:val="24"/>
          <w:szCs w:val="24"/>
          <w:shd w:val="clear" w:color="auto" w:fill="FFFFFF"/>
        </w:rPr>
        <w:t>Zeithaml, V.A., 1988. Consumer perceptions of price, quality, and value: a means-end model and synthesis of evidence. </w:t>
      </w:r>
      <w:r w:rsidRPr="00936AB9">
        <w:rPr>
          <w:rFonts w:ascii="Times New Roman" w:eastAsia="SimSun" w:hAnsi="Times New Roman" w:cs="Times New Roman"/>
          <w:i/>
          <w:iCs/>
          <w:color w:val="222222"/>
          <w:sz w:val="24"/>
          <w:szCs w:val="24"/>
          <w:shd w:val="clear" w:color="auto" w:fill="FFFFFF"/>
        </w:rPr>
        <w:t xml:space="preserve">Journal of </w:t>
      </w:r>
      <w:r>
        <w:rPr>
          <w:rFonts w:ascii="Times New Roman" w:eastAsia="SimSun" w:hAnsi="Times New Roman" w:cs="Times New Roman"/>
          <w:i/>
          <w:iCs/>
          <w:color w:val="222222"/>
          <w:sz w:val="24"/>
          <w:szCs w:val="24"/>
          <w:shd w:val="clear" w:color="auto" w:fill="FFFFFF"/>
        </w:rPr>
        <w:t>Marketing</w:t>
      </w:r>
      <w:r w:rsidRPr="00936AB9">
        <w:rPr>
          <w:rFonts w:ascii="Times New Roman" w:eastAsia="SimSun" w:hAnsi="Times New Roman" w:cs="Times New Roman"/>
          <w:color w:val="222222"/>
          <w:sz w:val="24"/>
          <w:szCs w:val="24"/>
          <w:shd w:val="clear" w:color="auto" w:fill="FFFFFF"/>
        </w:rPr>
        <w:t>, </w:t>
      </w:r>
      <w:r w:rsidRPr="00936AB9">
        <w:rPr>
          <w:rFonts w:ascii="Times New Roman" w:eastAsia="SimSun" w:hAnsi="Times New Roman" w:cs="Times New Roman"/>
          <w:i/>
          <w:iCs/>
          <w:color w:val="222222"/>
          <w:sz w:val="24"/>
          <w:szCs w:val="24"/>
          <w:shd w:val="clear" w:color="auto" w:fill="FFFFFF"/>
        </w:rPr>
        <w:t>52</w:t>
      </w:r>
      <w:r w:rsidRPr="00936AB9">
        <w:rPr>
          <w:rFonts w:ascii="Times New Roman" w:eastAsia="SimSun" w:hAnsi="Times New Roman" w:cs="Times New Roman"/>
          <w:color w:val="222222"/>
          <w:sz w:val="24"/>
          <w:szCs w:val="24"/>
          <w:shd w:val="clear" w:color="auto" w:fill="FFFFFF"/>
        </w:rPr>
        <w:t>(3), pp.2-22.</w:t>
      </w:r>
    </w:p>
    <w:p w14:paraId="729AE8E5" w14:textId="77777777" w:rsidR="000B7E7D" w:rsidRPr="002B033F" w:rsidRDefault="000B7E7D" w:rsidP="000B7E7D">
      <w:pPr>
        <w:spacing w:line="360" w:lineRule="auto"/>
        <w:jc w:val="both"/>
        <w:rPr>
          <w:rFonts w:ascii="Times New Roman" w:hAnsi="Times New Roman" w:cs="Times New Roman"/>
          <w:sz w:val="24"/>
          <w:szCs w:val="24"/>
        </w:rPr>
      </w:pPr>
      <w:r w:rsidRPr="00936AB9">
        <w:rPr>
          <w:rFonts w:ascii="Times New Roman" w:hAnsi="Times New Roman" w:cs="Times New Roman"/>
          <w:sz w:val="24"/>
          <w:szCs w:val="24"/>
        </w:rPr>
        <w:t xml:space="preserve">Zuora. (2023). Subscription economy index: Global subscription performance benchmarks. Zuora Inc </w:t>
      </w:r>
      <w:hyperlink r:id="rId8" w:history="1">
        <w:r w:rsidRPr="00936AB9">
          <w:rPr>
            <w:rStyle w:val="Hyperlink"/>
            <w:rFonts w:ascii="Times New Roman" w:hAnsi="Times New Roman" w:cs="Times New Roman"/>
            <w:sz w:val="24"/>
            <w:szCs w:val="24"/>
          </w:rPr>
          <w:t>https://www.zuora.com/wp-content/uploads/2023/03/Zuora_SEI_2023_Q2.pdf</w:t>
        </w:r>
      </w:hyperlink>
      <w:r w:rsidRPr="002B033F">
        <w:rPr>
          <w:rFonts w:ascii="Times New Roman" w:hAnsi="Times New Roman" w:cs="Times New Roman"/>
          <w:sz w:val="24"/>
          <w:szCs w:val="24"/>
        </w:rPr>
        <w:t xml:space="preserve"> </w:t>
      </w:r>
    </w:p>
    <w:p w14:paraId="44941B36" w14:textId="77777777" w:rsidR="00EE4105" w:rsidRDefault="00EE4105"/>
    <w:sectPr w:rsidR="00EE4105" w:rsidSect="000B7E7D">
      <w:headerReference w:type="default" r:id="rId9"/>
      <w:footerReference w:type="default" r:id="rId10"/>
      <w:pgSz w:w="12240" w:h="15840"/>
      <w:pgMar w:top="1440" w:right="1260" w:bottom="1440" w:left="126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58932" w14:textId="77777777" w:rsidR="000B7E7D" w:rsidRDefault="000B7E7D">
    <w:pPr>
      <w:pBdr>
        <w:top w:val="single" w:sz="4" w:space="4" w:color="1F3864"/>
      </w:pBdr>
      <w:jc w:val="center"/>
    </w:pPr>
    <w:r>
      <w:rPr>
        <w:color w:val="888888"/>
        <w:sz w:val="16"/>
        <w:szCs w:val="16"/>
      </w:rPr>
      <w:t xml:space="preserve">Page </w:t>
    </w:r>
    <w:r>
      <w:rPr>
        <w:color w:val="888888"/>
        <w:sz w:val="16"/>
        <w:szCs w:val="16"/>
      </w:rPr>
      <w:fldChar w:fldCharType="begin"/>
    </w:r>
    <w:r>
      <w:rPr>
        <w:color w:val="888888"/>
        <w:sz w:val="16"/>
        <w:szCs w:val="16"/>
      </w:rPr>
      <w:instrText>PAGE</w:instrText>
    </w:r>
    <w:r>
      <w:rPr>
        <w:color w:val="888888"/>
        <w:sz w:val="16"/>
        <w:szCs w:val="16"/>
      </w:rPr>
      <w:fldChar w:fldCharType="separate"/>
    </w:r>
    <w:r>
      <w:rPr>
        <w:color w:val="888888"/>
        <w:sz w:val="16"/>
        <w:szCs w:val="16"/>
      </w:rPr>
      <w:t>1</w:t>
    </w:r>
    <w:r>
      <w:rPr>
        <w:color w:val="888888"/>
        <w:sz w:val="16"/>
        <w:szCs w:val="16"/>
      </w:rP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584F1" w14:textId="77777777" w:rsidR="000B7E7D" w:rsidRPr="00643F36" w:rsidRDefault="000B7E7D" w:rsidP="002B033F">
    <w:pPr>
      <w:pBdr>
        <w:bottom w:val="single" w:sz="4" w:space="4" w:color="1F3864"/>
      </w:pBdr>
      <w:rPr>
        <w:b/>
        <w:bCs/>
        <w:i/>
        <w:iCs/>
        <w:sz w:val="16"/>
        <w:szCs w:val="16"/>
      </w:rPr>
    </w:pPr>
    <w:r w:rsidRPr="00643F36">
      <w:rPr>
        <w:b/>
        <w:bCs/>
        <w:i/>
        <w:iCs/>
        <w:sz w:val="16"/>
        <w:szCs w:val="16"/>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1216D"/>
    <w:multiLevelType w:val="hybridMultilevel"/>
    <w:tmpl w:val="19FC3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C318F4"/>
    <w:multiLevelType w:val="hybridMultilevel"/>
    <w:tmpl w:val="F5A45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657E26"/>
    <w:multiLevelType w:val="hybridMultilevel"/>
    <w:tmpl w:val="7A9AF88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3C433C3"/>
    <w:multiLevelType w:val="hybridMultilevel"/>
    <w:tmpl w:val="1CDC76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7860F1"/>
    <w:multiLevelType w:val="hybridMultilevel"/>
    <w:tmpl w:val="776E3F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F3D2549"/>
    <w:multiLevelType w:val="hybridMultilevel"/>
    <w:tmpl w:val="18220E2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997919829">
    <w:abstractNumId w:val="4"/>
  </w:num>
  <w:num w:numId="2" w16cid:durableId="337856538">
    <w:abstractNumId w:val="3"/>
  </w:num>
  <w:num w:numId="3" w16cid:durableId="674066856">
    <w:abstractNumId w:val="5"/>
  </w:num>
  <w:num w:numId="4" w16cid:durableId="1583758250">
    <w:abstractNumId w:val="0"/>
  </w:num>
  <w:num w:numId="5" w16cid:durableId="1048725730">
    <w:abstractNumId w:val="2"/>
  </w:num>
  <w:num w:numId="6" w16cid:durableId="430317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E7D"/>
    <w:rsid w:val="000B7E7D"/>
    <w:rsid w:val="004D14B7"/>
    <w:rsid w:val="00952158"/>
    <w:rsid w:val="00A7110D"/>
    <w:rsid w:val="00CA1F84"/>
    <w:rsid w:val="00EE4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872EF"/>
  <w15:chartTrackingRefBased/>
  <w15:docId w15:val="{228A741F-D425-484D-AF46-4F5D88F98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E7D"/>
    <w:pPr>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4D1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4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4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4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4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4B7"/>
    <w:rPr>
      <w:rFonts w:eastAsiaTheme="majorEastAsia" w:cstheme="majorBidi"/>
      <w:color w:val="272727" w:themeColor="text1" w:themeTint="D8"/>
    </w:rPr>
  </w:style>
  <w:style w:type="paragraph" w:styleId="Title">
    <w:name w:val="Title"/>
    <w:basedOn w:val="Normal"/>
    <w:next w:val="Normal"/>
    <w:link w:val="TitleChar"/>
    <w:uiPriority w:val="10"/>
    <w:qFormat/>
    <w:rsid w:val="004D14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4B7"/>
    <w:rPr>
      <w:rFonts w:eastAsiaTheme="majorEastAsia" w:cstheme="majorBidi"/>
      <w:color w:val="595959" w:themeColor="text1" w:themeTint="A6"/>
      <w:spacing w:val="15"/>
      <w:sz w:val="28"/>
      <w:szCs w:val="28"/>
    </w:rPr>
  </w:style>
  <w:style w:type="paragraph" w:styleId="ListParagraph">
    <w:name w:val="List Paragraph"/>
    <w:basedOn w:val="Normal"/>
    <w:qFormat/>
    <w:rsid w:val="004D14B7"/>
    <w:pPr>
      <w:ind w:left="720"/>
      <w:contextualSpacing/>
    </w:pPr>
  </w:style>
  <w:style w:type="paragraph" w:styleId="Quote">
    <w:name w:val="Quote"/>
    <w:basedOn w:val="Normal"/>
    <w:next w:val="Normal"/>
    <w:link w:val="QuoteChar"/>
    <w:uiPriority w:val="29"/>
    <w:qFormat/>
    <w:rsid w:val="004D14B7"/>
    <w:pPr>
      <w:spacing w:before="160"/>
      <w:jc w:val="center"/>
    </w:pPr>
    <w:rPr>
      <w:i/>
      <w:iCs/>
      <w:color w:val="404040" w:themeColor="text1" w:themeTint="BF"/>
    </w:rPr>
  </w:style>
  <w:style w:type="character" w:customStyle="1" w:styleId="QuoteChar">
    <w:name w:val="Quote Char"/>
    <w:basedOn w:val="DefaultParagraphFont"/>
    <w:link w:val="Quote"/>
    <w:uiPriority w:val="29"/>
    <w:rsid w:val="004D14B7"/>
    <w:rPr>
      <w:i/>
      <w:iCs/>
      <w:color w:val="404040" w:themeColor="text1" w:themeTint="BF"/>
    </w:rPr>
  </w:style>
  <w:style w:type="paragraph" w:styleId="IntenseQuote">
    <w:name w:val="Intense Quote"/>
    <w:basedOn w:val="Normal"/>
    <w:next w:val="Normal"/>
    <w:link w:val="IntenseQuoteChar"/>
    <w:uiPriority w:val="30"/>
    <w:qFormat/>
    <w:rsid w:val="004D1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4B7"/>
    <w:rPr>
      <w:i/>
      <w:iCs/>
      <w:color w:val="0F4761" w:themeColor="accent1" w:themeShade="BF"/>
    </w:rPr>
  </w:style>
  <w:style w:type="character" w:styleId="IntenseEmphasis">
    <w:name w:val="Intense Emphasis"/>
    <w:basedOn w:val="DefaultParagraphFont"/>
    <w:uiPriority w:val="21"/>
    <w:qFormat/>
    <w:rsid w:val="004D14B7"/>
    <w:rPr>
      <w:i/>
      <w:iCs/>
      <w:color w:val="0F4761" w:themeColor="accent1" w:themeShade="BF"/>
    </w:rPr>
  </w:style>
  <w:style w:type="character" w:styleId="IntenseReference">
    <w:name w:val="Intense Reference"/>
    <w:basedOn w:val="DefaultParagraphFont"/>
    <w:uiPriority w:val="32"/>
    <w:qFormat/>
    <w:rsid w:val="004D14B7"/>
    <w:rPr>
      <w:b/>
      <w:bCs/>
      <w:smallCaps/>
      <w:color w:val="0F4761" w:themeColor="accent1" w:themeShade="BF"/>
      <w:spacing w:val="5"/>
    </w:rPr>
  </w:style>
  <w:style w:type="character" w:styleId="Hyperlink">
    <w:name w:val="Hyperlink"/>
    <w:uiPriority w:val="99"/>
    <w:unhideWhenUsed/>
    <w:qFormat/>
    <w:rsid w:val="000B7E7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uora.com/wp-content/uploads/2023/03/Zuora_SEI_2023_Q2.pdf" TargetMode="External"/><Relationship Id="rId3" Type="http://schemas.openxmlformats.org/officeDocument/2006/relationships/settings" Target="settings.xml"/><Relationship Id="rId7" Type="http://schemas.openxmlformats.org/officeDocument/2006/relationships/hyperlink" Target="https://www.ons.gov.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ore.mintel.com/report/uk-online-retailing-market-report-2023" TargetMode="External"/><Relationship Id="rId11" Type="http://schemas.openxmlformats.org/officeDocument/2006/relationships/fontTable" Target="fontTable.xml"/><Relationship Id="rId5" Type="http://schemas.openxmlformats.org/officeDocument/2006/relationships/hyperlink" Target="https://home.barclays/insights/2025/10/Next-Phase-Subscription-Economy/"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3645</Words>
  <Characters>20778</Characters>
  <Application>Microsoft Office Word</Application>
  <DocSecurity>0</DocSecurity>
  <Lines>173</Lines>
  <Paragraphs>48</Paragraphs>
  <ScaleCrop>false</ScaleCrop>
  <Company/>
  <LinksUpToDate>false</LinksUpToDate>
  <CharactersWithSpaces>24375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Ravikumar Pankajkumar Valand (2421255)</dc:creator>
  <cp:keywords/>
  <dc:description/>
  <cp:lastModifiedBy>Ravikumar Pankajkumar Valand (2421255)</cp:lastModifiedBy>
  <cp:revision>1</cp:revision>
  <dcterms:created xsi:type="dcterms:W3CDTF">2026-03-19T08:07:00Z</dcterms:created>
  <dcterms:modified xsi:type="dcterms:W3CDTF">2026-03-19T08:07:00Z</dcterms:modified>
</cp:coreProperties>
</file>