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2C7AF0" w14:textId="45A58657" w:rsidR="00432D0D" w:rsidRPr="00432D0D" w:rsidRDefault="00432D0D"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Student Name: Molina Begum</w:t>
      </w:r>
    </w:p>
    <w:p w14:paraId="5C4292F0" w14:textId="7A1FA0CD" w:rsidR="00432D0D" w:rsidRPr="00432D0D" w:rsidRDefault="00432D0D"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Student ID: 2110793</w:t>
      </w:r>
    </w:p>
    <w:p w14:paraId="478F9E84" w14:textId="77777777" w:rsidR="00432D0D" w:rsidRPr="00432D0D" w:rsidRDefault="00432D0D"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Module: Human Resource Management BMIH5005</w:t>
      </w:r>
    </w:p>
    <w:p w14:paraId="7B980DD9" w14:textId="77777777" w:rsidR="00432D0D" w:rsidRPr="00432D0D" w:rsidRDefault="00432D0D"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 xml:space="preserve">Lecturer: </w:t>
      </w:r>
      <w:proofErr w:type="spellStart"/>
      <w:r w:rsidRPr="00432D0D">
        <w:rPr>
          <w:rFonts w:ascii="Arial" w:hAnsi="Arial" w:cs="Arial"/>
          <w:color w:val="auto"/>
          <w:sz w:val="24"/>
          <w:szCs w:val="24"/>
          <w:lang w:val="en-GB"/>
        </w:rPr>
        <w:t>Kathyrn</w:t>
      </w:r>
      <w:proofErr w:type="spellEnd"/>
      <w:r w:rsidRPr="00432D0D">
        <w:rPr>
          <w:rFonts w:ascii="Arial" w:hAnsi="Arial" w:cs="Arial"/>
          <w:color w:val="auto"/>
          <w:sz w:val="24"/>
          <w:szCs w:val="24"/>
          <w:lang w:val="en-GB"/>
        </w:rPr>
        <w:t xml:space="preserve"> Roberts</w:t>
      </w:r>
    </w:p>
    <w:p w14:paraId="382055BF" w14:textId="77777777" w:rsidR="00432D0D" w:rsidRDefault="00432D0D" w:rsidP="00432D0D">
      <w:pPr>
        <w:spacing w:line="360" w:lineRule="auto"/>
        <w:rPr>
          <w:rFonts w:ascii="Arial" w:hAnsi="Arial" w:cs="Arial"/>
          <w:b/>
          <w:bCs/>
          <w:color w:val="auto"/>
          <w:sz w:val="24"/>
          <w:szCs w:val="24"/>
          <w:u w:val="single"/>
          <w:lang w:val="en-GB"/>
        </w:rPr>
      </w:pPr>
    </w:p>
    <w:p w14:paraId="7A65EA14" w14:textId="77777777" w:rsidR="00432D0D" w:rsidRDefault="00432D0D" w:rsidP="00432D0D">
      <w:pPr>
        <w:spacing w:line="360" w:lineRule="auto"/>
        <w:rPr>
          <w:rFonts w:ascii="Arial" w:hAnsi="Arial" w:cs="Arial"/>
          <w:b/>
          <w:bCs/>
          <w:color w:val="auto"/>
          <w:sz w:val="24"/>
          <w:szCs w:val="24"/>
          <w:u w:val="single"/>
          <w:lang w:val="en-GB"/>
        </w:rPr>
      </w:pPr>
    </w:p>
    <w:p w14:paraId="494C6002" w14:textId="4B864DDD" w:rsidR="00E742C8" w:rsidRPr="00432D0D" w:rsidRDefault="00432D0D" w:rsidP="00432D0D">
      <w:pPr>
        <w:spacing w:line="360" w:lineRule="auto"/>
        <w:rPr>
          <w:rFonts w:ascii="Arial" w:hAnsi="Arial" w:cs="Arial"/>
          <w:b/>
          <w:bCs/>
          <w:color w:val="auto"/>
          <w:sz w:val="24"/>
          <w:szCs w:val="24"/>
          <w:u w:val="single"/>
          <w:lang w:val="en-GB"/>
        </w:rPr>
      </w:pPr>
      <w:r w:rsidRPr="00432D0D">
        <w:rPr>
          <w:rFonts w:ascii="Arial" w:hAnsi="Arial" w:cs="Arial"/>
          <w:b/>
          <w:bCs/>
          <w:color w:val="auto"/>
          <w:sz w:val="24"/>
          <w:szCs w:val="24"/>
          <w:u w:val="single"/>
          <w:lang w:val="en-GB"/>
        </w:rPr>
        <w:t>How to engage employees through the employee lifecycle</w:t>
      </w:r>
    </w:p>
    <w:p w14:paraId="6E7C8F19" w14:textId="2BEA3758" w:rsidR="00720AE6" w:rsidRPr="00432D0D" w:rsidRDefault="00720AE6"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This essay will examine the career engagement strategies used by organisations, with a focus on hotels. The concept of employee engagement pertains to the degree of commitment, enthusiasm, and enjoyment that employees have towards their jobs (Rodriguez et al., 2021). It will look at HR's duties and tasks in relation to employee engagement. In addition, the employee cycle—which outlines the procedures from hiring to firing—as well as the factors that contribute to employee engagement and how a large hotel chain may profit from them will be discussed.</w:t>
      </w:r>
    </w:p>
    <w:p w14:paraId="71D500D0" w14:textId="4A718D17" w:rsidR="00E742C8" w:rsidRPr="00432D0D" w:rsidRDefault="00720AE6"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In the hotel sector, a company's reputation may make or break it. Employees provide the most important and front-line. Employees provide the most important and front-line customer service in the industry. which is why human resources play such a crucial part in the operations of the hotel sector. Human resource managers act as a liaison between management and employees, supervising the hiring, interviewing, and onboarding of new personnel.</w:t>
      </w:r>
    </w:p>
    <w:p w14:paraId="4A0BAD45" w14:textId="32D1F674" w:rsidR="00720AE6" w:rsidRPr="00432D0D" w:rsidRDefault="00720AE6"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HR is in charge of hiring qualified and committed staff and keeping them on board in a challenging work environment. by hiring and training new employees, which is expensive and time-consuming.</w:t>
      </w:r>
    </w:p>
    <w:p w14:paraId="31F85DB3" w14:textId="79031E6C" w:rsidR="00FD5B5C" w:rsidRPr="00432D0D" w:rsidRDefault="00720AE6"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When workers are happy, employee engagement rises. Engaged employees are more likely to work for the same company for a long time. Long-term employees and low turnover are less expensive than frequent employee turnover. Hiring a new employee might cost anywhere from 50% to 200% of the former employee's salary</w:t>
      </w:r>
      <w:r w:rsidR="00432D0D">
        <w:rPr>
          <w:rFonts w:ascii="Arial" w:hAnsi="Arial" w:cs="Arial"/>
          <w:color w:val="auto"/>
          <w:sz w:val="24"/>
          <w:szCs w:val="24"/>
          <w:lang w:val="en-GB"/>
        </w:rPr>
        <w:t xml:space="preserve">. </w:t>
      </w:r>
      <w:r w:rsidRPr="00432D0D">
        <w:rPr>
          <w:rFonts w:ascii="Arial" w:hAnsi="Arial" w:cs="Arial"/>
          <w:color w:val="auto"/>
          <w:sz w:val="24"/>
          <w:szCs w:val="24"/>
          <w:lang w:val="en-GB"/>
        </w:rPr>
        <w:t xml:space="preserve">Staff turnover is inevitable, but you can control how much it costs you and how soon it occurs. </w:t>
      </w:r>
      <w:r w:rsidR="00432D0D">
        <w:rPr>
          <w:rFonts w:ascii="Arial" w:hAnsi="Arial" w:cs="Arial"/>
          <w:color w:val="auto"/>
          <w:sz w:val="24"/>
          <w:szCs w:val="24"/>
          <w:lang w:val="en-GB"/>
        </w:rPr>
        <w:t>A</w:t>
      </w:r>
      <w:r w:rsidRPr="00432D0D">
        <w:rPr>
          <w:rFonts w:ascii="Arial" w:hAnsi="Arial" w:cs="Arial"/>
          <w:color w:val="auto"/>
          <w:sz w:val="24"/>
          <w:szCs w:val="24"/>
          <w:lang w:val="en-GB"/>
        </w:rPr>
        <w:t xml:space="preserve"> disgruntled employee may cost around 18% of their pay (</w:t>
      </w:r>
      <w:proofErr w:type="spellStart"/>
      <w:r w:rsidRPr="00432D0D">
        <w:rPr>
          <w:rFonts w:ascii="Arial" w:hAnsi="Arial" w:cs="Arial"/>
          <w:color w:val="auto"/>
          <w:sz w:val="24"/>
          <w:szCs w:val="24"/>
          <w:lang w:val="en-GB"/>
        </w:rPr>
        <w:t>Rahmadani</w:t>
      </w:r>
      <w:proofErr w:type="spellEnd"/>
      <w:r w:rsidRPr="00432D0D">
        <w:rPr>
          <w:rFonts w:ascii="Arial" w:hAnsi="Arial" w:cs="Arial"/>
          <w:color w:val="auto"/>
          <w:sz w:val="24"/>
          <w:szCs w:val="24"/>
          <w:lang w:val="en-GB"/>
        </w:rPr>
        <w:t xml:space="preserve"> et al., 2020). Employees who are disengaged from their work exhibit a lack of enthusiasm and a decreased sense of passion. They have little interest in moving up in their careers or taking on new tasks. Good employee engagement ideas are becoming more and more vital for many firms to consider in order to increase productivity and profitability. A successful team relies heavily on communication. work by encouraging courteous conversation and attentive listening among team members, which keeps workers involved and gives them a sense of belonging (Rasheed et al., 2021)</w:t>
      </w:r>
      <w:r w:rsidR="00E742C8" w:rsidRPr="00432D0D">
        <w:rPr>
          <w:rFonts w:ascii="Arial" w:hAnsi="Arial" w:cs="Arial"/>
          <w:color w:val="auto"/>
          <w:sz w:val="24"/>
          <w:szCs w:val="24"/>
          <w:lang w:val="en-GB"/>
        </w:rPr>
        <w:t xml:space="preserve">. </w:t>
      </w:r>
      <w:r w:rsidR="00FD5B5C" w:rsidRPr="00432D0D">
        <w:rPr>
          <w:rFonts w:ascii="Arial" w:hAnsi="Arial" w:cs="Arial"/>
          <w:color w:val="auto"/>
          <w:sz w:val="24"/>
          <w:szCs w:val="24"/>
          <w:lang w:val="en-GB"/>
        </w:rPr>
        <w:t>It is crucial for simultaneously enhancing business operations, productivity, and efficiency. Acknowledge and value the diligence and hard work of your staff. Provide avenues for advancement inside the organisation. Employees who are more engaged at work are more likely to feel appreciated and content in their roles.</w:t>
      </w:r>
    </w:p>
    <w:p w14:paraId="57B48100" w14:textId="77777777" w:rsidR="00FD5B5C" w:rsidRPr="00432D0D" w:rsidRDefault="00FD5B5C"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If the HR division wants to boost employee engagement, it must determine what motivates and performs its workforce. According to a 2016 survey, millennials prioritise travel and flexible work schedules over all other advantages, with one-third of workers leaving their employment because of this. They attach great importance to a healthy work-life balance in addition to compensation (Su &amp; Hahn, 2021). Therefore, if your business employs a lot of millennials, you should advertise these advantages. By having regular meetings with your teams and their management, you may find out more about what motivates them in particular. What incentives and rewards are appealing to them. Taking the time to understand each employee's needs may help with regular communication and uncovering their individual motivations. This can result in a notable boost in employee satisfaction and productivity, which can have a good impact on a company striving to achieve its objectives. According to a research done in the Philippines, employee engagement at a major hotel chain increased when HR professionals promoted optimism and rewards (</w:t>
      </w:r>
      <w:proofErr w:type="spellStart"/>
      <w:r w:rsidRPr="00432D0D">
        <w:rPr>
          <w:rFonts w:ascii="Arial" w:hAnsi="Arial" w:cs="Arial"/>
          <w:color w:val="auto"/>
          <w:sz w:val="24"/>
          <w:szCs w:val="24"/>
          <w:lang w:val="en-GB"/>
        </w:rPr>
        <w:t>Presbitero</w:t>
      </w:r>
      <w:proofErr w:type="spellEnd"/>
      <w:r w:rsidRPr="00432D0D">
        <w:rPr>
          <w:rFonts w:ascii="Arial" w:hAnsi="Arial" w:cs="Arial"/>
          <w:color w:val="auto"/>
          <w:sz w:val="24"/>
          <w:szCs w:val="24"/>
          <w:lang w:val="en-GB"/>
        </w:rPr>
        <w:t>, 2016). This illustrates the impact that doable initiatives like a rewards programme and a positive attitude can have on the company.</w:t>
      </w:r>
    </w:p>
    <w:p w14:paraId="62338981" w14:textId="77777777" w:rsidR="00FD5B5C" w:rsidRPr="00432D0D" w:rsidRDefault="00FD5B5C"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 xml:space="preserve">Creating and promoting an employee experience that encourages longevity, prosperity, and high employee engagement ought to be deeply embedded in a company's culture. Rather of viewing employee engagement initiatives as one-time attempts made in times of low morale, the employee lifecycle model views engagement as a purposeful experience woven throughout the trajectory of each worker inside your company (Nilsson &amp; Nilsson, 2021). </w:t>
      </w:r>
    </w:p>
    <w:p w14:paraId="41753B7B" w14:textId="77777777" w:rsidR="00FD5B5C" w:rsidRPr="00432D0D" w:rsidRDefault="00FD5B5C"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The employee life cycle consists of six stages. The employee life cycle model identifies and articulates the key phases that a worker goes through when interacting with their company. The six discrete phases at work are attraction, recruiting, onboarding, development, retention, and separation. Employee moves through each level in the proper order.</w:t>
      </w:r>
    </w:p>
    <w:p w14:paraId="387FE509" w14:textId="77777777" w:rsidR="00FD5B5C" w:rsidRPr="00432D0D" w:rsidRDefault="00FD5B5C"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The first stage in getting an employee to work for your organisation is attraction. recruiting the best applicant to fit the requirements of your business. promoting employment stability, flexibility, and the company's brand as well as incentives (Nilsson and Nilsson, 2021).</w:t>
      </w:r>
    </w:p>
    <w:p w14:paraId="1504DCA1" w14:textId="77777777" w:rsidR="00FD5B5C" w:rsidRPr="00432D0D" w:rsidRDefault="00FD5B5C"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The second step is recruitment, which involves identifying the right person for the right role. This is the phase where screening, interviews, and shortlisting are conducted. Everyone is looking for the ideal candidate since there is a severe lack of suitable applicants in many industries. Here, HR employs a recruitment sourcing approach to locate the best applicant for the position and top talent through employee, social network, or referral recruiting programmes (Ahmad et al., 2022).</w:t>
      </w:r>
    </w:p>
    <w:p w14:paraId="1A0571DD" w14:textId="1AEA74A9" w:rsidR="00E742C8" w:rsidRPr="00432D0D" w:rsidRDefault="00FD5B5C"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The third and very important stage is onboarding. This guarantees that the worker is appropriate for their position inside the company. In order to facilitate a smooth transfer for employees, employers should provide them with information on the corporate culture, employment expectations, decision-making processes, and organisational structure of the company (Rasheed et al., 2021). Workers that are not successfully onboarded are not prepared for success. Professionally designed onboarding programmes that incorporate best practises like office visits, designated orientation time, in-depth explanations of all work processes and procedures, and prompt and insightful feedback during the first few weeks of employment produce the most successful new hires (</w:t>
      </w:r>
      <w:proofErr w:type="spellStart"/>
      <w:r w:rsidRPr="00432D0D">
        <w:rPr>
          <w:rFonts w:ascii="Arial" w:hAnsi="Arial" w:cs="Arial"/>
          <w:color w:val="auto"/>
          <w:sz w:val="24"/>
          <w:szCs w:val="24"/>
          <w:lang w:val="en-GB"/>
        </w:rPr>
        <w:t>Chak-keung</w:t>
      </w:r>
      <w:proofErr w:type="spellEnd"/>
      <w:r w:rsidRPr="00432D0D">
        <w:rPr>
          <w:rFonts w:ascii="Arial" w:hAnsi="Arial" w:cs="Arial"/>
          <w:color w:val="auto"/>
          <w:sz w:val="24"/>
          <w:szCs w:val="24"/>
          <w:lang w:val="en-GB"/>
        </w:rPr>
        <w:t xml:space="preserve"> et al., 2009). Employees can learn the locations of staff rooms, various work stations, managers' offices, and their work area by taking tours. On their first day, new hires might also benefit greatly from being given the rundown on staff introductions, parking details, break room locations, and instructions to the restrooms. Allocated orientation time is essential for new hires' adjustment and integration into the company; employers shouldn't just throw the new hire in the deep end of operations.</w:t>
      </w:r>
      <w:r w:rsidR="00E742C8" w:rsidRPr="00432D0D">
        <w:rPr>
          <w:rFonts w:ascii="Arial" w:hAnsi="Arial" w:cs="Arial"/>
          <w:color w:val="auto"/>
          <w:sz w:val="24"/>
          <w:szCs w:val="24"/>
          <w:lang w:val="en-GB"/>
        </w:rPr>
        <w:t xml:space="preserve"> </w:t>
      </w:r>
      <w:r w:rsidRPr="00432D0D">
        <w:rPr>
          <w:rFonts w:ascii="Arial" w:hAnsi="Arial" w:cs="Arial"/>
          <w:color w:val="auto"/>
          <w:sz w:val="24"/>
          <w:szCs w:val="24"/>
          <w:lang w:val="en-GB"/>
        </w:rPr>
        <w:t>All of these factors are unquestionably important to take into account when hiring for a major hotel. There will be a lot of people working, so it may be overwhelming to be a new hire. A smooth transition may be ensured by making the new employee acquainted with the current staff, making sure they are familiar with the area, and educating them on various details of the hotel (</w:t>
      </w:r>
      <w:proofErr w:type="spellStart"/>
      <w:r w:rsidRPr="00432D0D">
        <w:rPr>
          <w:rFonts w:ascii="Arial" w:hAnsi="Arial" w:cs="Arial"/>
          <w:color w:val="auto"/>
          <w:sz w:val="24"/>
          <w:szCs w:val="24"/>
          <w:lang w:val="en-GB"/>
        </w:rPr>
        <w:t>Wiese</w:t>
      </w:r>
      <w:proofErr w:type="spellEnd"/>
      <w:r w:rsidRPr="00432D0D">
        <w:rPr>
          <w:rFonts w:ascii="Arial" w:hAnsi="Arial" w:cs="Arial"/>
          <w:color w:val="auto"/>
          <w:sz w:val="24"/>
          <w:szCs w:val="24"/>
          <w:lang w:val="en-GB"/>
        </w:rPr>
        <w:t xml:space="preserve"> et al., 2022).</w:t>
      </w:r>
      <w:r w:rsidRPr="00432D0D">
        <w:rPr>
          <w:rFonts w:ascii="Arial" w:hAnsi="Arial" w:cs="Arial"/>
          <w:color w:val="auto"/>
          <w:sz w:val="24"/>
          <w:szCs w:val="24"/>
        </w:rPr>
        <w:t xml:space="preserve"> </w:t>
      </w:r>
      <w:r w:rsidRPr="00432D0D">
        <w:rPr>
          <w:rFonts w:ascii="Arial" w:hAnsi="Arial" w:cs="Arial"/>
          <w:color w:val="auto"/>
          <w:sz w:val="24"/>
          <w:szCs w:val="24"/>
          <w:lang w:val="en-GB"/>
        </w:rPr>
        <w:t>An employee seems to be best onboarded with a specialised orientation day covering the topics mentioned.</w:t>
      </w:r>
    </w:p>
    <w:p w14:paraId="5DEDE9EC" w14:textId="0ACB6A91" w:rsidR="00E742C8" w:rsidRPr="00432D0D" w:rsidRDefault="00FD5B5C"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Everyone in today's society aspires to advance and grow. Anecdotal evidence and studies indicate that people often organise their lives and careers to help them progress (Simpson et al., 2016). The opportunities they are given for ongoing growth and advancement have a significant impact on their decision regarding their future employer and level of work stability. Throughout the employee's tenure, the business provides frequent training and efficient performance management techniques as part of the growth process. Improvement of core competencies and alignment with organisational objectives are further aspects of employee development. To help its employees grow professionally and acquire new abilities, Travelodge offers an internal development plan (ASPIRE) (Travelodge.co.uk, 2022).</w:t>
      </w:r>
      <w:r w:rsidR="00E742C8" w:rsidRPr="00432D0D">
        <w:rPr>
          <w:rFonts w:ascii="Arial" w:hAnsi="Arial" w:cs="Arial"/>
          <w:color w:val="auto"/>
          <w:sz w:val="24"/>
          <w:szCs w:val="24"/>
          <w:lang w:val="en-GB"/>
        </w:rPr>
        <w:t xml:space="preserve"> </w:t>
      </w:r>
      <w:r w:rsidRPr="00432D0D">
        <w:rPr>
          <w:rFonts w:ascii="Arial" w:hAnsi="Arial" w:cs="Arial"/>
          <w:color w:val="auto"/>
          <w:sz w:val="24"/>
          <w:szCs w:val="24"/>
          <w:lang w:val="en-GB"/>
        </w:rPr>
        <w:t>The ability to go from team member to hotel manager is provided by one of the growth schemes. To boost involvement, similar initiatives from other large hotel chains had to be taken into account. They increase the likelihood that workers will be more engaged, put in more effort, and stick with the company by enabling them to feel more happy in both their personal and professional life. Good growth therefore benefits the organisation as much as the individual</w:t>
      </w:r>
      <w:r w:rsidR="00E742C8" w:rsidRPr="00432D0D">
        <w:rPr>
          <w:rFonts w:ascii="Arial" w:hAnsi="Arial" w:cs="Arial"/>
          <w:color w:val="auto"/>
          <w:sz w:val="24"/>
          <w:szCs w:val="24"/>
          <w:lang w:val="en-GB"/>
        </w:rPr>
        <w:t>.</w:t>
      </w:r>
    </w:p>
    <w:p w14:paraId="1F45BFF7" w14:textId="77777777" w:rsidR="00FD5B5C" w:rsidRPr="00432D0D" w:rsidRDefault="00FD5B5C"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The fifth stage of the employment lifecycle is employee retention. At this point, efforts are focused on keeping your top performers on staff and making sure they are content with their roles and the team (</w:t>
      </w:r>
      <w:proofErr w:type="spellStart"/>
      <w:r w:rsidRPr="00432D0D">
        <w:rPr>
          <w:rFonts w:ascii="Arial" w:hAnsi="Arial" w:cs="Arial"/>
          <w:color w:val="auto"/>
          <w:sz w:val="24"/>
          <w:szCs w:val="24"/>
          <w:lang w:val="en-GB"/>
        </w:rPr>
        <w:t>Montang</w:t>
      </w:r>
      <w:proofErr w:type="spellEnd"/>
      <w:r w:rsidRPr="00432D0D">
        <w:rPr>
          <w:rFonts w:ascii="Arial" w:hAnsi="Arial" w:cs="Arial"/>
          <w:color w:val="auto"/>
          <w:sz w:val="24"/>
          <w:szCs w:val="24"/>
          <w:lang w:val="en-GB"/>
        </w:rPr>
        <w:t xml:space="preserve"> et al., 2020). It's often believed that retaining quality personnel requires a favourable corporate culture. Employee dissatisfaction and desire to quit will arise from a bad work environment, which will raise expenses for the company. As a result, the retention phase is equally crucial. According to </w:t>
      </w:r>
      <w:proofErr w:type="spellStart"/>
      <w:r w:rsidRPr="00432D0D">
        <w:rPr>
          <w:rFonts w:ascii="Arial" w:hAnsi="Arial" w:cs="Arial"/>
          <w:color w:val="auto"/>
          <w:sz w:val="24"/>
          <w:szCs w:val="24"/>
          <w:lang w:val="en-GB"/>
        </w:rPr>
        <w:t>Kaushal</w:t>
      </w:r>
      <w:proofErr w:type="spellEnd"/>
      <w:r w:rsidRPr="00432D0D">
        <w:rPr>
          <w:rFonts w:ascii="Arial" w:hAnsi="Arial" w:cs="Arial"/>
          <w:color w:val="auto"/>
          <w:sz w:val="24"/>
          <w:szCs w:val="24"/>
          <w:lang w:val="en-GB"/>
        </w:rPr>
        <w:t xml:space="preserve"> et al. (2021) the steps mentioned above are basically included in the retention stage. This may be facilitated by streamlining the hiring process, selecting qualified candidates, and making sure each employee is motivated and qualified for the position based on their relevant experience and background checks. Retention may be aided by making the onboarding process engaging and instructive, as well as by providing growth possibilities to guarantee employee satisfaction According to research, using motivational strategies aids in retention. Money and waging systems are said to be among the most efficient methods. Maslow's hierarchy of needs theory explains how individuals are motivated in a step-by-step manner throughout their lives (Khalil et al., 2022). People are first motivated by the need to meet their basic needs, which include clothing, food, and shelter. However, once these needs are met, people are driven by additional psychological needs, the most important of which is the need for </w:t>
      </w:r>
      <w:proofErr w:type="spellStart"/>
      <w:r w:rsidRPr="00432D0D">
        <w:rPr>
          <w:rFonts w:ascii="Arial" w:hAnsi="Arial" w:cs="Arial"/>
          <w:color w:val="auto"/>
          <w:sz w:val="24"/>
          <w:szCs w:val="24"/>
          <w:lang w:val="en-GB"/>
        </w:rPr>
        <w:t>self-actualization</w:t>
      </w:r>
      <w:proofErr w:type="spellEnd"/>
      <w:r w:rsidRPr="00432D0D">
        <w:rPr>
          <w:rFonts w:ascii="Arial" w:hAnsi="Arial" w:cs="Arial"/>
          <w:color w:val="auto"/>
          <w:sz w:val="24"/>
          <w:szCs w:val="24"/>
          <w:lang w:val="en-GB"/>
        </w:rPr>
        <w:t xml:space="preserve">. Employee engagement and motivation may be increased by focusing on and meeting these demands. According to research, if an organisation provides sufficient psychological care for its employees, those workers won't ever quit because everyone wants to work in a comfortable environment that makes their duties easier (Khan et al., 2022). Setting up a suitable psychological environment and a safe working environment is consequently essential. </w:t>
      </w:r>
    </w:p>
    <w:p w14:paraId="64870CB0" w14:textId="3234664F" w:rsidR="00E742C8" w:rsidRPr="00432D0D" w:rsidRDefault="00FD5B5C"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The penultimate phase of the employment cycle is separation. Here is where workers choose to resign. This stage of the employee life cycle involves several factors. For instance, former employees could leave your company, migrate, or look for professional opportunities elsewhere; they might also retire, launch their own companies, or be enticed away by a rival (Chung et al., 2021).</w:t>
      </w:r>
    </w:p>
    <w:p w14:paraId="0DBC07C3" w14:textId="77777777" w:rsidR="00FD5B5C" w:rsidRPr="00432D0D" w:rsidRDefault="00FD5B5C"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This is an important step that the company should take seriously as a chance for growth. Often, departing employees provide honest comments (</w:t>
      </w:r>
      <w:proofErr w:type="spellStart"/>
      <w:r w:rsidRPr="00432D0D">
        <w:rPr>
          <w:rFonts w:ascii="Arial" w:hAnsi="Arial" w:cs="Arial"/>
          <w:color w:val="auto"/>
          <w:sz w:val="24"/>
          <w:szCs w:val="24"/>
          <w:lang w:val="en-GB"/>
        </w:rPr>
        <w:t>Hardavella</w:t>
      </w:r>
      <w:proofErr w:type="spellEnd"/>
      <w:r w:rsidRPr="00432D0D">
        <w:rPr>
          <w:rFonts w:ascii="Arial" w:hAnsi="Arial" w:cs="Arial"/>
          <w:color w:val="auto"/>
          <w:sz w:val="24"/>
          <w:szCs w:val="24"/>
          <w:lang w:val="en-GB"/>
        </w:rPr>
        <w:t xml:space="preserve"> et al., 2017). This phase could be essential to assist lower employee turnover if the company experiences a lot of it. The company might benefit immensely from paying attention to what former workers have to say and working to improve those areas. It could also bring up significant issues with how you set policy for gardening leave or staff contracts.</w:t>
      </w:r>
    </w:p>
    <w:p w14:paraId="5793E707" w14:textId="77777777" w:rsidR="00FD5B5C" w:rsidRPr="00432D0D" w:rsidRDefault="00FD5B5C"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 xml:space="preserve">Employees who are leaving may also be viewed as possible brand advocates. In particular If it's a well-known, </w:t>
      </w:r>
      <w:proofErr w:type="spellStart"/>
      <w:r w:rsidRPr="00432D0D">
        <w:rPr>
          <w:rFonts w:ascii="Arial" w:hAnsi="Arial" w:cs="Arial"/>
          <w:color w:val="auto"/>
          <w:sz w:val="24"/>
          <w:szCs w:val="24"/>
          <w:lang w:val="en-GB"/>
        </w:rPr>
        <w:t>sizable</w:t>
      </w:r>
      <w:proofErr w:type="spellEnd"/>
      <w:r w:rsidRPr="00432D0D">
        <w:rPr>
          <w:rFonts w:ascii="Arial" w:hAnsi="Arial" w:cs="Arial"/>
          <w:color w:val="auto"/>
          <w:sz w:val="24"/>
          <w:szCs w:val="24"/>
          <w:lang w:val="en-GB"/>
        </w:rPr>
        <w:t xml:space="preserve"> hotel, you could want to send them emails or Christmas cards, keep inviting them to work events, or get in touch with them when you're searching for a new job to see if they know anybody. Social media has made it crucial to think about your company's image because a negative reputation may spread quickly.</w:t>
      </w:r>
    </w:p>
    <w:p w14:paraId="30261EE5" w14:textId="7B9BD262" w:rsidR="00432D0D" w:rsidRPr="00432D0D" w:rsidRDefault="00432D0D"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 xml:space="preserve">It is important to take into account the significance of the separation phase for both departing and continuing personnel. It's critical to encourage the employees who stay after some have departed. </w:t>
      </w:r>
    </w:p>
    <w:p w14:paraId="4B424FA5" w14:textId="77777777" w:rsidR="00432D0D" w:rsidRPr="00432D0D" w:rsidRDefault="00432D0D" w:rsidP="00432D0D">
      <w:pPr>
        <w:spacing w:line="360" w:lineRule="auto"/>
        <w:rPr>
          <w:rFonts w:ascii="Arial" w:hAnsi="Arial" w:cs="Arial"/>
          <w:color w:val="auto"/>
          <w:sz w:val="24"/>
          <w:szCs w:val="24"/>
          <w:lang w:val="en-GB"/>
        </w:rPr>
      </w:pPr>
    </w:p>
    <w:p w14:paraId="46932222" w14:textId="77777777" w:rsidR="00432D0D" w:rsidRPr="00432D0D" w:rsidRDefault="00432D0D"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Conclusion</w:t>
      </w:r>
    </w:p>
    <w:p w14:paraId="42D145F2" w14:textId="6B25E486" w:rsidR="00E742C8" w:rsidRPr="00432D0D" w:rsidRDefault="00432D0D" w:rsidP="00432D0D">
      <w:pPr>
        <w:spacing w:line="360" w:lineRule="auto"/>
        <w:rPr>
          <w:rFonts w:ascii="Arial" w:hAnsi="Arial" w:cs="Arial"/>
          <w:color w:val="auto"/>
          <w:sz w:val="24"/>
          <w:szCs w:val="24"/>
          <w:lang w:val="en-GB"/>
        </w:rPr>
      </w:pPr>
      <w:r w:rsidRPr="00432D0D">
        <w:rPr>
          <w:rFonts w:ascii="Arial" w:hAnsi="Arial" w:cs="Arial"/>
          <w:color w:val="auto"/>
          <w:sz w:val="24"/>
          <w:szCs w:val="24"/>
          <w:lang w:val="en-GB"/>
        </w:rPr>
        <w:t>Many factors determine the level of employee engagement. The employee cycle may be used by a hotel company to examine traits that support employee engagement at every level. A smart place to start is by looking for ways to make each phase better. But effort and optimism seem to be a recurring trend when it comes to engaging an employee. It seems that the fundamental ideas involve establishing a workplace where staff members experience respect, caring, and being heard.</w:t>
      </w:r>
    </w:p>
    <w:p w14:paraId="717524EF" w14:textId="77777777" w:rsidR="00E742C8" w:rsidRPr="00432D0D" w:rsidRDefault="00E742C8" w:rsidP="00432D0D">
      <w:pPr>
        <w:spacing w:line="360" w:lineRule="auto"/>
        <w:rPr>
          <w:rFonts w:ascii="Arial" w:hAnsi="Arial" w:cs="Arial"/>
          <w:color w:val="auto"/>
          <w:sz w:val="24"/>
          <w:szCs w:val="24"/>
          <w:lang w:val="en-GB" w:bidi="en-GB"/>
        </w:rPr>
      </w:pPr>
    </w:p>
    <w:p w14:paraId="323F8EFD" w14:textId="77777777" w:rsidR="00E742C8" w:rsidRPr="00432D0D" w:rsidRDefault="00E742C8" w:rsidP="00432D0D">
      <w:pPr>
        <w:spacing w:line="360" w:lineRule="auto"/>
        <w:rPr>
          <w:rFonts w:ascii="Arial" w:hAnsi="Arial" w:cs="Arial"/>
          <w:color w:val="auto"/>
          <w:sz w:val="24"/>
          <w:szCs w:val="24"/>
        </w:rPr>
      </w:pPr>
    </w:p>
    <w:p w14:paraId="4B5D5CAC" w14:textId="77777777" w:rsidR="00E742C8" w:rsidRPr="00432D0D" w:rsidRDefault="00E742C8" w:rsidP="00432D0D">
      <w:pPr>
        <w:spacing w:line="360" w:lineRule="auto"/>
        <w:rPr>
          <w:rFonts w:ascii="Arial" w:hAnsi="Arial" w:cs="Arial"/>
          <w:color w:val="auto"/>
          <w:sz w:val="24"/>
          <w:szCs w:val="24"/>
        </w:rPr>
      </w:pPr>
    </w:p>
    <w:p w14:paraId="57B90761" w14:textId="77777777" w:rsidR="00E742C8" w:rsidRPr="00432D0D" w:rsidRDefault="00E742C8" w:rsidP="00432D0D">
      <w:pPr>
        <w:spacing w:line="360" w:lineRule="auto"/>
        <w:rPr>
          <w:rFonts w:ascii="Arial" w:hAnsi="Arial" w:cs="Arial"/>
          <w:color w:val="auto"/>
          <w:sz w:val="24"/>
          <w:szCs w:val="24"/>
        </w:rPr>
      </w:pPr>
    </w:p>
    <w:p w14:paraId="705CE65B" w14:textId="77777777" w:rsidR="00E742C8" w:rsidRPr="00432D0D" w:rsidRDefault="00E742C8" w:rsidP="00432D0D">
      <w:pPr>
        <w:spacing w:line="360" w:lineRule="auto"/>
        <w:rPr>
          <w:rFonts w:ascii="Arial" w:hAnsi="Arial" w:cs="Arial"/>
          <w:color w:val="auto"/>
          <w:sz w:val="24"/>
          <w:szCs w:val="24"/>
        </w:rPr>
      </w:pPr>
    </w:p>
    <w:p w14:paraId="36FE3442" w14:textId="77777777" w:rsidR="00E742C8" w:rsidRPr="00432D0D" w:rsidRDefault="00E742C8" w:rsidP="00432D0D">
      <w:pPr>
        <w:spacing w:line="360" w:lineRule="auto"/>
        <w:rPr>
          <w:rFonts w:ascii="Arial" w:hAnsi="Arial" w:cs="Arial"/>
          <w:color w:val="auto"/>
          <w:sz w:val="24"/>
          <w:szCs w:val="24"/>
        </w:rPr>
      </w:pPr>
    </w:p>
    <w:p w14:paraId="5127A3EA" w14:textId="77777777" w:rsidR="00E742C8" w:rsidRPr="00432D0D" w:rsidRDefault="00E742C8" w:rsidP="00432D0D">
      <w:pPr>
        <w:spacing w:line="360" w:lineRule="auto"/>
        <w:rPr>
          <w:rFonts w:ascii="Arial" w:hAnsi="Arial" w:cs="Arial"/>
          <w:color w:val="auto"/>
          <w:sz w:val="24"/>
          <w:szCs w:val="24"/>
        </w:rPr>
      </w:pPr>
    </w:p>
    <w:p w14:paraId="33B9AB7D" w14:textId="77777777" w:rsidR="00432D0D" w:rsidRPr="00432D0D" w:rsidRDefault="00432D0D" w:rsidP="00432D0D">
      <w:pPr>
        <w:spacing w:line="360" w:lineRule="auto"/>
        <w:rPr>
          <w:rFonts w:ascii="Arial" w:hAnsi="Arial" w:cs="Arial"/>
          <w:color w:val="auto"/>
          <w:sz w:val="24"/>
          <w:szCs w:val="24"/>
        </w:rPr>
      </w:pPr>
    </w:p>
    <w:p w14:paraId="69BC980B" w14:textId="77777777" w:rsidR="00432D0D" w:rsidRPr="00432D0D" w:rsidRDefault="00432D0D" w:rsidP="00432D0D">
      <w:pPr>
        <w:spacing w:line="360" w:lineRule="auto"/>
        <w:rPr>
          <w:rFonts w:ascii="Arial" w:hAnsi="Arial" w:cs="Arial"/>
          <w:color w:val="auto"/>
          <w:sz w:val="24"/>
          <w:szCs w:val="24"/>
        </w:rPr>
      </w:pPr>
    </w:p>
    <w:p w14:paraId="78C81CF9" w14:textId="74F4ADCD" w:rsidR="00E742C8" w:rsidRPr="00432D0D" w:rsidRDefault="00432D0D" w:rsidP="00432D0D">
      <w:pPr>
        <w:spacing w:line="360" w:lineRule="auto"/>
        <w:rPr>
          <w:rFonts w:ascii="Arial" w:hAnsi="Arial" w:cs="Arial"/>
          <w:color w:val="auto"/>
          <w:sz w:val="24"/>
          <w:szCs w:val="24"/>
        </w:rPr>
      </w:pPr>
      <w:r w:rsidRPr="00432D0D">
        <w:rPr>
          <w:rFonts w:ascii="Arial" w:hAnsi="Arial" w:cs="Arial"/>
          <w:color w:val="auto"/>
          <w:sz w:val="24"/>
          <w:szCs w:val="24"/>
        </w:rPr>
        <w:t xml:space="preserve">References </w:t>
      </w:r>
    </w:p>
    <w:p w14:paraId="534B5513" w14:textId="77777777" w:rsidR="00432D0D" w:rsidRPr="00432D0D" w:rsidRDefault="00432D0D" w:rsidP="00432D0D">
      <w:pPr>
        <w:spacing w:line="360" w:lineRule="auto"/>
        <w:rPr>
          <w:rFonts w:ascii="Arial" w:hAnsi="Arial" w:cs="Arial"/>
          <w:color w:val="auto"/>
          <w:sz w:val="24"/>
          <w:szCs w:val="24"/>
        </w:rPr>
      </w:pPr>
    </w:p>
    <w:p w14:paraId="408F7AA5" w14:textId="59083688" w:rsidR="00E742C8" w:rsidRPr="00432D0D" w:rsidRDefault="00E742C8" w:rsidP="00432D0D">
      <w:pPr>
        <w:pStyle w:val="ListParagraph"/>
        <w:numPr>
          <w:ilvl w:val="0"/>
          <w:numId w:val="1"/>
        </w:numPr>
        <w:spacing w:line="360" w:lineRule="auto"/>
        <w:rPr>
          <w:rFonts w:ascii="Arial" w:hAnsi="Arial" w:cs="Arial"/>
          <w:color w:val="auto"/>
          <w:sz w:val="24"/>
          <w:szCs w:val="24"/>
        </w:rPr>
      </w:pPr>
      <w:r w:rsidRPr="00432D0D">
        <w:rPr>
          <w:rFonts w:ascii="Arial" w:hAnsi="Arial" w:cs="Arial"/>
          <w:color w:val="auto"/>
          <w:sz w:val="24"/>
          <w:szCs w:val="24"/>
        </w:rPr>
        <w:t xml:space="preserve">Ahmad, N., </w:t>
      </w:r>
      <w:proofErr w:type="spellStart"/>
      <w:r w:rsidRPr="00432D0D">
        <w:rPr>
          <w:rFonts w:ascii="Arial" w:hAnsi="Arial" w:cs="Arial"/>
          <w:color w:val="auto"/>
          <w:sz w:val="24"/>
          <w:szCs w:val="24"/>
        </w:rPr>
        <w:t>Ullah</w:t>
      </w:r>
      <w:proofErr w:type="spellEnd"/>
      <w:r w:rsidRPr="00432D0D">
        <w:rPr>
          <w:rFonts w:ascii="Arial" w:hAnsi="Arial" w:cs="Arial"/>
          <w:color w:val="auto"/>
          <w:sz w:val="24"/>
          <w:szCs w:val="24"/>
        </w:rPr>
        <w:t xml:space="preserve">, Z., </w:t>
      </w:r>
      <w:proofErr w:type="spellStart"/>
      <w:r w:rsidRPr="00432D0D">
        <w:rPr>
          <w:rFonts w:ascii="Arial" w:hAnsi="Arial" w:cs="Arial"/>
          <w:color w:val="auto"/>
          <w:sz w:val="24"/>
          <w:szCs w:val="24"/>
        </w:rPr>
        <w:t>AlDhaen</w:t>
      </w:r>
      <w:proofErr w:type="spellEnd"/>
      <w:r w:rsidRPr="00432D0D">
        <w:rPr>
          <w:rFonts w:ascii="Arial" w:hAnsi="Arial" w:cs="Arial"/>
          <w:color w:val="auto"/>
          <w:sz w:val="24"/>
          <w:szCs w:val="24"/>
        </w:rPr>
        <w:t xml:space="preserve">, E., Han, H., </w:t>
      </w:r>
      <w:proofErr w:type="spellStart"/>
      <w:r w:rsidRPr="00432D0D">
        <w:rPr>
          <w:rFonts w:ascii="Arial" w:hAnsi="Arial" w:cs="Arial"/>
          <w:color w:val="auto"/>
          <w:sz w:val="24"/>
          <w:szCs w:val="24"/>
        </w:rPr>
        <w:t>Araya-Castillo</w:t>
      </w:r>
      <w:proofErr w:type="spellEnd"/>
      <w:r w:rsidRPr="00432D0D">
        <w:rPr>
          <w:rFonts w:ascii="Arial" w:hAnsi="Arial" w:cs="Arial"/>
          <w:color w:val="auto"/>
          <w:sz w:val="24"/>
          <w:szCs w:val="24"/>
        </w:rPr>
        <w:t xml:space="preserve">, L., &amp; </w:t>
      </w:r>
      <w:proofErr w:type="spellStart"/>
      <w:r w:rsidRPr="00432D0D">
        <w:rPr>
          <w:rFonts w:ascii="Arial" w:hAnsi="Arial" w:cs="Arial"/>
          <w:color w:val="auto"/>
          <w:sz w:val="24"/>
          <w:szCs w:val="24"/>
        </w:rPr>
        <w:t>Ariza-Montes</w:t>
      </w:r>
      <w:proofErr w:type="spellEnd"/>
      <w:r w:rsidRPr="00432D0D">
        <w:rPr>
          <w:rFonts w:ascii="Arial" w:hAnsi="Arial" w:cs="Arial"/>
          <w:color w:val="auto"/>
          <w:sz w:val="24"/>
          <w:szCs w:val="24"/>
        </w:rPr>
        <w:t xml:space="preserve">, A. (2022). Fostering Hotel-Employee Creativity Through Micro-Level Corporate Social Responsibility: A Social Identity Theory Perspective. </w:t>
      </w:r>
      <w:r w:rsidRPr="00432D0D">
        <w:rPr>
          <w:rFonts w:ascii="Arial" w:hAnsi="Arial" w:cs="Arial"/>
          <w:i/>
          <w:iCs/>
          <w:color w:val="auto"/>
          <w:sz w:val="24"/>
          <w:szCs w:val="24"/>
        </w:rPr>
        <w:t>Frontiers in Psychology</w:t>
      </w:r>
      <w:r w:rsidRPr="00432D0D">
        <w:rPr>
          <w:rFonts w:ascii="Arial" w:hAnsi="Arial" w:cs="Arial"/>
          <w:color w:val="auto"/>
          <w:sz w:val="24"/>
          <w:szCs w:val="24"/>
        </w:rPr>
        <w:t xml:space="preserve">, </w:t>
      </w:r>
      <w:r w:rsidRPr="00432D0D">
        <w:rPr>
          <w:rFonts w:ascii="Arial" w:hAnsi="Arial" w:cs="Arial"/>
          <w:i/>
          <w:iCs/>
          <w:color w:val="auto"/>
          <w:sz w:val="24"/>
          <w:szCs w:val="24"/>
        </w:rPr>
        <w:t>13</w:t>
      </w:r>
      <w:r w:rsidRPr="00432D0D">
        <w:rPr>
          <w:rFonts w:ascii="Arial" w:hAnsi="Arial" w:cs="Arial"/>
          <w:color w:val="auto"/>
          <w:sz w:val="24"/>
          <w:szCs w:val="24"/>
        </w:rPr>
        <w:t xml:space="preserve">. </w:t>
      </w:r>
      <w:hyperlink r:id="rId5" w:history="1">
        <w:r w:rsidRPr="00432D0D">
          <w:rPr>
            <w:rStyle w:val="Hyperlink"/>
            <w:rFonts w:ascii="Arial" w:hAnsi="Arial" w:cs="Arial"/>
            <w:color w:val="auto"/>
            <w:sz w:val="24"/>
            <w:szCs w:val="24"/>
          </w:rPr>
          <w:t>https://doi.org/10.3389/fpsyg.2022.853125</w:t>
        </w:r>
      </w:hyperlink>
    </w:p>
    <w:p w14:paraId="531CA9C6" w14:textId="77777777" w:rsidR="00E742C8" w:rsidRPr="00432D0D" w:rsidRDefault="00E742C8" w:rsidP="00432D0D">
      <w:pPr>
        <w:spacing w:line="360" w:lineRule="auto"/>
        <w:ind w:left="360"/>
        <w:rPr>
          <w:rFonts w:ascii="Arial" w:hAnsi="Arial" w:cs="Arial"/>
          <w:color w:val="auto"/>
          <w:sz w:val="24"/>
          <w:szCs w:val="24"/>
        </w:rPr>
      </w:pPr>
    </w:p>
    <w:p w14:paraId="35EF9C19" w14:textId="1DFF89B7" w:rsidR="00E742C8" w:rsidRPr="00432D0D" w:rsidRDefault="00E742C8" w:rsidP="00432D0D">
      <w:pPr>
        <w:pStyle w:val="ListParagraph"/>
        <w:numPr>
          <w:ilvl w:val="0"/>
          <w:numId w:val="1"/>
        </w:numPr>
        <w:spacing w:line="360" w:lineRule="auto"/>
        <w:rPr>
          <w:rStyle w:val="Hyperlink"/>
          <w:rFonts w:ascii="Arial" w:hAnsi="Arial" w:cs="Arial"/>
          <w:color w:val="auto"/>
          <w:sz w:val="24"/>
          <w:szCs w:val="24"/>
          <w:u w:val="none"/>
        </w:rPr>
      </w:pPr>
      <w:proofErr w:type="spellStart"/>
      <w:r w:rsidRPr="00432D0D">
        <w:rPr>
          <w:rFonts w:ascii="Arial" w:hAnsi="Arial" w:cs="Arial"/>
          <w:color w:val="auto"/>
          <w:sz w:val="24"/>
          <w:szCs w:val="24"/>
        </w:rPr>
        <w:t>Chak-keung</w:t>
      </w:r>
      <w:proofErr w:type="spellEnd"/>
      <w:r w:rsidRPr="00432D0D">
        <w:rPr>
          <w:rFonts w:ascii="Arial" w:hAnsi="Arial" w:cs="Arial"/>
          <w:color w:val="auto"/>
          <w:sz w:val="24"/>
          <w:szCs w:val="24"/>
        </w:rPr>
        <w:t xml:space="preserve"> Wong, S., &amp; Ko, A. (2009). Exploratory study of understanding hotel employees’ perception on work–life balance issues. </w:t>
      </w:r>
      <w:r w:rsidRPr="00432D0D">
        <w:rPr>
          <w:rFonts w:ascii="Arial" w:hAnsi="Arial" w:cs="Arial"/>
          <w:i/>
          <w:iCs/>
          <w:color w:val="auto"/>
          <w:sz w:val="24"/>
          <w:szCs w:val="24"/>
        </w:rPr>
        <w:t>International Journal of Hospitality Management</w:t>
      </w:r>
      <w:r w:rsidRPr="00432D0D">
        <w:rPr>
          <w:rFonts w:ascii="Arial" w:hAnsi="Arial" w:cs="Arial"/>
          <w:color w:val="auto"/>
          <w:sz w:val="24"/>
          <w:szCs w:val="24"/>
        </w:rPr>
        <w:t xml:space="preserve">, </w:t>
      </w:r>
      <w:r w:rsidRPr="00432D0D">
        <w:rPr>
          <w:rFonts w:ascii="Arial" w:hAnsi="Arial" w:cs="Arial"/>
          <w:i/>
          <w:iCs/>
          <w:color w:val="auto"/>
          <w:sz w:val="24"/>
          <w:szCs w:val="24"/>
        </w:rPr>
        <w:t>28</w:t>
      </w:r>
      <w:r w:rsidRPr="00432D0D">
        <w:rPr>
          <w:rFonts w:ascii="Arial" w:hAnsi="Arial" w:cs="Arial"/>
          <w:color w:val="auto"/>
          <w:sz w:val="24"/>
          <w:szCs w:val="24"/>
        </w:rPr>
        <w:t xml:space="preserve">(2), 195-203. </w:t>
      </w:r>
      <w:hyperlink r:id="rId6" w:history="1">
        <w:r w:rsidRPr="00432D0D">
          <w:rPr>
            <w:rStyle w:val="Hyperlink"/>
            <w:rFonts w:ascii="Arial" w:hAnsi="Arial" w:cs="Arial"/>
            <w:color w:val="auto"/>
            <w:sz w:val="24"/>
            <w:szCs w:val="24"/>
          </w:rPr>
          <w:t>https://doi.org/10.1016/j.ijhm.2008.07.001</w:t>
        </w:r>
      </w:hyperlink>
    </w:p>
    <w:p w14:paraId="7FEEADA8" w14:textId="77777777" w:rsidR="00E742C8" w:rsidRPr="00432D0D" w:rsidRDefault="00E742C8" w:rsidP="00432D0D">
      <w:pPr>
        <w:pStyle w:val="ListParagraph"/>
        <w:spacing w:line="360" w:lineRule="auto"/>
        <w:rPr>
          <w:rStyle w:val="Hyperlink"/>
          <w:rFonts w:ascii="Arial" w:hAnsi="Arial" w:cs="Arial"/>
          <w:color w:val="auto"/>
          <w:sz w:val="24"/>
          <w:szCs w:val="24"/>
          <w:u w:val="none"/>
        </w:rPr>
      </w:pPr>
    </w:p>
    <w:p w14:paraId="412A6C7B" w14:textId="77777777" w:rsidR="00E742C8" w:rsidRPr="00432D0D" w:rsidRDefault="00E742C8" w:rsidP="00432D0D">
      <w:pPr>
        <w:pStyle w:val="ListParagraph"/>
        <w:numPr>
          <w:ilvl w:val="0"/>
          <w:numId w:val="1"/>
        </w:numPr>
        <w:spacing w:line="360" w:lineRule="auto"/>
        <w:rPr>
          <w:rStyle w:val="Hyperlink"/>
          <w:rFonts w:ascii="Arial" w:hAnsi="Arial" w:cs="Arial"/>
          <w:color w:val="auto"/>
          <w:sz w:val="24"/>
          <w:szCs w:val="24"/>
          <w:u w:val="none"/>
        </w:rPr>
      </w:pPr>
      <w:r w:rsidRPr="00432D0D">
        <w:rPr>
          <w:rFonts w:ascii="Arial" w:hAnsi="Arial" w:cs="Arial"/>
          <w:color w:val="auto"/>
          <w:sz w:val="24"/>
          <w:szCs w:val="24"/>
        </w:rPr>
        <w:t xml:space="preserve">Chung, H., </w:t>
      </w:r>
      <w:proofErr w:type="spellStart"/>
      <w:r w:rsidRPr="00432D0D">
        <w:rPr>
          <w:rFonts w:ascii="Arial" w:hAnsi="Arial" w:cs="Arial"/>
          <w:color w:val="auto"/>
          <w:sz w:val="24"/>
          <w:szCs w:val="24"/>
        </w:rPr>
        <w:t>Quan</w:t>
      </w:r>
      <w:proofErr w:type="spellEnd"/>
      <w:r w:rsidRPr="00432D0D">
        <w:rPr>
          <w:rFonts w:ascii="Arial" w:hAnsi="Arial" w:cs="Arial"/>
          <w:color w:val="auto"/>
          <w:sz w:val="24"/>
          <w:szCs w:val="24"/>
        </w:rPr>
        <w:t xml:space="preserve">, W., </w:t>
      </w:r>
      <w:proofErr w:type="spellStart"/>
      <w:r w:rsidRPr="00432D0D">
        <w:rPr>
          <w:rFonts w:ascii="Arial" w:hAnsi="Arial" w:cs="Arial"/>
          <w:color w:val="auto"/>
          <w:sz w:val="24"/>
          <w:szCs w:val="24"/>
        </w:rPr>
        <w:t>Koo</w:t>
      </w:r>
      <w:proofErr w:type="spellEnd"/>
      <w:r w:rsidRPr="00432D0D">
        <w:rPr>
          <w:rFonts w:ascii="Arial" w:hAnsi="Arial" w:cs="Arial"/>
          <w:color w:val="auto"/>
          <w:sz w:val="24"/>
          <w:szCs w:val="24"/>
        </w:rPr>
        <w:t xml:space="preserve">, B., </w:t>
      </w:r>
      <w:proofErr w:type="spellStart"/>
      <w:r w:rsidRPr="00432D0D">
        <w:rPr>
          <w:rFonts w:ascii="Arial" w:hAnsi="Arial" w:cs="Arial"/>
          <w:color w:val="auto"/>
          <w:sz w:val="24"/>
          <w:szCs w:val="24"/>
        </w:rPr>
        <w:t>Ariza-Montes</w:t>
      </w:r>
      <w:proofErr w:type="spellEnd"/>
      <w:r w:rsidRPr="00432D0D">
        <w:rPr>
          <w:rFonts w:ascii="Arial" w:hAnsi="Arial" w:cs="Arial"/>
          <w:color w:val="auto"/>
          <w:sz w:val="24"/>
          <w:szCs w:val="24"/>
        </w:rPr>
        <w:t xml:space="preserve">, A., Vega-Muñoz, A., Giorgi, G., &amp; Han, H. (2021). A Threat of Customer Incivility and Job Stress to Hotel Employee Retention: Do Supervisor and Co-Worker Supports Reduce Turnover Rates?. </w:t>
      </w:r>
      <w:r w:rsidRPr="00432D0D">
        <w:rPr>
          <w:rFonts w:ascii="Arial" w:hAnsi="Arial" w:cs="Arial"/>
          <w:i/>
          <w:iCs/>
          <w:color w:val="auto"/>
          <w:sz w:val="24"/>
          <w:szCs w:val="24"/>
        </w:rPr>
        <w:t>International Journal of Environmental Research and Public Health</w:t>
      </w:r>
      <w:r w:rsidRPr="00432D0D">
        <w:rPr>
          <w:rFonts w:ascii="Arial" w:hAnsi="Arial" w:cs="Arial"/>
          <w:color w:val="auto"/>
          <w:sz w:val="24"/>
          <w:szCs w:val="24"/>
        </w:rPr>
        <w:t xml:space="preserve">, </w:t>
      </w:r>
      <w:r w:rsidRPr="00432D0D">
        <w:rPr>
          <w:rFonts w:ascii="Arial" w:hAnsi="Arial" w:cs="Arial"/>
          <w:i/>
          <w:iCs/>
          <w:color w:val="auto"/>
          <w:sz w:val="24"/>
          <w:szCs w:val="24"/>
        </w:rPr>
        <w:t>18</w:t>
      </w:r>
      <w:r w:rsidRPr="00432D0D">
        <w:rPr>
          <w:rFonts w:ascii="Arial" w:hAnsi="Arial" w:cs="Arial"/>
          <w:color w:val="auto"/>
          <w:sz w:val="24"/>
          <w:szCs w:val="24"/>
        </w:rPr>
        <w:t xml:space="preserve">(12). </w:t>
      </w:r>
      <w:hyperlink r:id="rId7" w:history="1">
        <w:r w:rsidRPr="00432D0D">
          <w:rPr>
            <w:rStyle w:val="Hyperlink"/>
            <w:rFonts w:ascii="Arial" w:hAnsi="Arial" w:cs="Arial"/>
            <w:color w:val="auto"/>
            <w:sz w:val="24"/>
            <w:szCs w:val="24"/>
          </w:rPr>
          <w:t>https://doi.org/10.3390/ijerph18126616</w:t>
        </w:r>
      </w:hyperlink>
    </w:p>
    <w:p w14:paraId="7530D2D4" w14:textId="77777777" w:rsidR="00E742C8" w:rsidRPr="00432D0D" w:rsidRDefault="00E742C8" w:rsidP="00432D0D">
      <w:pPr>
        <w:pStyle w:val="ListParagraph"/>
        <w:spacing w:line="360" w:lineRule="auto"/>
        <w:rPr>
          <w:rFonts w:ascii="Arial" w:hAnsi="Arial" w:cs="Arial"/>
          <w:color w:val="auto"/>
          <w:sz w:val="24"/>
          <w:szCs w:val="24"/>
        </w:rPr>
      </w:pPr>
    </w:p>
    <w:p w14:paraId="37D8C5F0" w14:textId="77777777" w:rsidR="00E742C8" w:rsidRPr="00432D0D" w:rsidRDefault="00E742C8" w:rsidP="00432D0D">
      <w:pPr>
        <w:pStyle w:val="ListParagraph"/>
        <w:spacing w:line="360" w:lineRule="auto"/>
        <w:rPr>
          <w:rFonts w:ascii="Arial" w:hAnsi="Arial" w:cs="Arial"/>
          <w:color w:val="auto"/>
          <w:sz w:val="24"/>
          <w:szCs w:val="24"/>
        </w:rPr>
      </w:pPr>
    </w:p>
    <w:p w14:paraId="59ADA21B" w14:textId="6B638E54" w:rsidR="00E742C8" w:rsidRPr="00432D0D" w:rsidRDefault="00E742C8" w:rsidP="00432D0D">
      <w:pPr>
        <w:pStyle w:val="ListParagraph"/>
        <w:numPr>
          <w:ilvl w:val="0"/>
          <w:numId w:val="1"/>
        </w:numPr>
        <w:spacing w:line="360" w:lineRule="auto"/>
        <w:rPr>
          <w:rFonts w:ascii="Arial" w:hAnsi="Arial" w:cs="Arial"/>
          <w:color w:val="auto"/>
          <w:sz w:val="24"/>
          <w:szCs w:val="24"/>
        </w:rPr>
      </w:pPr>
      <w:proofErr w:type="spellStart"/>
      <w:r w:rsidRPr="00432D0D">
        <w:rPr>
          <w:rFonts w:ascii="Arial" w:hAnsi="Arial" w:cs="Arial"/>
          <w:color w:val="auto"/>
          <w:sz w:val="24"/>
          <w:szCs w:val="24"/>
        </w:rPr>
        <w:t>De-la-Calle-Durán</w:t>
      </w:r>
      <w:proofErr w:type="spellEnd"/>
      <w:r w:rsidRPr="00432D0D">
        <w:rPr>
          <w:rFonts w:ascii="Arial" w:hAnsi="Arial" w:cs="Arial"/>
          <w:color w:val="auto"/>
          <w:sz w:val="24"/>
          <w:szCs w:val="24"/>
        </w:rPr>
        <w:t xml:space="preserve">, C., &amp; Rodríguez-Sánchez, L. (2021). Employee Engagement and Wellbeing in Times of COVID-19: A Proposal of the 5Cs Model. </w:t>
      </w:r>
      <w:r w:rsidRPr="00432D0D">
        <w:rPr>
          <w:rFonts w:ascii="Arial" w:hAnsi="Arial" w:cs="Arial"/>
          <w:i/>
          <w:iCs/>
          <w:color w:val="auto"/>
          <w:sz w:val="24"/>
          <w:szCs w:val="24"/>
        </w:rPr>
        <w:t>International Journal of Environmental Research and Public Health</w:t>
      </w:r>
      <w:r w:rsidRPr="00432D0D">
        <w:rPr>
          <w:rFonts w:ascii="Arial" w:hAnsi="Arial" w:cs="Arial"/>
          <w:color w:val="auto"/>
          <w:sz w:val="24"/>
          <w:szCs w:val="24"/>
        </w:rPr>
        <w:t xml:space="preserve">, </w:t>
      </w:r>
      <w:r w:rsidRPr="00432D0D">
        <w:rPr>
          <w:rFonts w:ascii="Arial" w:hAnsi="Arial" w:cs="Arial"/>
          <w:i/>
          <w:iCs/>
          <w:color w:val="auto"/>
          <w:sz w:val="24"/>
          <w:szCs w:val="24"/>
        </w:rPr>
        <w:t>18</w:t>
      </w:r>
      <w:r w:rsidRPr="00432D0D">
        <w:rPr>
          <w:rFonts w:ascii="Arial" w:hAnsi="Arial" w:cs="Arial"/>
          <w:color w:val="auto"/>
          <w:sz w:val="24"/>
          <w:szCs w:val="24"/>
        </w:rPr>
        <w:t xml:space="preserve">(10). </w:t>
      </w:r>
      <w:hyperlink r:id="rId8" w:history="1">
        <w:r w:rsidRPr="00432D0D">
          <w:rPr>
            <w:rStyle w:val="Hyperlink"/>
            <w:rFonts w:ascii="Arial" w:hAnsi="Arial" w:cs="Arial"/>
            <w:color w:val="auto"/>
            <w:sz w:val="24"/>
            <w:szCs w:val="24"/>
          </w:rPr>
          <w:t>https://doi.org/10.3390/ijerph18105470</w:t>
        </w:r>
      </w:hyperlink>
    </w:p>
    <w:p w14:paraId="035C1DC5" w14:textId="77777777" w:rsidR="00E742C8" w:rsidRPr="00432D0D" w:rsidRDefault="00E742C8" w:rsidP="00432D0D">
      <w:pPr>
        <w:pStyle w:val="ListParagraph"/>
        <w:spacing w:line="360" w:lineRule="auto"/>
        <w:rPr>
          <w:rStyle w:val="Hyperlink"/>
          <w:rFonts w:ascii="Arial" w:hAnsi="Arial" w:cs="Arial"/>
          <w:color w:val="auto"/>
          <w:sz w:val="24"/>
          <w:szCs w:val="24"/>
          <w:u w:val="none"/>
        </w:rPr>
      </w:pPr>
    </w:p>
    <w:p w14:paraId="287FA31C" w14:textId="77777777" w:rsidR="00E742C8" w:rsidRPr="00432D0D" w:rsidRDefault="00E742C8" w:rsidP="00432D0D">
      <w:pPr>
        <w:pStyle w:val="ListParagraph"/>
        <w:spacing w:line="360" w:lineRule="auto"/>
        <w:rPr>
          <w:rFonts w:ascii="Arial" w:hAnsi="Arial" w:cs="Arial"/>
          <w:color w:val="auto"/>
          <w:sz w:val="24"/>
          <w:szCs w:val="24"/>
        </w:rPr>
      </w:pPr>
    </w:p>
    <w:p w14:paraId="234BA82E" w14:textId="0B89F2F6" w:rsidR="00E742C8" w:rsidRPr="00432D0D" w:rsidRDefault="00E742C8" w:rsidP="00432D0D">
      <w:pPr>
        <w:pStyle w:val="ListParagraph"/>
        <w:numPr>
          <w:ilvl w:val="0"/>
          <w:numId w:val="1"/>
        </w:numPr>
        <w:spacing w:line="360" w:lineRule="auto"/>
        <w:rPr>
          <w:rStyle w:val="Hyperlink"/>
          <w:rFonts w:ascii="Arial" w:hAnsi="Arial" w:cs="Arial"/>
          <w:color w:val="auto"/>
          <w:sz w:val="24"/>
          <w:szCs w:val="24"/>
          <w:u w:val="none"/>
        </w:rPr>
      </w:pPr>
      <w:r w:rsidRPr="00432D0D">
        <w:rPr>
          <w:rFonts w:ascii="Arial" w:hAnsi="Arial" w:cs="Arial"/>
          <w:color w:val="auto"/>
          <w:sz w:val="24"/>
          <w:szCs w:val="24"/>
        </w:rPr>
        <w:t xml:space="preserve">Employability—A Deductive Content Analysis with Data Including Employees, First Line Managers, Trade Union Representatives and HR-Practitioners. </w:t>
      </w:r>
      <w:r w:rsidRPr="00432D0D">
        <w:rPr>
          <w:rFonts w:ascii="Arial" w:hAnsi="Arial" w:cs="Arial"/>
          <w:i/>
          <w:iCs/>
          <w:color w:val="auto"/>
          <w:sz w:val="24"/>
          <w:szCs w:val="24"/>
        </w:rPr>
        <w:t>International Journal of Environmental Research and Public Health</w:t>
      </w:r>
      <w:r w:rsidRPr="00432D0D">
        <w:rPr>
          <w:rFonts w:ascii="Arial" w:hAnsi="Arial" w:cs="Arial"/>
          <w:color w:val="auto"/>
          <w:sz w:val="24"/>
          <w:szCs w:val="24"/>
        </w:rPr>
        <w:t xml:space="preserve">, </w:t>
      </w:r>
      <w:r w:rsidRPr="00432D0D">
        <w:rPr>
          <w:rFonts w:ascii="Arial" w:hAnsi="Arial" w:cs="Arial"/>
          <w:i/>
          <w:iCs/>
          <w:color w:val="auto"/>
          <w:sz w:val="24"/>
          <w:szCs w:val="24"/>
        </w:rPr>
        <w:t>18</w:t>
      </w:r>
      <w:r w:rsidRPr="00432D0D">
        <w:rPr>
          <w:rFonts w:ascii="Arial" w:hAnsi="Arial" w:cs="Arial"/>
          <w:color w:val="auto"/>
          <w:sz w:val="24"/>
          <w:szCs w:val="24"/>
        </w:rPr>
        <w:t xml:space="preserve">(11). </w:t>
      </w:r>
      <w:hyperlink r:id="rId9" w:history="1">
        <w:r w:rsidRPr="00432D0D">
          <w:rPr>
            <w:rStyle w:val="Hyperlink"/>
            <w:rFonts w:ascii="Arial" w:hAnsi="Arial" w:cs="Arial"/>
            <w:color w:val="auto"/>
            <w:sz w:val="24"/>
            <w:szCs w:val="24"/>
          </w:rPr>
          <w:t>https://doi.org/10.3390/ijerph18115626</w:t>
        </w:r>
      </w:hyperlink>
    </w:p>
    <w:p w14:paraId="04F4ECA2" w14:textId="77777777" w:rsidR="00720AE6" w:rsidRPr="00432D0D" w:rsidRDefault="00720AE6" w:rsidP="00432D0D">
      <w:pPr>
        <w:pStyle w:val="ListParagraph"/>
        <w:spacing w:line="360" w:lineRule="auto"/>
        <w:rPr>
          <w:rStyle w:val="Hyperlink"/>
          <w:rFonts w:ascii="Arial" w:hAnsi="Arial" w:cs="Arial"/>
          <w:color w:val="auto"/>
          <w:sz w:val="24"/>
          <w:szCs w:val="24"/>
          <w:u w:val="none"/>
        </w:rPr>
      </w:pPr>
    </w:p>
    <w:p w14:paraId="75ACDAC9" w14:textId="77777777" w:rsidR="00720AE6" w:rsidRPr="00432D0D" w:rsidRDefault="00720AE6" w:rsidP="00432D0D">
      <w:pPr>
        <w:pStyle w:val="ListParagraph"/>
        <w:numPr>
          <w:ilvl w:val="0"/>
          <w:numId w:val="1"/>
        </w:numPr>
        <w:spacing w:line="360" w:lineRule="auto"/>
        <w:rPr>
          <w:rStyle w:val="Hyperlink"/>
          <w:rFonts w:ascii="Arial" w:hAnsi="Arial" w:cs="Arial"/>
          <w:color w:val="auto"/>
          <w:sz w:val="24"/>
          <w:szCs w:val="24"/>
          <w:u w:val="none"/>
        </w:rPr>
      </w:pPr>
      <w:r w:rsidRPr="00432D0D">
        <w:rPr>
          <w:rFonts w:ascii="Arial" w:hAnsi="Arial" w:cs="Arial"/>
          <w:color w:val="auto"/>
          <w:sz w:val="24"/>
          <w:szCs w:val="24"/>
        </w:rPr>
        <w:t xml:space="preserve">H., </w:t>
      </w:r>
      <w:proofErr w:type="spellStart"/>
      <w:r w:rsidRPr="00432D0D">
        <w:rPr>
          <w:rFonts w:ascii="Arial" w:hAnsi="Arial" w:cs="Arial"/>
          <w:color w:val="auto"/>
          <w:sz w:val="24"/>
          <w:szCs w:val="24"/>
        </w:rPr>
        <w:t>Farag</w:t>
      </w:r>
      <w:proofErr w:type="spellEnd"/>
      <w:r w:rsidRPr="00432D0D">
        <w:rPr>
          <w:rFonts w:ascii="Arial" w:hAnsi="Arial" w:cs="Arial"/>
          <w:color w:val="auto"/>
          <w:sz w:val="24"/>
          <w:szCs w:val="24"/>
        </w:rPr>
        <w:t xml:space="preserve"> Khalil, A. A., </w:t>
      </w:r>
      <w:proofErr w:type="spellStart"/>
      <w:r w:rsidRPr="00432D0D">
        <w:rPr>
          <w:rFonts w:ascii="Arial" w:hAnsi="Arial" w:cs="Arial"/>
          <w:color w:val="auto"/>
          <w:sz w:val="24"/>
          <w:szCs w:val="24"/>
        </w:rPr>
        <w:t>Elsayed</w:t>
      </w:r>
      <w:proofErr w:type="spellEnd"/>
      <w:r w:rsidRPr="00432D0D">
        <w:rPr>
          <w:rFonts w:ascii="Arial" w:hAnsi="Arial" w:cs="Arial"/>
          <w:color w:val="auto"/>
          <w:sz w:val="24"/>
          <w:szCs w:val="24"/>
        </w:rPr>
        <w:t xml:space="preserve"> Mahmoud, H. M., </w:t>
      </w:r>
      <w:proofErr w:type="spellStart"/>
      <w:r w:rsidRPr="00432D0D">
        <w:rPr>
          <w:rFonts w:ascii="Arial" w:hAnsi="Arial" w:cs="Arial"/>
          <w:color w:val="auto"/>
          <w:sz w:val="24"/>
          <w:szCs w:val="24"/>
        </w:rPr>
        <w:t>Elsaied</w:t>
      </w:r>
      <w:proofErr w:type="spellEnd"/>
      <w:r w:rsidRPr="00432D0D">
        <w:rPr>
          <w:rFonts w:ascii="Arial" w:hAnsi="Arial" w:cs="Arial"/>
          <w:color w:val="auto"/>
          <w:sz w:val="24"/>
          <w:szCs w:val="24"/>
        </w:rPr>
        <w:t xml:space="preserve">, M. A., &amp; </w:t>
      </w:r>
      <w:proofErr w:type="spellStart"/>
      <w:r w:rsidRPr="00432D0D">
        <w:rPr>
          <w:rFonts w:ascii="Arial" w:hAnsi="Arial" w:cs="Arial"/>
          <w:color w:val="auto"/>
          <w:sz w:val="24"/>
          <w:szCs w:val="24"/>
        </w:rPr>
        <w:t>Elsaed</w:t>
      </w:r>
      <w:proofErr w:type="spellEnd"/>
      <w:r w:rsidRPr="00432D0D">
        <w:rPr>
          <w:rFonts w:ascii="Arial" w:hAnsi="Arial" w:cs="Arial"/>
          <w:color w:val="auto"/>
          <w:sz w:val="24"/>
          <w:szCs w:val="24"/>
        </w:rPr>
        <w:t xml:space="preserve">, A. A. (2022). The Impact of Hospitality Work Environment on Employees’ Turnover Intentions During COVID-19 Pandemic: The Mediating Role of Work-Family Conflict. </w:t>
      </w:r>
      <w:r w:rsidRPr="00432D0D">
        <w:rPr>
          <w:rFonts w:ascii="Arial" w:hAnsi="Arial" w:cs="Arial"/>
          <w:i/>
          <w:iCs/>
          <w:color w:val="auto"/>
          <w:sz w:val="24"/>
          <w:szCs w:val="24"/>
        </w:rPr>
        <w:t>Frontiers in Psychology</w:t>
      </w:r>
      <w:r w:rsidRPr="00432D0D">
        <w:rPr>
          <w:rFonts w:ascii="Arial" w:hAnsi="Arial" w:cs="Arial"/>
          <w:color w:val="auto"/>
          <w:sz w:val="24"/>
          <w:szCs w:val="24"/>
        </w:rPr>
        <w:t xml:space="preserve">, </w:t>
      </w:r>
      <w:r w:rsidRPr="00432D0D">
        <w:rPr>
          <w:rFonts w:ascii="Arial" w:hAnsi="Arial" w:cs="Arial"/>
          <w:i/>
          <w:iCs/>
          <w:color w:val="auto"/>
          <w:sz w:val="24"/>
          <w:szCs w:val="24"/>
        </w:rPr>
        <w:t>13</w:t>
      </w:r>
      <w:r w:rsidRPr="00432D0D">
        <w:rPr>
          <w:rFonts w:ascii="Arial" w:hAnsi="Arial" w:cs="Arial"/>
          <w:color w:val="auto"/>
          <w:sz w:val="24"/>
          <w:szCs w:val="24"/>
        </w:rPr>
        <w:t xml:space="preserve">. </w:t>
      </w:r>
      <w:hyperlink r:id="rId10" w:history="1">
        <w:r w:rsidRPr="00432D0D">
          <w:rPr>
            <w:rStyle w:val="Hyperlink"/>
            <w:rFonts w:ascii="Arial" w:hAnsi="Arial" w:cs="Arial"/>
            <w:color w:val="auto"/>
            <w:sz w:val="24"/>
            <w:szCs w:val="24"/>
          </w:rPr>
          <w:t>https://doi.org/10.3389/fpsyg.2022.890418</w:t>
        </w:r>
      </w:hyperlink>
    </w:p>
    <w:p w14:paraId="7EA18EA4" w14:textId="77777777" w:rsidR="00720AE6" w:rsidRPr="00432D0D" w:rsidRDefault="00720AE6" w:rsidP="00432D0D">
      <w:pPr>
        <w:pStyle w:val="ListParagraph"/>
        <w:spacing w:line="360" w:lineRule="auto"/>
        <w:rPr>
          <w:rFonts w:ascii="Arial" w:hAnsi="Arial" w:cs="Arial"/>
          <w:color w:val="auto"/>
          <w:sz w:val="24"/>
          <w:szCs w:val="24"/>
        </w:rPr>
      </w:pPr>
    </w:p>
    <w:p w14:paraId="4FBC1C96" w14:textId="73DA8FDE" w:rsidR="00720AE6" w:rsidRPr="00432D0D" w:rsidRDefault="00720AE6" w:rsidP="00432D0D">
      <w:pPr>
        <w:pStyle w:val="ListParagraph"/>
        <w:numPr>
          <w:ilvl w:val="0"/>
          <w:numId w:val="1"/>
        </w:numPr>
        <w:spacing w:line="360" w:lineRule="auto"/>
        <w:rPr>
          <w:rFonts w:ascii="Arial" w:hAnsi="Arial" w:cs="Arial"/>
          <w:color w:val="auto"/>
          <w:sz w:val="24"/>
          <w:szCs w:val="24"/>
        </w:rPr>
      </w:pPr>
      <w:proofErr w:type="spellStart"/>
      <w:r w:rsidRPr="00432D0D">
        <w:rPr>
          <w:rFonts w:ascii="Arial" w:hAnsi="Arial" w:cs="Arial"/>
          <w:color w:val="auto"/>
          <w:sz w:val="24"/>
          <w:szCs w:val="24"/>
        </w:rPr>
        <w:t>Hardavella</w:t>
      </w:r>
      <w:proofErr w:type="spellEnd"/>
      <w:r w:rsidRPr="00432D0D">
        <w:rPr>
          <w:rFonts w:ascii="Arial" w:hAnsi="Arial" w:cs="Arial"/>
          <w:color w:val="auto"/>
          <w:sz w:val="24"/>
          <w:szCs w:val="24"/>
        </w:rPr>
        <w:t xml:space="preserve">, G., </w:t>
      </w:r>
      <w:proofErr w:type="spellStart"/>
      <w:r w:rsidRPr="00432D0D">
        <w:rPr>
          <w:rFonts w:ascii="Arial" w:hAnsi="Arial" w:cs="Arial"/>
          <w:color w:val="auto"/>
          <w:sz w:val="24"/>
          <w:szCs w:val="24"/>
        </w:rPr>
        <w:t>Aamli-Gaagnat</w:t>
      </w:r>
      <w:proofErr w:type="spellEnd"/>
      <w:r w:rsidRPr="00432D0D">
        <w:rPr>
          <w:rFonts w:ascii="Arial" w:hAnsi="Arial" w:cs="Arial"/>
          <w:color w:val="auto"/>
          <w:sz w:val="24"/>
          <w:szCs w:val="24"/>
        </w:rPr>
        <w:t xml:space="preserve">, A., Saad, N., </w:t>
      </w:r>
      <w:proofErr w:type="spellStart"/>
      <w:r w:rsidRPr="00432D0D">
        <w:rPr>
          <w:rFonts w:ascii="Arial" w:hAnsi="Arial" w:cs="Arial"/>
          <w:color w:val="auto"/>
          <w:sz w:val="24"/>
          <w:szCs w:val="24"/>
        </w:rPr>
        <w:t>Rousalova</w:t>
      </w:r>
      <w:proofErr w:type="spellEnd"/>
      <w:r w:rsidRPr="00432D0D">
        <w:rPr>
          <w:rFonts w:ascii="Arial" w:hAnsi="Arial" w:cs="Arial"/>
          <w:color w:val="auto"/>
          <w:sz w:val="24"/>
          <w:szCs w:val="24"/>
        </w:rPr>
        <w:t xml:space="preserve">, I., &amp; </w:t>
      </w:r>
      <w:proofErr w:type="spellStart"/>
      <w:r w:rsidRPr="00432D0D">
        <w:rPr>
          <w:rFonts w:ascii="Arial" w:hAnsi="Arial" w:cs="Arial"/>
          <w:color w:val="auto"/>
          <w:sz w:val="24"/>
          <w:szCs w:val="24"/>
        </w:rPr>
        <w:t>Sreter</w:t>
      </w:r>
      <w:proofErr w:type="spellEnd"/>
      <w:r w:rsidRPr="00432D0D">
        <w:rPr>
          <w:rFonts w:ascii="Arial" w:hAnsi="Arial" w:cs="Arial"/>
          <w:color w:val="auto"/>
          <w:sz w:val="24"/>
          <w:szCs w:val="24"/>
        </w:rPr>
        <w:t xml:space="preserve">, K. B. (2017). How to give and receive </w:t>
      </w:r>
      <w:r w:rsidRPr="00432D0D">
        <w:rPr>
          <w:rFonts w:ascii="Tahoma" w:hAnsi="Tahoma" w:cs="Tahoma"/>
          <w:color w:val="auto"/>
          <w:sz w:val="24"/>
          <w:szCs w:val="24"/>
        </w:rPr>
        <w:t> </w:t>
      </w:r>
      <w:r w:rsidRPr="00432D0D">
        <w:rPr>
          <w:rFonts w:ascii="Arial" w:hAnsi="Arial" w:cs="Arial"/>
          <w:color w:val="auto"/>
          <w:sz w:val="24"/>
          <w:szCs w:val="24"/>
        </w:rPr>
        <w:t xml:space="preserve">feedback effectively. </w:t>
      </w:r>
      <w:r w:rsidRPr="00432D0D">
        <w:rPr>
          <w:rFonts w:ascii="Arial" w:hAnsi="Arial" w:cs="Arial"/>
          <w:i/>
          <w:iCs/>
          <w:color w:val="auto"/>
          <w:sz w:val="24"/>
          <w:szCs w:val="24"/>
        </w:rPr>
        <w:t>Breathe</w:t>
      </w:r>
      <w:r w:rsidRPr="00432D0D">
        <w:rPr>
          <w:rFonts w:ascii="Arial" w:hAnsi="Arial" w:cs="Arial"/>
          <w:color w:val="auto"/>
          <w:sz w:val="24"/>
          <w:szCs w:val="24"/>
        </w:rPr>
        <w:t xml:space="preserve">, </w:t>
      </w:r>
      <w:r w:rsidRPr="00432D0D">
        <w:rPr>
          <w:rFonts w:ascii="Arial" w:hAnsi="Arial" w:cs="Arial"/>
          <w:i/>
          <w:iCs/>
          <w:color w:val="auto"/>
          <w:sz w:val="24"/>
          <w:szCs w:val="24"/>
        </w:rPr>
        <w:t>13</w:t>
      </w:r>
      <w:r w:rsidRPr="00432D0D">
        <w:rPr>
          <w:rFonts w:ascii="Arial" w:hAnsi="Arial" w:cs="Arial"/>
          <w:color w:val="auto"/>
          <w:sz w:val="24"/>
          <w:szCs w:val="24"/>
        </w:rPr>
        <w:t>(4), 327-333. https://doi.org/10.1183/20734735.009917</w:t>
      </w:r>
    </w:p>
    <w:p w14:paraId="73A75676" w14:textId="77777777" w:rsidR="00720AE6" w:rsidRPr="00432D0D" w:rsidRDefault="00720AE6" w:rsidP="00432D0D">
      <w:pPr>
        <w:pStyle w:val="ListParagraph"/>
        <w:spacing w:line="360" w:lineRule="auto"/>
        <w:rPr>
          <w:rStyle w:val="Hyperlink"/>
          <w:rFonts w:ascii="Arial" w:hAnsi="Arial" w:cs="Arial"/>
          <w:color w:val="auto"/>
          <w:sz w:val="24"/>
          <w:szCs w:val="24"/>
          <w:u w:val="none"/>
        </w:rPr>
      </w:pPr>
    </w:p>
    <w:p w14:paraId="02A1DFB9" w14:textId="77777777" w:rsidR="00720AE6" w:rsidRPr="00432D0D" w:rsidRDefault="00720AE6" w:rsidP="00432D0D">
      <w:pPr>
        <w:spacing w:line="360" w:lineRule="auto"/>
        <w:rPr>
          <w:rFonts w:ascii="Arial" w:hAnsi="Arial" w:cs="Arial"/>
          <w:color w:val="auto"/>
          <w:sz w:val="24"/>
          <w:szCs w:val="24"/>
        </w:rPr>
      </w:pPr>
    </w:p>
    <w:p w14:paraId="17106712" w14:textId="77777777" w:rsidR="00720AE6" w:rsidRPr="00432D0D" w:rsidRDefault="00720AE6" w:rsidP="00432D0D">
      <w:pPr>
        <w:pStyle w:val="ListParagraph"/>
        <w:numPr>
          <w:ilvl w:val="0"/>
          <w:numId w:val="1"/>
        </w:numPr>
        <w:spacing w:line="360" w:lineRule="auto"/>
        <w:rPr>
          <w:rStyle w:val="Hyperlink"/>
          <w:rFonts w:ascii="Arial" w:hAnsi="Arial" w:cs="Arial"/>
          <w:color w:val="auto"/>
          <w:sz w:val="24"/>
          <w:szCs w:val="24"/>
          <w:u w:val="none"/>
        </w:rPr>
      </w:pPr>
      <w:proofErr w:type="spellStart"/>
      <w:r w:rsidRPr="00432D0D">
        <w:rPr>
          <w:rFonts w:ascii="Arial" w:hAnsi="Arial" w:cs="Arial"/>
          <w:color w:val="auto"/>
          <w:sz w:val="24"/>
          <w:szCs w:val="24"/>
        </w:rPr>
        <w:t>Kaushal</w:t>
      </w:r>
      <w:proofErr w:type="spellEnd"/>
      <w:r w:rsidRPr="00432D0D">
        <w:rPr>
          <w:rFonts w:ascii="Arial" w:hAnsi="Arial" w:cs="Arial"/>
          <w:color w:val="auto"/>
          <w:sz w:val="24"/>
          <w:szCs w:val="24"/>
        </w:rPr>
        <w:t xml:space="preserve">, V., &amp; </w:t>
      </w:r>
      <w:proofErr w:type="spellStart"/>
      <w:r w:rsidRPr="00432D0D">
        <w:rPr>
          <w:rFonts w:ascii="Arial" w:hAnsi="Arial" w:cs="Arial"/>
          <w:color w:val="auto"/>
          <w:sz w:val="24"/>
          <w:szCs w:val="24"/>
        </w:rPr>
        <w:t>Srivastava</w:t>
      </w:r>
      <w:proofErr w:type="spellEnd"/>
      <w:r w:rsidRPr="00432D0D">
        <w:rPr>
          <w:rFonts w:ascii="Arial" w:hAnsi="Arial" w:cs="Arial"/>
          <w:color w:val="auto"/>
          <w:sz w:val="24"/>
          <w:szCs w:val="24"/>
        </w:rPr>
        <w:t xml:space="preserve">, S. (2021). Hospitality and tourism industry amid COVID-19 pandemic: Perspectives on challenges and learnings from India. </w:t>
      </w:r>
      <w:r w:rsidRPr="00432D0D">
        <w:rPr>
          <w:rFonts w:ascii="Arial" w:hAnsi="Arial" w:cs="Arial"/>
          <w:i/>
          <w:iCs/>
          <w:color w:val="auto"/>
          <w:sz w:val="24"/>
          <w:szCs w:val="24"/>
        </w:rPr>
        <w:t>International Journal of Hospitality Management</w:t>
      </w:r>
      <w:r w:rsidRPr="00432D0D">
        <w:rPr>
          <w:rFonts w:ascii="Arial" w:hAnsi="Arial" w:cs="Arial"/>
          <w:color w:val="auto"/>
          <w:sz w:val="24"/>
          <w:szCs w:val="24"/>
        </w:rPr>
        <w:t xml:space="preserve">, </w:t>
      </w:r>
      <w:r w:rsidRPr="00432D0D">
        <w:rPr>
          <w:rFonts w:ascii="Arial" w:hAnsi="Arial" w:cs="Arial"/>
          <w:i/>
          <w:iCs/>
          <w:color w:val="auto"/>
          <w:sz w:val="24"/>
          <w:szCs w:val="24"/>
        </w:rPr>
        <w:t>92</w:t>
      </w:r>
      <w:r w:rsidRPr="00432D0D">
        <w:rPr>
          <w:rFonts w:ascii="Arial" w:hAnsi="Arial" w:cs="Arial"/>
          <w:color w:val="auto"/>
          <w:sz w:val="24"/>
          <w:szCs w:val="24"/>
        </w:rPr>
        <w:t xml:space="preserve">, 102707. </w:t>
      </w:r>
      <w:hyperlink r:id="rId11" w:history="1">
        <w:r w:rsidRPr="00432D0D">
          <w:rPr>
            <w:rStyle w:val="Hyperlink"/>
            <w:rFonts w:ascii="Arial" w:hAnsi="Arial" w:cs="Arial"/>
            <w:color w:val="auto"/>
            <w:sz w:val="24"/>
            <w:szCs w:val="24"/>
          </w:rPr>
          <w:t>https://doi.org/10.1016/j.ijhm.2020.102707</w:t>
        </w:r>
      </w:hyperlink>
    </w:p>
    <w:p w14:paraId="0B420271" w14:textId="77777777" w:rsidR="00720AE6" w:rsidRPr="00432D0D" w:rsidRDefault="00720AE6" w:rsidP="00432D0D">
      <w:pPr>
        <w:pStyle w:val="ListParagraph"/>
        <w:spacing w:line="360" w:lineRule="auto"/>
        <w:rPr>
          <w:rFonts w:ascii="Arial" w:hAnsi="Arial" w:cs="Arial"/>
          <w:color w:val="auto"/>
          <w:sz w:val="24"/>
          <w:szCs w:val="24"/>
        </w:rPr>
      </w:pPr>
    </w:p>
    <w:p w14:paraId="30918610" w14:textId="77777777" w:rsidR="00720AE6" w:rsidRPr="00432D0D" w:rsidRDefault="00720AE6" w:rsidP="00432D0D">
      <w:pPr>
        <w:pStyle w:val="ListParagraph"/>
        <w:numPr>
          <w:ilvl w:val="0"/>
          <w:numId w:val="1"/>
        </w:numPr>
        <w:spacing w:line="360" w:lineRule="auto"/>
        <w:rPr>
          <w:rStyle w:val="Hyperlink"/>
          <w:rFonts w:ascii="Arial" w:hAnsi="Arial" w:cs="Arial"/>
          <w:color w:val="auto"/>
          <w:sz w:val="24"/>
          <w:szCs w:val="24"/>
          <w:u w:val="none"/>
        </w:rPr>
      </w:pPr>
      <w:proofErr w:type="spellStart"/>
      <w:r w:rsidRPr="00432D0D">
        <w:rPr>
          <w:rFonts w:ascii="Arial" w:hAnsi="Arial" w:cs="Arial"/>
          <w:color w:val="auto"/>
          <w:sz w:val="24"/>
          <w:szCs w:val="24"/>
        </w:rPr>
        <w:t>Kenrick</w:t>
      </w:r>
      <w:proofErr w:type="spellEnd"/>
      <w:r w:rsidRPr="00432D0D">
        <w:rPr>
          <w:rFonts w:ascii="Arial" w:hAnsi="Arial" w:cs="Arial"/>
          <w:color w:val="auto"/>
          <w:sz w:val="24"/>
          <w:szCs w:val="24"/>
        </w:rPr>
        <w:t xml:space="preserve">, D. T., </w:t>
      </w:r>
      <w:proofErr w:type="spellStart"/>
      <w:r w:rsidRPr="00432D0D">
        <w:rPr>
          <w:rFonts w:ascii="Arial" w:hAnsi="Arial" w:cs="Arial"/>
          <w:color w:val="auto"/>
          <w:sz w:val="24"/>
          <w:szCs w:val="24"/>
        </w:rPr>
        <w:t>Griskevicius</w:t>
      </w:r>
      <w:proofErr w:type="spellEnd"/>
      <w:r w:rsidRPr="00432D0D">
        <w:rPr>
          <w:rFonts w:ascii="Arial" w:hAnsi="Arial" w:cs="Arial"/>
          <w:color w:val="auto"/>
          <w:sz w:val="24"/>
          <w:szCs w:val="24"/>
        </w:rPr>
        <w:t xml:space="preserve">, V., </w:t>
      </w:r>
      <w:proofErr w:type="spellStart"/>
      <w:r w:rsidRPr="00432D0D">
        <w:rPr>
          <w:rFonts w:ascii="Arial" w:hAnsi="Arial" w:cs="Arial"/>
          <w:color w:val="auto"/>
          <w:sz w:val="24"/>
          <w:szCs w:val="24"/>
        </w:rPr>
        <w:t>Neuberg</w:t>
      </w:r>
      <w:proofErr w:type="spellEnd"/>
      <w:r w:rsidRPr="00432D0D">
        <w:rPr>
          <w:rFonts w:ascii="Arial" w:hAnsi="Arial" w:cs="Arial"/>
          <w:color w:val="auto"/>
          <w:sz w:val="24"/>
          <w:szCs w:val="24"/>
        </w:rPr>
        <w:t xml:space="preserve">, S. L., &amp; </w:t>
      </w:r>
      <w:proofErr w:type="spellStart"/>
      <w:r w:rsidRPr="00432D0D">
        <w:rPr>
          <w:rFonts w:ascii="Arial" w:hAnsi="Arial" w:cs="Arial"/>
          <w:color w:val="auto"/>
          <w:sz w:val="24"/>
          <w:szCs w:val="24"/>
        </w:rPr>
        <w:t>Schaller</w:t>
      </w:r>
      <w:proofErr w:type="spellEnd"/>
      <w:r w:rsidRPr="00432D0D">
        <w:rPr>
          <w:rFonts w:ascii="Arial" w:hAnsi="Arial" w:cs="Arial"/>
          <w:color w:val="auto"/>
          <w:sz w:val="24"/>
          <w:szCs w:val="24"/>
        </w:rPr>
        <w:t xml:space="preserve">, M. (2010). Renovating the Pyramid of Needs: Contemporary Extensions Built Upon Ancient Foundations. </w:t>
      </w:r>
      <w:r w:rsidRPr="00432D0D">
        <w:rPr>
          <w:rFonts w:ascii="Arial" w:hAnsi="Arial" w:cs="Arial"/>
          <w:i/>
          <w:iCs/>
          <w:color w:val="auto"/>
          <w:sz w:val="24"/>
          <w:szCs w:val="24"/>
        </w:rPr>
        <w:t>Perspectives on psychological science : a journal of the Association for Psychological Science</w:t>
      </w:r>
      <w:r w:rsidRPr="00432D0D">
        <w:rPr>
          <w:rFonts w:ascii="Arial" w:hAnsi="Arial" w:cs="Arial"/>
          <w:color w:val="auto"/>
          <w:sz w:val="24"/>
          <w:szCs w:val="24"/>
        </w:rPr>
        <w:t xml:space="preserve">, </w:t>
      </w:r>
      <w:r w:rsidRPr="00432D0D">
        <w:rPr>
          <w:rFonts w:ascii="Arial" w:hAnsi="Arial" w:cs="Arial"/>
          <w:i/>
          <w:iCs/>
          <w:color w:val="auto"/>
          <w:sz w:val="24"/>
          <w:szCs w:val="24"/>
        </w:rPr>
        <w:t>5</w:t>
      </w:r>
      <w:r w:rsidRPr="00432D0D">
        <w:rPr>
          <w:rFonts w:ascii="Arial" w:hAnsi="Arial" w:cs="Arial"/>
          <w:color w:val="auto"/>
          <w:sz w:val="24"/>
          <w:szCs w:val="24"/>
        </w:rPr>
        <w:t xml:space="preserve">(3), 292. </w:t>
      </w:r>
      <w:hyperlink r:id="rId12" w:history="1">
        <w:r w:rsidRPr="00432D0D">
          <w:rPr>
            <w:rStyle w:val="Hyperlink"/>
            <w:rFonts w:ascii="Arial" w:hAnsi="Arial" w:cs="Arial"/>
            <w:color w:val="auto"/>
            <w:sz w:val="24"/>
            <w:szCs w:val="24"/>
          </w:rPr>
          <w:t>https://doi.org/10.1177/1745691610369469</w:t>
        </w:r>
      </w:hyperlink>
    </w:p>
    <w:p w14:paraId="7EEEC996" w14:textId="77777777" w:rsidR="00720AE6" w:rsidRPr="00432D0D" w:rsidRDefault="00720AE6" w:rsidP="00432D0D">
      <w:pPr>
        <w:pStyle w:val="ListParagraph"/>
        <w:spacing w:line="360" w:lineRule="auto"/>
        <w:rPr>
          <w:rFonts w:ascii="Arial" w:hAnsi="Arial" w:cs="Arial"/>
          <w:color w:val="auto"/>
          <w:sz w:val="24"/>
          <w:szCs w:val="24"/>
        </w:rPr>
      </w:pPr>
    </w:p>
    <w:p w14:paraId="65E542D3" w14:textId="77777777" w:rsidR="00720AE6" w:rsidRPr="00432D0D" w:rsidRDefault="00720AE6" w:rsidP="00432D0D">
      <w:pPr>
        <w:spacing w:line="360" w:lineRule="auto"/>
        <w:rPr>
          <w:rFonts w:ascii="Arial" w:hAnsi="Arial" w:cs="Arial"/>
          <w:color w:val="auto"/>
          <w:sz w:val="24"/>
          <w:szCs w:val="24"/>
        </w:rPr>
      </w:pPr>
    </w:p>
    <w:p w14:paraId="73B842FD" w14:textId="0AB31AC6" w:rsidR="00720AE6" w:rsidRPr="00432D0D" w:rsidRDefault="00720AE6" w:rsidP="00432D0D">
      <w:pPr>
        <w:pStyle w:val="ListParagraph"/>
        <w:numPr>
          <w:ilvl w:val="0"/>
          <w:numId w:val="1"/>
        </w:numPr>
        <w:spacing w:line="360" w:lineRule="auto"/>
        <w:rPr>
          <w:rFonts w:ascii="Arial" w:hAnsi="Arial" w:cs="Arial"/>
          <w:color w:val="auto"/>
          <w:sz w:val="24"/>
          <w:szCs w:val="24"/>
        </w:rPr>
      </w:pPr>
      <w:r w:rsidRPr="00432D0D">
        <w:rPr>
          <w:rFonts w:ascii="Arial" w:hAnsi="Arial" w:cs="Arial"/>
          <w:color w:val="auto"/>
          <w:sz w:val="24"/>
          <w:szCs w:val="24"/>
        </w:rPr>
        <w:t xml:space="preserve">Khan, N. U., Cheng, J., </w:t>
      </w:r>
      <w:proofErr w:type="spellStart"/>
      <w:r w:rsidRPr="00432D0D">
        <w:rPr>
          <w:rFonts w:ascii="Arial" w:hAnsi="Arial" w:cs="Arial"/>
          <w:color w:val="auto"/>
          <w:sz w:val="24"/>
          <w:szCs w:val="24"/>
        </w:rPr>
        <w:t>Yasir</w:t>
      </w:r>
      <w:proofErr w:type="spellEnd"/>
      <w:r w:rsidRPr="00432D0D">
        <w:rPr>
          <w:rFonts w:ascii="Arial" w:hAnsi="Arial" w:cs="Arial"/>
          <w:color w:val="auto"/>
          <w:sz w:val="24"/>
          <w:szCs w:val="24"/>
        </w:rPr>
        <w:t xml:space="preserve">, M., </w:t>
      </w:r>
      <w:proofErr w:type="spellStart"/>
      <w:r w:rsidRPr="00432D0D">
        <w:rPr>
          <w:rFonts w:ascii="Arial" w:hAnsi="Arial" w:cs="Arial"/>
          <w:color w:val="auto"/>
          <w:sz w:val="24"/>
          <w:szCs w:val="24"/>
        </w:rPr>
        <w:t>Saufi</w:t>
      </w:r>
      <w:proofErr w:type="spellEnd"/>
      <w:r w:rsidRPr="00432D0D">
        <w:rPr>
          <w:rFonts w:ascii="Arial" w:hAnsi="Arial" w:cs="Arial"/>
          <w:color w:val="auto"/>
          <w:sz w:val="24"/>
          <w:szCs w:val="24"/>
        </w:rPr>
        <w:t xml:space="preserve">, R. A., </w:t>
      </w:r>
      <w:proofErr w:type="spellStart"/>
      <w:r w:rsidRPr="00432D0D">
        <w:rPr>
          <w:rFonts w:ascii="Arial" w:hAnsi="Arial" w:cs="Arial"/>
          <w:color w:val="auto"/>
          <w:sz w:val="24"/>
          <w:szCs w:val="24"/>
        </w:rPr>
        <w:t>Nawi</w:t>
      </w:r>
      <w:proofErr w:type="spellEnd"/>
      <w:r w:rsidRPr="00432D0D">
        <w:rPr>
          <w:rFonts w:ascii="Arial" w:hAnsi="Arial" w:cs="Arial"/>
          <w:color w:val="auto"/>
          <w:sz w:val="24"/>
          <w:szCs w:val="24"/>
        </w:rPr>
        <w:t xml:space="preserve">, N. C., &amp; </w:t>
      </w:r>
      <w:proofErr w:type="spellStart"/>
      <w:r w:rsidRPr="00432D0D">
        <w:rPr>
          <w:rFonts w:ascii="Arial" w:hAnsi="Arial" w:cs="Arial"/>
          <w:color w:val="auto"/>
          <w:sz w:val="24"/>
          <w:szCs w:val="24"/>
        </w:rPr>
        <w:t>Bazkiaei</w:t>
      </w:r>
      <w:proofErr w:type="spellEnd"/>
      <w:r w:rsidRPr="00432D0D">
        <w:rPr>
          <w:rFonts w:ascii="Arial" w:hAnsi="Arial" w:cs="Arial"/>
          <w:color w:val="auto"/>
          <w:sz w:val="24"/>
          <w:szCs w:val="24"/>
        </w:rPr>
        <w:t xml:space="preserve">, H. A. (2022). Antecedents of Employee Green Behavior in the Hospitality Industry. </w:t>
      </w:r>
      <w:r w:rsidRPr="00432D0D">
        <w:rPr>
          <w:rFonts w:ascii="Arial" w:hAnsi="Arial" w:cs="Arial"/>
          <w:i/>
          <w:iCs/>
          <w:color w:val="auto"/>
          <w:sz w:val="24"/>
          <w:szCs w:val="24"/>
        </w:rPr>
        <w:t>Frontiers in Psychology</w:t>
      </w:r>
      <w:r w:rsidRPr="00432D0D">
        <w:rPr>
          <w:rFonts w:ascii="Arial" w:hAnsi="Arial" w:cs="Arial"/>
          <w:color w:val="auto"/>
          <w:sz w:val="24"/>
          <w:szCs w:val="24"/>
        </w:rPr>
        <w:t xml:space="preserve">, </w:t>
      </w:r>
      <w:r w:rsidRPr="00432D0D">
        <w:rPr>
          <w:rFonts w:ascii="Arial" w:hAnsi="Arial" w:cs="Arial"/>
          <w:i/>
          <w:iCs/>
          <w:color w:val="auto"/>
          <w:sz w:val="24"/>
          <w:szCs w:val="24"/>
        </w:rPr>
        <w:t>13</w:t>
      </w:r>
      <w:r w:rsidRPr="00432D0D">
        <w:rPr>
          <w:rFonts w:ascii="Arial" w:hAnsi="Arial" w:cs="Arial"/>
          <w:color w:val="auto"/>
          <w:sz w:val="24"/>
          <w:szCs w:val="24"/>
        </w:rPr>
        <w:t xml:space="preserve">. </w:t>
      </w:r>
      <w:hyperlink r:id="rId13" w:history="1">
        <w:r w:rsidRPr="00432D0D">
          <w:rPr>
            <w:rStyle w:val="Hyperlink"/>
            <w:rFonts w:ascii="Arial" w:hAnsi="Arial" w:cs="Arial"/>
            <w:color w:val="auto"/>
            <w:sz w:val="24"/>
            <w:szCs w:val="24"/>
          </w:rPr>
          <w:t>https://doi.org/10.3389/fpsyg.2022.836109</w:t>
        </w:r>
      </w:hyperlink>
    </w:p>
    <w:p w14:paraId="20BE2B14" w14:textId="77777777" w:rsidR="00E742C8" w:rsidRPr="00432D0D" w:rsidRDefault="00E742C8" w:rsidP="00432D0D">
      <w:pPr>
        <w:spacing w:line="360" w:lineRule="auto"/>
        <w:rPr>
          <w:rStyle w:val="Hyperlink"/>
          <w:rFonts w:ascii="Arial" w:hAnsi="Arial" w:cs="Arial"/>
          <w:color w:val="auto"/>
          <w:sz w:val="24"/>
          <w:szCs w:val="24"/>
          <w:u w:val="none"/>
        </w:rPr>
      </w:pPr>
    </w:p>
    <w:p w14:paraId="558BD1F3" w14:textId="77777777" w:rsidR="00E742C8" w:rsidRPr="00432D0D" w:rsidRDefault="00E742C8" w:rsidP="00432D0D">
      <w:pPr>
        <w:pStyle w:val="ListParagraph"/>
        <w:numPr>
          <w:ilvl w:val="0"/>
          <w:numId w:val="1"/>
        </w:numPr>
        <w:spacing w:line="360" w:lineRule="auto"/>
        <w:rPr>
          <w:rStyle w:val="Hyperlink"/>
          <w:rFonts w:ascii="Arial" w:hAnsi="Arial" w:cs="Arial"/>
          <w:color w:val="auto"/>
          <w:sz w:val="24"/>
          <w:szCs w:val="24"/>
          <w:u w:val="none"/>
        </w:rPr>
      </w:pPr>
      <w:r w:rsidRPr="00432D0D">
        <w:rPr>
          <w:rFonts w:ascii="Arial" w:hAnsi="Arial" w:cs="Arial"/>
          <w:color w:val="auto"/>
          <w:sz w:val="24"/>
          <w:szCs w:val="24"/>
        </w:rPr>
        <w:t xml:space="preserve">Montag, C., </w:t>
      </w:r>
      <w:proofErr w:type="spellStart"/>
      <w:r w:rsidRPr="00432D0D">
        <w:rPr>
          <w:rFonts w:ascii="Arial" w:hAnsi="Arial" w:cs="Arial"/>
          <w:color w:val="auto"/>
          <w:sz w:val="24"/>
          <w:szCs w:val="24"/>
        </w:rPr>
        <w:t>Sindermann</w:t>
      </w:r>
      <w:proofErr w:type="spellEnd"/>
      <w:r w:rsidRPr="00432D0D">
        <w:rPr>
          <w:rFonts w:ascii="Arial" w:hAnsi="Arial" w:cs="Arial"/>
          <w:color w:val="auto"/>
          <w:sz w:val="24"/>
          <w:szCs w:val="24"/>
        </w:rPr>
        <w:t xml:space="preserve">, C., Lester, D., &amp; Davis, K. L. (2020). Linking individual differences in satisfaction with each of Maslow's needs to the Big Five personality traits and </w:t>
      </w:r>
      <w:proofErr w:type="spellStart"/>
      <w:r w:rsidRPr="00432D0D">
        <w:rPr>
          <w:rFonts w:ascii="Arial" w:hAnsi="Arial" w:cs="Arial"/>
          <w:color w:val="auto"/>
          <w:sz w:val="24"/>
          <w:szCs w:val="24"/>
        </w:rPr>
        <w:t>Panksepp's</w:t>
      </w:r>
      <w:proofErr w:type="spellEnd"/>
      <w:r w:rsidRPr="00432D0D">
        <w:rPr>
          <w:rFonts w:ascii="Arial" w:hAnsi="Arial" w:cs="Arial"/>
          <w:color w:val="auto"/>
          <w:sz w:val="24"/>
          <w:szCs w:val="24"/>
        </w:rPr>
        <w:t xml:space="preserve"> primary emotional systems. </w:t>
      </w:r>
      <w:proofErr w:type="spellStart"/>
      <w:r w:rsidRPr="00432D0D">
        <w:rPr>
          <w:rFonts w:ascii="Arial" w:hAnsi="Arial" w:cs="Arial"/>
          <w:i/>
          <w:iCs/>
          <w:color w:val="auto"/>
          <w:sz w:val="24"/>
          <w:szCs w:val="24"/>
        </w:rPr>
        <w:t>Heliyon</w:t>
      </w:r>
      <w:proofErr w:type="spellEnd"/>
      <w:r w:rsidRPr="00432D0D">
        <w:rPr>
          <w:rFonts w:ascii="Arial" w:hAnsi="Arial" w:cs="Arial"/>
          <w:color w:val="auto"/>
          <w:sz w:val="24"/>
          <w:szCs w:val="24"/>
        </w:rPr>
        <w:t xml:space="preserve">, </w:t>
      </w:r>
      <w:r w:rsidRPr="00432D0D">
        <w:rPr>
          <w:rFonts w:ascii="Arial" w:hAnsi="Arial" w:cs="Arial"/>
          <w:i/>
          <w:iCs/>
          <w:color w:val="auto"/>
          <w:sz w:val="24"/>
          <w:szCs w:val="24"/>
        </w:rPr>
        <w:t>6</w:t>
      </w:r>
      <w:r w:rsidRPr="00432D0D">
        <w:rPr>
          <w:rFonts w:ascii="Arial" w:hAnsi="Arial" w:cs="Arial"/>
          <w:color w:val="auto"/>
          <w:sz w:val="24"/>
          <w:szCs w:val="24"/>
        </w:rPr>
        <w:t xml:space="preserve">(7). </w:t>
      </w:r>
      <w:hyperlink r:id="rId14" w:history="1">
        <w:r w:rsidRPr="00432D0D">
          <w:rPr>
            <w:rStyle w:val="Hyperlink"/>
            <w:rFonts w:ascii="Arial" w:hAnsi="Arial" w:cs="Arial"/>
            <w:color w:val="auto"/>
            <w:sz w:val="24"/>
            <w:szCs w:val="24"/>
          </w:rPr>
          <w:t>https://doi.org/10.1016/j.heliyon.2020.e04325</w:t>
        </w:r>
      </w:hyperlink>
    </w:p>
    <w:p w14:paraId="4FEFFFAF" w14:textId="77777777" w:rsidR="00E742C8" w:rsidRPr="00432D0D" w:rsidRDefault="00E742C8" w:rsidP="00432D0D">
      <w:pPr>
        <w:pStyle w:val="ListParagraph"/>
        <w:spacing w:line="360" w:lineRule="auto"/>
        <w:rPr>
          <w:rFonts w:ascii="Arial" w:hAnsi="Arial" w:cs="Arial"/>
          <w:color w:val="auto"/>
          <w:sz w:val="24"/>
          <w:szCs w:val="24"/>
        </w:rPr>
      </w:pPr>
    </w:p>
    <w:p w14:paraId="5871D05F" w14:textId="77777777" w:rsidR="00720AE6" w:rsidRPr="00432D0D" w:rsidRDefault="00720AE6" w:rsidP="00432D0D">
      <w:pPr>
        <w:pStyle w:val="ListParagraph"/>
        <w:numPr>
          <w:ilvl w:val="0"/>
          <w:numId w:val="1"/>
        </w:numPr>
        <w:spacing w:line="360" w:lineRule="auto"/>
        <w:rPr>
          <w:rFonts w:ascii="Arial" w:hAnsi="Arial" w:cs="Arial"/>
          <w:color w:val="auto"/>
          <w:sz w:val="24"/>
          <w:szCs w:val="24"/>
        </w:rPr>
      </w:pPr>
      <w:r w:rsidRPr="00432D0D">
        <w:rPr>
          <w:rFonts w:ascii="Arial" w:hAnsi="Arial" w:cs="Arial"/>
          <w:color w:val="auto"/>
          <w:sz w:val="24"/>
          <w:szCs w:val="24"/>
        </w:rPr>
        <w:t xml:space="preserve">Nilsson, K., &amp; Nilsson, E. (2021). </w:t>
      </w:r>
      <w:proofErr w:type="spellStart"/>
      <w:r w:rsidRPr="00432D0D">
        <w:rPr>
          <w:rFonts w:ascii="Arial" w:hAnsi="Arial" w:cs="Arial"/>
          <w:color w:val="auto"/>
          <w:sz w:val="24"/>
          <w:szCs w:val="24"/>
        </w:rPr>
        <w:t>Organisational</w:t>
      </w:r>
      <w:proofErr w:type="spellEnd"/>
      <w:r w:rsidRPr="00432D0D">
        <w:rPr>
          <w:rFonts w:ascii="Arial" w:hAnsi="Arial" w:cs="Arial"/>
          <w:color w:val="auto"/>
          <w:sz w:val="24"/>
          <w:szCs w:val="24"/>
        </w:rPr>
        <w:t xml:space="preserve"> Measures and Strategies for a Healthy and Sustainable Extended Working Life and Employability—A Deductive Content Analysis with Data Including Employees, First Line Managers, Trade Union Representatives and HR-Practitioners. </w:t>
      </w:r>
      <w:r w:rsidRPr="00432D0D">
        <w:rPr>
          <w:rFonts w:ascii="Arial" w:hAnsi="Arial" w:cs="Arial"/>
          <w:i/>
          <w:iCs/>
          <w:color w:val="auto"/>
          <w:sz w:val="24"/>
          <w:szCs w:val="24"/>
        </w:rPr>
        <w:t>International Journal of Environmental Research and Public Health</w:t>
      </w:r>
      <w:r w:rsidRPr="00432D0D">
        <w:rPr>
          <w:rFonts w:ascii="Arial" w:hAnsi="Arial" w:cs="Arial"/>
          <w:color w:val="auto"/>
          <w:sz w:val="24"/>
          <w:szCs w:val="24"/>
        </w:rPr>
        <w:t xml:space="preserve">, </w:t>
      </w:r>
      <w:r w:rsidRPr="00432D0D">
        <w:rPr>
          <w:rFonts w:ascii="Arial" w:hAnsi="Arial" w:cs="Arial"/>
          <w:i/>
          <w:iCs/>
          <w:color w:val="auto"/>
          <w:sz w:val="24"/>
          <w:szCs w:val="24"/>
        </w:rPr>
        <w:t>18</w:t>
      </w:r>
      <w:r w:rsidRPr="00432D0D">
        <w:rPr>
          <w:rFonts w:ascii="Arial" w:hAnsi="Arial" w:cs="Arial"/>
          <w:color w:val="auto"/>
          <w:sz w:val="24"/>
          <w:szCs w:val="24"/>
        </w:rPr>
        <w:t xml:space="preserve">(11). </w:t>
      </w:r>
      <w:hyperlink r:id="rId15" w:history="1">
        <w:r w:rsidRPr="00432D0D">
          <w:rPr>
            <w:rStyle w:val="Hyperlink"/>
            <w:rFonts w:ascii="Arial" w:hAnsi="Arial" w:cs="Arial"/>
            <w:color w:val="auto"/>
            <w:sz w:val="24"/>
            <w:szCs w:val="24"/>
          </w:rPr>
          <w:t>https://doi.org/10.3390/ijerph18115626</w:t>
        </w:r>
      </w:hyperlink>
    </w:p>
    <w:p w14:paraId="6EE792BD" w14:textId="77777777" w:rsidR="00720AE6" w:rsidRPr="00432D0D" w:rsidRDefault="00720AE6" w:rsidP="00432D0D">
      <w:pPr>
        <w:pStyle w:val="ListParagraph"/>
        <w:spacing w:line="360" w:lineRule="auto"/>
        <w:rPr>
          <w:rFonts w:ascii="Arial" w:hAnsi="Arial" w:cs="Arial"/>
          <w:color w:val="auto"/>
          <w:sz w:val="24"/>
          <w:szCs w:val="24"/>
        </w:rPr>
      </w:pPr>
    </w:p>
    <w:p w14:paraId="46E4CED2" w14:textId="77777777" w:rsidR="00720AE6" w:rsidRPr="00432D0D" w:rsidRDefault="00720AE6" w:rsidP="00432D0D">
      <w:pPr>
        <w:pStyle w:val="ListParagraph"/>
        <w:numPr>
          <w:ilvl w:val="0"/>
          <w:numId w:val="1"/>
        </w:numPr>
        <w:spacing w:line="360" w:lineRule="auto"/>
        <w:rPr>
          <w:rFonts w:ascii="Arial" w:hAnsi="Arial" w:cs="Arial"/>
          <w:color w:val="auto"/>
          <w:sz w:val="24"/>
          <w:szCs w:val="24"/>
          <w:lang w:val="en-GB" w:bidi="en-GB"/>
        </w:rPr>
      </w:pPr>
      <w:proofErr w:type="spellStart"/>
      <w:r w:rsidRPr="00432D0D">
        <w:rPr>
          <w:rFonts w:ascii="Arial" w:hAnsi="Arial" w:cs="Arial"/>
          <w:color w:val="auto"/>
          <w:sz w:val="24"/>
          <w:szCs w:val="24"/>
        </w:rPr>
        <w:t>Pillai</w:t>
      </w:r>
      <w:proofErr w:type="spellEnd"/>
      <w:r w:rsidRPr="00432D0D">
        <w:rPr>
          <w:rFonts w:ascii="Arial" w:hAnsi="Arial" w:cs="Arial"/>
          <w:color w:val="auto"/>
          <w:sz w:val="24"/>
          <w:szCs w:val="24"/>
        </w:rPr>
        <w:t xml:space="preserve">, S. G., </w:t>
      </w:r>
      <w:proofErr w:type="spellStart"/>
      <w:r w:rsidRPr="00432D0D">
        <w:rPr>
          <w:rFonts w:ascii="Arial" w:hAnsi="Arial" w:cs="Arial"/>
          <w:color w:val="auto"/>
          <w:sz w:val="24"/>
          <w:szCs w:val="24"/>
        </w:rPr>
        <w:t>Haldorai</w:t>
      </w:r>
      <w:proofErr w:type="spellEnd"/>
      <w:r w:rsidRPr="00432D0D">
        <w:rPr>
          <w:rFonts w:ascii="Arial" w:hAnsi="Arial" w:cs="Arial"/>
          <w:color w:val="auto"/>
          <w:sz w:val="24"/>
          <w:szCs w:val="24"/>
        </w:rPr>
        <w:t xml:space="preserve">, K., </w:t>
      </w:r>
      <w:proofErr w:type="spellStart"/>
      <w:r w:rsidRPr="00432D0D">
        <w:rPr>
          <w:rFonts w:ascii="Arial" w:hAnsi="Arial" w:cs="Arial"/>
          <w:color w:val="auto"/>
          <w:sz w:val="24"/>
          <w:szCs w:val="24"/>
        </w:rPr>
        <w:t>Seo</w:t>
      </w:r>
      <w:proofErr w:type="spellEnd"/>
      <w:r w:rsidRPr="00432D0D">
        <w:rPr>
          <w:rFonts w:ascii="Arial" w:hAnsi="Arial" w:cs="Arial"/>
          <w:color w:val="auto"/>
          <w:sz w:val="24"/>
          <w:szCs w:val="24"/>
        </w:rPr>
        <w:t xml:space="preserve">, W. S., &amp; Kim, W. G. (2021). COVID-19 and hospitality 5.0: Redefining hospitality operations. </w:t>
      </w:r>
      <w:r w:rsidRPr="00432D0D">
        <w:rPr>
          <w:rFonts w:ascii="Arial" w:hAnsi="Arial" w:cs="Arial"/>
          <w:i/>
          <w:iCs/>
          <w:color w:val="auto"/>
          <w:sz w:val="24"/>
          <w:szCs w:val="24"/>
        </w:rPr>
        <w:t>International Journal of Hospitality Management</w:t>
      </w:r>
      <w:r w:rsidRPr="00432D0D">
        <w:rPr>
          <w:rFonts w:ascii="Arial" w:hAnsi="Arial" w:cs="Arial"/>
          <w:color w:val="auto"/>
          <w:sz w:val="24"/>
          <w:szCs w:val="24"/>
        </w:rPr>
        <w:t xml:space="preserve">, </w:t>
      </w:r>
      <w:r w:rsidRPr="00432D0D">
        <w:rPr>
          <w:rFonts w:ascii="Arial" w:hAnsi="Arial" w:cs="Arial"/>
          <w:i/>
          <w:iCs/>
          <w:color w:val="auto"/>
          <w:sz w:val="24"/>
          <w:szCs w:val="24"/>
        </w:rPr>
        <w:t>94</w:t>
      </w:r>
      <w:r w:rsidRPr="00432D0D">
        <w:rPr>
          <w:rFonts w:ascii="Arial" w:hAnsi="Arial" w:cs="Arial"/>
          <w:color w:val="auto"/>
          <w:sz w:val="24"/>
          <w:szCs w:val="24"/>
        </w:rPr>
        <w:t>, 102869. https://doi.org/10.1016/j.ijhm.2021.102869</w:t>
      </w:r>
    </w:p>
    <w:p w14:paraId="14E9F84E" w14:textId="77777777" w:rsidR="00720AE6" w:rsidRPr="00432D0D" w:rsidRDefault="00720AE6" w:rsidP="00432D0D">
      <w:pPr>
        <w:pStyle w:val="ListParagraph"/>
        <w:spacing w:line="360" w:lineRule="auto"/>
        <w:rPr>
          <w:rFonts w:ascii="Arial" w:hAnsi="Arial" w:cs="Arial"/>
          <w:color w:val="auto"/>
          <w:sz w:val="24"/>
          <w:szCs w:val="24"/>
        </w:rPr>
      </w:pPr>
    </w:p>
    <w:p w14:paraId="082932AD" w14:textId="77777777" w:rsidR="00E742C8" w:rsidRPr="00432D0D" w:rsidRDefault="00E742C8" w:rsidP="00432D0D">
      <w:pPr>
        <w:pStyle w:val="ListParagraph"/>
        <w:spacing w:line="360" w:lineRule="auto"/>
        <w:rPr>
          <w:rFonts w:ascii="Arial" w:hAnsi="Arial" w:cs="Arial"/>
          <w:color w:val="auto"/>
          <w:sz w:val="24"/>
          <w:szCs w:val="24"/>
        </w:rPr>
      </w:pPr>
    </w:p>
    <w:p w14:paraId="520A2016" w14:textId="2440528D" w:rsidR="00720AE6" w:rsidRPr="00432D0D" w:rsidRDefault="00E742C8" w:rsidP="00432D0D">
      <w:pPr>
        <w:pStyle w:val="Bibliography"/>
        <w:numPr>
          <w:ilvl w:val="0"/>
          <w:numId w:val="1"/>
        </w:numPr>
        <w:tabs>
          <w:tab w:val="left" w:pos="264"/>
        </w:tabs>
        <w:spacing w:after="240" w:line="360" w:lineRule="auto"/>
        <w:rPr>
          <w:rFonts w:ascii="Arial" w:hAnsi="Arial" w:cs="Arial"/>
          <w:color w:val="auto"/>
          <w:sz w:val="24"/>
          <w:szCs w:val="24"/>
        </w:rPr>
      </w:pPr>
      <w:r w:rsidRPr="00432D0D">
        <w:rPr>
          <w:rFonts w:ascii="Arial" w:hAnsi="Arial" w:cs="Arial"/>
          <w:color w:val="auto"/>
          <w:sz w:val="24"/>
          <w:szCs w:val="24"/>
          <w:lang w:val="en-GB" w:bidi="en-GB"/>
        </w:rPr>
        <w:fldChar w:fldCharType="begin"/>
      </w:r>
      <w:r w:rsidRPr="00432D0D">
        <w:rPr>
          <w:rFonts w:ascii="Arial" w:hAnsi="Arial" w:cs="Arial"/>
          <w:color w:val="auto"/>
          <w:sz w:val="24"/>
          <w:szCs w:val="24"/>
          <w:lang w:val="en-GB" w:bidi="en-GB"/>
        </w:rPr>
        <w:instrText xml:space="preserve"> ADDIN ZOTERO_BIBL {"uncited":[],"omitted":[],"custom":[]} CSL_BIBLIOGRAPHY </w:instrText>
      </w:r>
      <w:r w:rsidRPr="00432D0D">
        <w:rPr>
          <w:rFonts w:ascii="Arial" w:hAnsi="Arial" w:cs="Arial"/>
          <w:color w:val="auto"/>
          <w:sz w:val="24"/>
          <w:szCs w:val="24"/>
          <w:lang w:val="en-GB" w:bidi="en-GB"/>
        </w:rPr>
        <w:fldChar w:fldCharType="separate"/>
      </w:r>
      <w:r w:rsidRPr="00432D0D">
        <w:rPr>
          <w:rFonts w:ascii="Arial" w:hAnsi="Arial" w:cs="Arial"/>
          <w:color w:val="auto"/>
          <w:sz w:val="24"/>
          <w:szCs w:val="24"/>
        </w:rPr>
        <w:t xml:space="preserve">Presbitero A. How changes in human resource management practices influence employee engagement? A longitudinal study in a hotel chain. J Hum Resour Hosp Tour. 2016 Jun 1;16. </w:t>
      </w:r>
    </w:p>
    <w:p w14:paraId="0CB0255B" w14:textId="77777777" w:rsidR="00720AE6" w:rsidRPr="00432D0D" w:rsidRDefault="00720AE6" w:rsidP="00432D0D">
      <w:pPr>
        <w:spacing w:line="360" w:lineRule="auto"/>
        <w:rPr>
          <w:rFonts w:ascii="Arial" w:hAnsi="Arial" w:cs="Arial"/>
          <w:color w:val="auto"/>
          <w:sz w:val="24"/>
          <w:szCs w:val="24"/>
        </w:rPr>
      </w:pPr>
    </w:p>
    <w:p w14:paraId="69FA726F" w14:textId="3462A525" w:rsidR="00E742C8" w:rsidRPr="00432D0D" w:rsidRDefault="00E742C8" w:rsidP="00432D0D">
      <w:pPr>
        <w:spacing w:line="360" w:lineRule="auto"/>
        <w:rPr>
          <w:rFonts w:ascii="Arial" w:hAnsi="Arial" w:cs="Arial"/>
          <w:color w:val="auto"/>
          <w:sz w:val="24"/>
          <w:szCs w:val="24"/>
        </w:rPr>
      </w:pPr>
      <w:r w:rsidRPr="00432D0D">
        <w:rPr>
          <w:rFonts w:ascii="Arial" w:hAnsi="Arial" w:cs="Arial"/>
          <w:color w:val="auto"/>
          <w:sz w:val="24"/>
          <w:szCs w:val="24"/>
          <w:lang w:val="en-GB" w:bidi="en-GB"/>
        </w:rPr>
        <w:fldChar w:fldCharType="end"/>
      </w:r>
    </w:p>
    <w:p w14:paraId="4804EF87" w14:textId="77777777" w:rsidR="00E742C8" w:rsidRPr="00432D0D" w:rsidRDefault="00E742C8" w:rsidP="00432D0D">
      <w:pPr>
        <w:pStyle w:val="ListParagraph"/>
        <w:numPr>
          <w:ilvl w:val="0"/>
          <w:numId w:val="1"/>
        </w:numPr>
        <w:spacing w:line="360" w:lineRule="auto"/>
        <w:rPr>
          <w:rFonts w:ascii="Arial" w:hAnsi="Arial" w:cs="Arial"/>
          <w:color w:val="auto"/>
          <w:sz w:val="24"/>
          <w:szCs w:val="24"/>
        </w:rPr>
      </w:pPr>
      <w:proofErr w:type="spellStart"/>
      <w:r w:rsidRPr="00432D0D">
        <w:rPr>
          <w:rFonts w:ascii="Arial" w:hAnsi="Arial" w:cs="Arial"/>
          <w:color w:val="auto"/>
          <w:sz w:val="24"/>
          <w:szCs w:val="24"/>
        </w:rPr>
        <w:t>Rahmadani</w:t>
      </w:r>
      <w:proofErr w:type="spellEnd"/>
      <w:r w:rsidRPr="00432D0D">
        <w:rPr>
          <w:rFonts w:ascii="Arial" w:hAnsi="Arial" w:cs="Arial"/>
          <w:color w:val="auto"/>
          <w:sz w:val="24"/>
          <w:szCs w:val="24"/>
        </w:rPr>
        <w:t xml:space="preserve">, V. G., </w:t>
      </w:r>
      <w:proofErr w:type="spellStart"/>
      <w:r w:rsidRPr="00432D0D">
        <w:rPr>
          <w:rFonts w:ascii="Arial" w:hAnsi="Arial" w:cs="Arial"/>
          <w:color w:val="auto"/>
          <w:sz w:val="24"/>
          <w:szCs w:val="24"/>
        </w:rPr>
        <w:t>Schaufeli</w:t>
      </w:r>
      <w:proofErr w:type="spellEnd"/>
      <w:r w:rsidRPr="00432D0D">
        <w:rPr>
          <w:rFonts w:ascii="Arial" w:hAnsi="Arial" w:cs="Arial"/>
          <w:color w:val="auto"/>
          <w:sz w:val="24"/>
          <w:szCs w:val="24"/>
        </w:rPr>
        <w:t xml:space="preserve">, W. B., Stouten, J., Zhang, Z., &amp; </w:t>
      </w:r>
      <w:proofErr w:type="spellStart"/>
      <w:r w:rsidRPr="00432D0D">
        <w:rPr>
          <w:rFonts w:ascii="Arial" w:hAnsi="Arial" w:cs="Arial"/>
          <w:color w:val="auto"/>
          <w:sz w:val="24"/>
          <w:szCs w:val="24"/>
        </w:rPr>
        <w:t>Zulkarnain</w:t>
      </w:r>
      <w:proofErr w:type="spellEnd"/>
      <w:r w:rsidRPr="00432D0D">
        <w:rPr>
          <w:rFonts w:ascii="Arial" w:hAnsi="Arial" w:cs="Arial"/>
          <w:color w:val="auto"/>
          <w:sz w:val="24"/>
          <w:szCs w:val="24"/>
        </w:rPr>
        <w:t xml:space="preserve">, Z. (2020). Engaging Leadership and Its Implication for Work Engagement and Job Outcomes at the Individual and Team Level: A Multi-Level Longitudinal Study. </w:t>
      </w:r>
      <w:r w:rsidRPr="00432D0D">
        <w:rPr>
          <w:rFonts w:ascii="Arial" w:hAnsi="Arial" w:cs="Arial"/>
          <w:i/>
          <w:iCs/>
          <w:color w:val="auto"/>
          <w:sz w:val="24"/>
          <w:szCs w:val="24"/>
        </w:rPr>
        <w:t>International Journal of Environmental Research and Public Health</w:t>
      </w:r>
      <w:r w:rsidRPr="00432D0D">
        <w:rPr>
          <w:rFonts w:ascii="Arial" w:hAnsi="Arial" w:cs="Arial"/>
          <w:color w:val="auto"/>
          <w:sz w:val="24"/>
          <w:szCs w:val="24"/>
        </w:rPr>
        <w:t xml:space="preserve">, </w:t>
      </w:r>
      <w:r w:rsidRPr="00432D0D">
        <w:rPr>
          <w:rFonts w:ascii="Arial" w:hAnsi="Arial" w:cs="Arial"/>
          <w:i/>
          <w:iCs/>
          <w:color w:val="auto"/>
          <w:sz w:val="24"/>
          <w:szCs w:val="24"/>
        </w:rPr>
        <w:t>17</w:t>
      </w:r>
      <w:r w:rsidRPr="00432D0D">
        <w:rPr>
          <w:rFonts w:ascii="Arial" w:hAnsi="Arial" w:cs="Arial"/>
          <w:color w:val="auto"/>
          <w:sz w:val="24"/>
          <w:szCs w:val="24"/>
        </w:rPr>
        <w:t xml:space="preserve">(3). </w:t>
      </w:r>
      <w:hyperlink r:id="rId16" w:history="1">
        <w:r w:rsidRPr="00432D0D">
          <w:rPr>
            <w:rStyle w:val="Hyperlink"/>
            <w:rFonts w:ascii="Arial" w:hAnsi="Arial" w:cs="Arial"/>
            <w:color w:val="auto"/>
            <w:sz w:val="24"/>
            <w:szCs w:val="24"/>
          </w:rPr>
          <w:t>https://doi.org/10.3390/ijerph17030776</w:t>
        </w:r>
      </w:hyperlink>
    </w:p>
    <w:p w14:paraId="0065FAC5" w14:textId="77777777" w:rsidR="00E742C8" w:rsidRPr="00432D0D" w:rsidRDefault="00E742C8" w:rsidP="00432D0D">
      <w:pPr>
        <w:spacing w:line="360" w:lineRule="auto"/>
        <w:rPr>
          <w:rFonts w:ascii="Arial" w:hAnsi="Arial" w:cs="Arial"/>
          <w:color w:val="auto"/>
          <w:sz w:val="24"/>
          <w:szCs w:val="24"/>
        </w:rPr>
      </w:pPr>
    </w:p>
    <w:p w14:paraId="6351FA2E" w14:textId="77777777" w:rsidR="00E742C8" w:rsidRPr="00432D0D" w:rsidRDefault="00E742C8" w:rsidP="00432D0D">
      <w:pPr>
        <w:pStyle w:val="ListParagraph"/>
        <w:numPr>
          <w:ilvl w:val="0"/>
          <w:numId w:val="1"/>
        </w:numPr>
        <w:spacing w:line="360" w:lineRule="auto"/>
        <w:rPr>
          <w:rFonts w:ascii="Arial" w:hAnsi="Arial" w:cs="Arial"/>
          <w:color w:val="auto"/>
          <w:sz w:val="24"/>
          <w:szCs w:val="24"/>
        </w:rPr>
      </w:pPr>
      <w:r w:rsidRPr="00432D0D">
        <w:rPr>
          <w:rFonts w:ascii="Arial" w:hAnsi="Arial" w:cs="Arial"/>
          <w:color w:val="auto"/>
          <w:sz w:val="24"/>
          <w:szCs w:val="24"/>
        </w:rPr>
        <w:t xml:space="preserve">Rasheed, M. A., </w:t>
      </w:r>
      <w:proofErr w:type="spellStart"/>
      <w:r w:rsidRPr="00432D0D">
        <w:rPr>
          <w:rFonts w:ascii="Arial" w:hAnsi="Arial" w:cs="Arial"/>
          <w:color w:val="auto"/>
          <w:sz w:val="24"/>
          <w:szCs w:val="24"/>
        </w:rPr>
        <w:t>Hookmani</w:t>
      </w:r>
      <w:proofErr w:type="spellEnd"/>
      <w:r w:rsidRPr="00432D0D">
        <w:rPr>
          <w:rFonts w:ascii="Arial" w:hAnsi="Arial" w:cs="Arial"/>
          <w:color w:val="auto"/>
          <w:sz w:val="24"/>
          <w:szCs w:val="24"/>
        </w:rPr>
        <w:t xml:space="preserve">, A. A., Waleed, S., Fatima, H. S., </w:t>
      </w:r>
      <w:proofErr w:type="spellStart"/>
      <w:r w:rsidRPr="00432D0D">
        <w:rPr>
          <w:rFonts w:ascii="Arial" w:hAnsi="Arial" w:cs="Arial"/>
          <w:color w:val="auto"/>
          <w:sz w:val="24"/>
          <w:szCs w:val="24"/>
        </w:rPr>
        <w:t>Siddiqui</w:t>
      </w:r>
      <w:proofErr w:type="spellEnd"/>
      <w:r w:rsidRPr="00432D0D">
        <w:rPr>
          <w:rFonts w:ascii="Arial" w:hAnsi="Arial" w:cs="Arial"/>
          <w:color w:val="auto"/>
          <w:sz w:val="24"/>
          <w:szCs w:val="24"/>
        </w:rPr>
        <w:t xml:space="preserve">, S., </w:t>
      </w:r>
      <w:proofErr w:type="spellStart"/>
      <w:r w:rsidRPr="00432D0D">
        <w:rPr>
          <w:rFonts w:ascii="Arial" w:hAnsi="Arial" w:cs="Arial"/>
          <w:color w:val="auto"/>
          <w:sz w:val="24"/>
          <w:szCs w:val="24"/>
        </w:rPr>
        <w:t>Khurram</w:t>
      </w:r>
      <w:proofErr w:type="spellEnd"/>
      <w:r w:rsidRPr="00432D0D">
        <w:rPr>
          <w:rFonts w:ascii="Arial" w:hAnsi="Arial" w:cs="Arial"/>
          <w:color w:val="auto"/>
          <w:sz w:val="24"/>
          <w:szCs w:val="24"/>
        </w:rPr>
        <w:t xml:space="preserve">, M., &amp; Hasan, B. S. (2021). Implementation and Evaluation of a Social Media-Based Communication Strategy to Enhance Employee Engagement: Experiences From a Children's Hospital, Pakistan. </w:t>
      </w:r>
      <w:r w:rsidRPr="00432D0D">
        <w:rPr>
          <w:rFonts w:ascii="Arial" w:hAnsi="Arial" w:cs="Arial"/>
          <w:i/>
          <w:iCs/>
          <w:color w:val="auto"/>
          <w:sz w:val="24"/>
          <w:szCs w:val="24"/>
        </w:rPr>
        <w:t>Frontiers in Public Health</w:t>
      </w:r>
      <w:r w:rsidRPr="00432D0D">
        <w:rPr>
          <w:rFonts w:ascii="Arial" w:hAnsi="Arial" w:cs="Arial"/>
          <w:color w:val="auto"/>
          <w:sz w:val="24"/>
          <w:szCs w:val="24"/>
        </w:rPr>
        <w:t xml:space="preserve">, </w:t>
      </w:r>
      <w:r w:rsidRPr="00432D0D">
        <w:rPr>
          <w:rFonts w:ascii="Arial" w:hAnsi="Arial" w:cs="Arial"/>
          <w:i/>
          <w:iCs/>
          <w:color w:val="auto"/>
          <w:sz w:val="24"/>
          <w:szCs w:val="24"/>
        </w:rPr>
        <w:t>9</w:t>
      </w:r>
      <w:r w:rsidRPr="00432D0D">
        <w:rPr>
          <w:rFonts w:ascii="Arial" w:hAnsi="Arial" w:cs="Arial"/>
          <w:color w:val="auto"/>
          <w:sz w:val="24"/>
          <w:szCs w:val="24"/>
        </w:rPr>
        <w:t xml:space="preserve">. </w:t>
      </w:r>
      <w:hyperlink r:id="rId17" w:history="1">
        <w:r w:rsidRPr="00432D0D">
          <w:rPr>
            <w:rStyle w:val="Hyperlink"/>
            <w:rFonts w:ascii="Arial" w:hAnsi="Arial" w:cs="Arial"/>
            <w:color w:val="auto"/>
            <w:sz w:val="24"/>
            <w:szCs w:val="24"/>
          </w:rPr>
          <w:t>https://doi.org/10.3389/fpubh.2021.584179</w:t>
        </w:r>
      </w:hyperlink>
    </w:p>
    <w:p w14:paraId="5AF7B3C4" w14:textId="77777777" w:rsidR="00E742C8" w:rsidRPr="00432D0D" w:rsidRDefault="00E742C8" w:rsidP="00432D0D">
      <w:pPr>
        <w:spacing w:line="360" w:lineRule="auto"/>
        <w:rPr>
          <w:rFonts w:ascii="Arial" w:hAnsi="Arial" w:cs="Arial"/>
          <w:color w:val="auto"/>
          <w:sz w:val="24"/>
          <w:szCs w:val="24"/>
        </w:rPr>
      </w:pPr>
    </w:p>
    <w:p w14:paraId="6BB8547F" w14:textId="77777777" w:rsidR="00E742C8" w:rsidRPr="00432D0D" w:rsidRDefault="00E742C8" w:rsidP="00432D0D">
      <w:pPr>
        <w:pStyle w:val="ListParagraph"/>
        <w:numPr>
          <w:ilvl w:val="0"/>
          <w:numId w:val="1"/>
        </w:numPr>
        <w:spacing w:line="360" w:lineRule="auto"/>
        <w:rPr>
          <w:rFonts w:ascii="Arial" w:hAnsi="Arial" w:cs="Arial"/>
          <w:color w:val="auto"/>
          <w:sz w:val="24"/>
          <w:szCs w:val="24"/>
        </w:rPr>
      </w:pPr>
      <w:r w:rsidRPr="00432D0D">
        <w:rPr>
          <w:rFonts w:ascii="Arial" w:hAnsi="Arial" w:cs="Arial"/>
          <w:color w:val="auto"/>
          <w:sz w:val="24"/>
          <w:szCs w:val="24"/>
        </w:rPr>
        <w:t xml:space="preserve">Su, W., &amp; Hahn, J. (2021). Improving Millennial Employees’ OCB: A Multilevel Mediated and Moderated Model of Ethical Leadership. </w:t>
      </w:r>
      <w:r w:rsidRPr="00432D0D">
        <w:rPr>
          <w:rFonts w:ascii="Arial" w:hAnsi="Arial" w:cs="Arial"/>
          <w:i/>
          <w:iCs/>
          <w:color w:val="auto"/>
          <w:sz w:val="24"/>
          <w:szCs w:val="24"/>
        </w:rPr>
        <w:t>International Journal of Environmental Research and Public Health</w:t>
      </w:r>
      <w:r w:rsidRPr="00432D0D">
        <w:rPr>
          <w:rFonts w:ascii="Arial" w:hAnsi="Arial" w:cs="Arial"/>
          <w:color w:val="auto"/>
          <w:sz w:val="24"/>
          <w:szCs w:val="24"/>
        </w:rPr>
        <w:t xml:space="preserve">, </w:t>
      </w:r>
      <w:r w:rsidRPr="00432D0D">
        <w:rPr>
          <w:rFonts w:ascii="Arial" w:hAnsi="Arial" w:cs="Arial"/>
          <w:i/>
          <w:iCs/>
          <w:color w:val="auto"/>
          <w:sz w:val="24"/>
          <w:szCs w:val="24"/>
        </w:rPr>
        <w:t>18</w:t>
      </w:r>
      <w:r w:rsidRPr="00432D0D">
        <w:rPr>
          <w:rFonts w:ascii="Arial" w:hAnsi="Arial" w:cs="Arial"/>
          <w:color w:val="auto"/>
          <w:sz w:val="24"/>
          <w:szCs w:val="24"/>
        </w:rPr>
        <w:t xml:space="preserve">(15). </w:t>
      </w:r>
      <w:hyperlink r:id="rId18" w:history="1">
        <w:r w:rsidRPr="00432D0D">
          <w:rPr>
            <w:rStyle w:val="Hyperlink"/>
            <w:rFonts w:ascii="Arial" w:hAnsi="Arial" w:cs="Arial"/>
            <w:color w:val="auto"/>
            <w:sz w:val="24"/>
            <w:szCs w:val="24"/>
          </w:rPr>
          <w:t>https://doi.org/10.3390/ijerph18158139</w:t>
        </w:r>
      </w:hyperlink>
    </w:p>
    <w:p w14:paraId="2C295705" w14:textId="77777777" w:rsidR="00E742C8" w:rsidRPr="00432D0D" w:rsidRDefault="00E742C8" w:rsidP="00432D0D">
      <w:pPr>
        <w:spacing w:line="360" w:lineRule="auto"/>
        <w:rPr>
          <w:rFonts w:ascii="Arial" w:hAnsi="Arial" w:cs="Arial"/>
          <w:color w:val="auto"/>
          <w:sz w:val="24"/>
          <w:szCs w:val="24"/>
        </w:rPr>
      </w:pPr>
    </w:p>
    <w:p w14:paraId="48FC1F13" w14:textId="77777777" w:rsidR="00E742C8" w:rsidRPr="00432D0D" w:rsidRDefault="00E742C8" w:rsidP="00432D0D">
      <w:pPr>
        <w:pStyle w:val="ListParagraph"/>
        <w:numPr>
          <w:ilvl w:val="0"/>
          <w:numId w:val="1"/>
        </w:numPr>
        <w:spacing w:line="360" w:lineRule="auto"/>
        <w:rPr>
          <w:rStyle w:val="Hyperlink"/>
          <w:rFonts w:ascii="Arial" w:hAnsi="Arial" w:cs="Arial"/>
          <w:color w:val="auto"/>
          <w:sz w:val="24"/>
          <w:szCs w:val="24"/>
          <w:u w:val="none"/>
        </w:rPr>
      </w:pPr>
      <w:r w:rsidRPr="00432D0D">
        <w:rPr>
          <w:rFonts w:ascii="Arial" w:hAnsi="Arial" w:cs="Arial"/>
          <w:color w:val="auto"/>
          <w:sz w:val="24"/>
          <w:szCs w:val="24"/>
        </w:rPr>
        <w:t xml:space="preserve">Simpson, E. H., &amp; Balsam, P. D. (2016). The Behavioral Neuroscience of Motivation: An Overview of Concepts, Measures, and Translational Applications. </w:t>
      </w:r>
      <w:r w:rsidRPr="00432D0D">
        <w:rPr>
          <w:rFonts w:ascii="Arial" w:hAnsi="Arial" w:cs="Arial"/>
          <w:i/>
          <w:iCs/>
          <w:color w:val="auto"/>
          <w:sz w:val="24"/>
          <w:szCs w:val="24"/>
        </w:rPr>
        <w:t>Current topics in behavioral neurosciences</w:t>
      </w:r>
      <w:r w:rsidRPr="00432D0D">
        <w:rPr>
          <w:rFonts w:ascii="Arial" w:hAnsi="Arial" w:cs="Arial"/>
          <w:color w:val="auto"/>
          <w:sz w:val="24"/>
          <w:szCs w:val="24"/>
        </w:rPr>
        <w:t xml:space="preserve">, </w:t>
      </w:r>
      <w:r w:rsidRPr="00432D0D">
        <w:rPr>
          <w:rFonts w:ascii="Arial" w:hAnsi="Arial" w:cs="Arial"/>
          <w:i/>
          <w:iCs/>
          <w:color w:val="auto"/>
          <w:sz w:val="24"/>
          <w:szCs w:val="24"/>
        </w:rPr>
        <w:t>27</w:t>
      </w:r>
      <w:r w:rsidRPr="00432D0D">
        <w:rPr>
          <w:rFonts w:ascii="Arial" w:hAnsi="Arial" w:cs="Arial"/>
          <w:color w:val="auto"/>
          <w:sz w:val="24"/>
          <w:szCs w:val="24"/>
        </w:rPr>
        <w:t xml:space="preserve">, 1. </w:t>
      </w:r>
      <w:hyperlink r:id="rId19" w:history="1">
        <w:r w:rsidRPr="00432D0D">
          <w:rPr>
            <w:rStyle w:val="Hyperlink"/>
            <w:rFonts w:ascii="Arial" w:hAnsi="Arial" w:cs="Arial"/>
            <w:color w:val="auto"/>
            <w:sz w:val="24"/>
            <w:szCs w:val="24"/>
          </w:rPr>
          <w:t>https://doi.org/10.1007/7854_2015_402</w:t>
        </w:r>
      </w:hyperlink>
    </w:p>
    <w:p w14:paraId="479C2AC0" w14:textId="77777777" w:rsidR="00720AE6" w:rsidRPr="00432D0D" w:rsidRDefault="00720AE6" w:rsidP="00432D0D">
      <w:pPr>
        <w:pStyle w:val="ListParagraph"/>
        <w:spacing w:line="360" w:lineRule="auto"/>
        <w:rPr>
          <w:rFonts w:ascii="Arial" w:hAnsi="Arial" w:cs="Arial"/>
          <w:color w:val="auto"/>
          <w:sz w:val="24"/>
          <w:szCs w:val="24"/>
        </w:rPr>
      </w:pPr>
    </w:p>
    <w:p w14:paraId="12518ABB" w14:textId="77777777" w:rsidR="00720AE6" w:rsidRPr="00432D0D" w:rsidRDefault="00720AE6" w:rsidP="00432D0D">
      <w:pPr>
        <w:spacing w:line="360" w:lineRule="auto"/>
        <w:rPr>
          <w:rFonts w:ascii="Arial" w:hAnsi="Arial" w:cs="Arial"/>
          <w:color w:val="auto"/>
          <w:sz w:val="24"/>
          <w:szCs w:val="24"/>
        </w:rPr>
      </w:pPr>
    </w:p>
    <w:p w14:paraId="5D43D94F" w14:textId="77777777" w:rsidR="00720AE6" w:rsidRPr="00432D0D" w:rsidRDefault="00720AE6" w:rsidP="00432D0D">
      <w:pPr>
        <w:pStyle w:val="ListParagraph"/>
        <w:numPr>
          <w:ilvl w:val="0"/>
          <w:numId w:val="1"/>
        </w:numPr>
        <w:spacing w:line="360" w:lineRule="auto"/>
        <w:rPr>
          <w:rFonts w:ascii="Arial" w:hAnsi="Arial" w:cs="Arial"/>
          <w:color w:val="auto"/>
          <w:sz w:val="24"/>
          <w:szCs w:val="24"/>
        </w:rPr>
      </w:pPr>
      <w:proofErr w:type="spellStart"/>
      <w:r w:rsidRPr="00432D0D">
        <w:rPr>
          <w:rFonts w:ascii="Arial" w:hAnsi="Arial" w:cs="Arial"/>
          <w:color w:val="auto"/>
          <w:sz w:val="24"/>
          <w:szCs w:val="24"/>
        </w:rPr>
        <w:t>Wiese</w:t>
      </w:r>
      <w:proofErr w:type="spellEnd"/>
      <w:r w:rsidRPr="00432D0D">
        <w:rPr>
          <w:rFonts w:ascii="Arial" w:hAnsi="Arial" w:cs="Arial"/>
          <w:color w:val="auto"/>
          <w:sz w:val="24"/>
          <w:szCs w:val="24"/>
        </w:rPr>
        <w:t xml:space="preserve">, A., &amp; Bennett, D. (2022). Orientation of medical trainees to a new clinical environment (the ready-steady-go model): a constructivist grounded theory study. </w:t>
      </w:r>
      <w:r w:rsidRPr="00432D0D">
        <w:rPr>
          <w:rFonts w:ascii="Arial" w:hAnsi="Arial" w:cs="Arial"/>
          <w:i/>
          <w:iCs/>
          <w:color w:val="auto"/>
          <w:sz w:val="24"/>
          <w:szCs w:val="24"/>
        </w:rPr>
        <w:t>BMC Medical Education</w:t>
      </w:r>
      <w:r w:rsidRPr="00432D0D">
        <w:rPr>
          <w:rFonts w:ascii="Arial" w:hAnsi="Arial" w:cs="Arial"/>
          <w:color w:val="auto"/>
          <w:sz w:val="24"/>
          <w:szCs w:val="24"/>
        </w:rPr>
        <w:t xml:space="preserve">, </w:t>
      </w:r>
      <w:r w:rsidRPr="00432D0D">
        <w:rPr>
          <w:rFonts w:ascii="Arial" w:hAnsi="Arial" w:cs="Arial"/>
          <w:i/>
          <w:iCs/>
          <w:color w:val="auto"/>
          <w:sz w:val="24"/>
          <w:szCs w:val="24"/>
        </w:rPr>
        <w:t>22</w:t>
      </w:r>
      <w:r w:rsidRPr="00432D0D">
        <w:rPr>
          <w:rFonts w:ascii="Arial" w:hAnsi="Arial" w:cs="Arial"/>
          <w:color w:val="auto"/>
          <w:sz w:val="24"/>
          <w:szCs w:val="24"/>
        </w:rPr>
        <w:t xml:space="preserve">. </w:t>
      </w:r>
      <w:hyperlink r:id="rId20" w:history="1">
        <w:r w:rsidRPr="00432D0D">
          <w:rPr>
            <w:rStyle w:val="Hyperlink"/>
            <w:rFonts w:ascii="Arial" w:hAnsi="Arial" w:cs="Arial"/>
            <w:color w:val="auto"/>
            <w:sz w:val="24"/>
            <w:szCs w:val="24"/>
          </w:rPr>
          <w:t>https://doi.org/10.1186/s12909-022-03105-3</w:t>
        </w:r>
      </w:hyperlink>
    </w:p>
    <w:p w14:paraId="32CEEE63" w14:textId="77777777" w:rsidR="00720AE6" w:rsidRPr="00432D0D" w:rsidRDefault="00720AE6" w:rsidP="00432D0D">
      <w:pPr>
        <w:pStyle w:val="ListParagraph"/>
        <w:spacing w:line="360" w:lineRule="auto"/>
        <w:rPr>
          <w:rFonts w:ascii="Arial" w:hAnsi="Arial" w:cs="Arial"/>
          <w:color w:val="auto"/>
          <w:sz w:val="24"/>
          <w:szCs w:val="24"/>
        </w:rPr>
      </w:pPr>
    </w:p>
    <w:p w14:paraId="0B4107F4" w14:textId="77777777" w:rsidR="00E742C8" w:rsidRPr="00432D0D" w:rsidRDefault="00E742C8" w:rsidP="00432D0D">
      <w:pPr>
        <w:pStyle w:val="ListParagraph"/>
        <w:numPr>
          <w:ilvl w:val="0"/>
          <w:numId w:val="1"/>
        </w:numPr>
        <w:spacing w:line="360" w:lineRule="auto"/>
        <w:rPr>
          <w:rFonts w:ascii="Arial" w:hAnsi="Arial" w:cs="Arial"/>
          <w:color w:val="auto"/>
          <w:sz w:val="24"/>
          <w:szCs w:val="24"/>
        </w:rPr>
      </w:pPr>
      <w:r w:rsidRPr="00432D0D">
        <w:rPr>
          <w:rFonts w:ascii="Arial" w:hAnsi="Arial" w:cs="Arial"/>
          <w:color w:val="auto"/>
          <w:sz w:val="24"/>
          <w:szCs w:val="24"/>
        </w:rPr>
        <w:t xml:space="preserve">.What we offer [Internet]. Travelodge. [cited 2022 Oct 26]. Available from: </w:t>
      </w:r>
      <w:hyperlink r:id="rId21" w:history="1">
        <w:r w:rsidRPr="00432D0D">
          <w:rPr>
            <w:rStyle w:val="Hyperlink"/>
            <w:rFonts w:ascii="Arial" w:hAnsi="Arial" w:cs="Arial"/>
            <w:color w:val="auto"/>
            <w:sz w:val="24"/>
            <w:szCs w:val="24"/>
          </w:rPr>
          <w:t>https://www.travelodge.co.uk/careers//what-we-offer.aspx</w:t>
        </w:r>
      </w:hyperlink>
    </w:p>
    <w:p w14:paraId="35FFEEF7" w14:textId="77777777" w:rsidR="00E742C8" w:rsidRPr="00432D0D" w:rsidRDefault="00E742C8" w:rsidP="00432D0D">
      <w:pPr>
        <w:spacing w:line="360" w:lineRule="auto"/>
        <w:rPr>
          <w:rFonts w:ascii="Arial" w:hAnsi="Arial" w:cs="Arial"/>
          <w:color w:val="auto"/>
          <w:sz w:val="24"/>
          <w:szCs w:val="24"/>
        </w:rPr>
      </w:pPr>
    </w:p>
    <w:p w14:paraId="11F5735A" w14:textId="77777777" w:rsidR="00E742C8" w:rsidRPr="00432D0D" w:rsidRDefault="00E742C8" w:rsidP="00432D0D">
      <w:pPr>
        <w:spacing w:line="360" w:lineRule="auto"/>
        <w:rPr>
          <w:rFonts w:ascii="Arial" w:hAnsi="Arial" w:cs="Arial"/>
          <w:color w:val="auto"/>
          <w:sz w:val="24"/>
          <w:szCs w:val="24"/>
          <w:lang w:val="en-GB" w:bidi="en-GB"/>
        </w:rPr>
      </w:pPr>
    </w:p>
    <w:p w14:paraId="3616E4BA" w14:textId="77777777" w:rsidR="00E742C8" w:rsidRPr="00432D0D" w:rsidRDefault="00E742C8" w:rsidP="00432D0D">
      <w:pPr>
        <w:spacing w:line="360" w:lineRule="auto"/>
        <w:rPr>
          <w:rFonts w:ascii="Arial" w:hAnsi="Arial" w:cs="Arial"/>
          <w:color w:val="auto"/>
          <w:sz w:val="24"/>
          <w:szCs w:val="24"/>
        </w:rPr>
      </w:pPr>
    </w:p>
    <w:p w14:paraId="27518FCF" w14:textId="77777777" w:rsidR="00E742C8" w:rsidRPr="00432D0D" w:rsidRDefault="00E742C8" w:rsidP="00432D0D">
      <w:pPr>
        <w:spacing w:line="360" w:lineRule="auto"/>
        <w:rPr>
          <w:rFonts w:ascii="Arial" w:hAnsi="Arial" w:cs="Arial"/>
          <w:color w:val="auto"/>
          <w:sz w:val="24"/>
          <w:szCs w:val="24"/>
        </w:rPr>
      </w:pPr>
    </w:p>
    <w:p w14:paraId="7F06C2AD" w14:textId="77777777" w:rsidR="00E742C8" w:rsidRPr="00432D0D" w:rsidRDefault="00E742C8" w:rsidP="00432D0D">
      <w:pPr>
        <w:spacing w:line="360" w:lineRule="auto"/>
        <w:rPr>
          <w:rFonts w:ascii="Arial" w:hAnsi="Arial" w:cs="Arial"/>
          <w:color w:val="auto"/>
          <w:sz w:val="24"/>
          <w:szCs w:val="24"/>
        </w:rPr>
      </w:pPr>
    </w:p>
    <w:p w14:paraId="422FD49F" w14:textId="77777777" w:rsidR="002935E0" w:rsidRPr="00432D0D" w:rsidRDefault="002935E0" w:rsidP="00432D0D">
      <w:pPr>
        <w:spacing w:line="360" w:lineRule="auto"/>
        <w:rPr>
          <w:rFonts w:ascii="Arial" w:hAnsi="Arial" w:cs="Arial"/>
          <w:color w:val="auto"/>
          <w:sz w:val="24"/>
          <w:szCs w:val="24"/>
        </w:rPr>
      </w:pPr>
    </w:p>
    <w:sectPr w:rsidR="002935E0" w:rsidRPr="00432D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55206D"/>
    <w:multiLevelType w:val="hybridMultilevel"/>
    <w:tmpl w:val="70AACC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10799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2C8"/>
    <w:rsid w:val="002935E0"/>
    <w:rsid w:val="00295A00"/>
    <w:rsid w:val="00432D0D"/>
    <w:rsid w:val="00720AE6"/>
    <w:rsid w:val="007F3C23"/>
    <w:rsid w:val="008612B2"/>
    <w:rsid w:val="009459E2"/>
    <w:rsid w:val="00CC2496"/>
    <w:rsid w:val="00D2076F"/>
    <w:rsid w:val="00E742C8"/>
    <w:rsid w:val="00FD5B5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DA6244"/>
  <w15:chartTrackingRefBased/>
  <w15:docId w15:val="{AB8E68EA-79C8-4075-AD75-DB138EBCB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42C8"/>
    <w:pPr>
      <w:spacing w:after="120"/>
    </w:pPr>
    <w:rPr>
      <w:color w:val="595959" w:themeColor="text1" w:themeTint="A6"/>
      <w:kern w:val="0"/>
      <w:sz w:val="30"/>
      <w:szCs w:val="30"/>
      <w:lang w:val="en-US"/>
      <w14:ligatures w14:val="none"/>
    </w:rPr>
  </w:style>
  <w:style w:type="paragraph" w:styleId="Heading1">
    <w:name w:val="heading 1"/>
    <w:basedOn w:val="Normal"/>
    <w:next w:val="Normal"/>
    <w:link w:val="Heading1Char"/>
    <w:uiPriority w:val="9"/>
    <w:qFormat/>
    <w:rsid w:val="00E742C8"/>
    <w:pPr>
      <w:keepNext/>
      <w:keepLines/>
      <w:spacing w:before="460"/>
      <w:outlineLvl w:val="0"/>
    </w:pPr>
    <w:rPr>
      <w:rFonts w:asciiTheme="majorHAnsi" w:eastAsiaTheme="majorEastAsia" w:hAnsiTheme="majorHAnsi" w:cstheme="majorBidi"/>
      <w:color w:val="262626" w:themeColor="text1" w:themeTint="D9"/>
      <w:sz w:val="4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2C8"/>
    <w:rPr>
      <w:rFonts w:asciiTheme="majorHAnsi" w:eastAsiaTheme="majorEastAsia" w:hAnsiTheme="majorHAnsi" w:cstheme="majorBidi"/>
      <w:color w:val="262626" w:themeColor="text1" w:themeTint="D9"/>
      <w:kern w:val="0"/>
      <w:sz w:val="48"/>
      <w:szCs w:val="32"/>
      <w:lang w:val="en-US"/>
      <w14:ligatures w14:val="none"/>
    </w:rPr>
  </w:style>
  <w:style w:type="paragraph" w:styleId="Bibliography">
    <w:name w:val="Bibliography"/>
    <w:basedOn w:val="Normal"/>
    <w:next w:val="Normal"/>
    <w:uiPriority w:val="37"/>
    <w:unhideWhenUsed/>
    <w:rsid w:val="00E742C8"/>
  </w:style>
  <w:style w:type="character" w:styleId="Hyperlink">
    <w:name w:val="Hyperlink"/>
    <w:basedOn w:val="DefaultParagraphFont"/>
    <w:uiPriority w:val="99"/>
    <w:unhideWhenUsed/>
    <w:rsid w:val="00E742C8"/>
    <w:rPr>
      <w:color w:val="525252" w:themeColor="accent3" w:themeShade="80"/>
      <w:u w:val="single"/>
    </w:rPr>
  </w:style>
  <w:style w:type="paragraph" w:styleId="ListParagraph">
    <w:name w:val="List Paragraph"/>
    <w:basedOn w:val="Normal"/>
    <w:uiPriority w:val="34"/>
    <w:unhideWhenUsed/>
    <w:qFormat/>
    <w:rsid w:val="00E742C8"/>
    <w:pPr>
      <w:ind w:left="720"/>
      <w:contextualSpacing/>
    </w:pPr>
  </w:style>
  <w:style w:type="character" w:styleId="UnresolvedMention">
    <w:name w:val="Unresolved Mention"/>
    <w:basedOn w:val="DefaultParagraphFont"/>
    <w:uiPriority w:val="99"/>
    <w:semiHidden/>
    <w:unhideWhenUsed/>
    <w:rsid w:val="00E742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ijerph18105470" TargetMode="External"/><Relationship Id="rId13" Type="http://schemas.openxmlformats.org/officeDocument/2006/relationships/hyperlink" Target="https://doi.org/10.3389/fpsyg.2022.836109" TargetMode="External"/><Relationship Id="rId18" Type="http://schemas.openxmlformats.org/officeDocument/2006/relationships/hyperlink" Target="https://doi.org/10.3390/ijerph18158139" TargetMode="External"/><Relationship Id="rId3" Type="http://schemas.openxmlformats.org/officeDocument/2006/relationships/settings" Target="settings.xml"/><Relationship Id="rId21" Type="http://schemas.openxmlformats.org/officeDocument/2006/relationships/hyperlink" Target="https://www.travelodge.co.uk/careers//what-we-offer.aspx" TargetMode="External"/><Relationship Id="rId7" Type="http://schemas.openxmlformats.org/officeDocument/2006/relationships/hyperlink" Target="https://doi.org/10.3390/ijerph18126616" TargetMode="External"/><Relationship Id="rId12" Type="http://schemas.openxmlformats.org/officeDocument/2006/relationships/hyperlink" Target="https://doi.org/10.1177/1745691610369469" TargetMode="External"/><Relationship Id="rId17" Type="http://schemas.openxmlformats.org/officeDocument/2006/relationships/hyperlink" Target="https://doi.org/10.3389/fpubh.2021.584179" TargetMode="External"/><Relationship Id="rId2" Type="http://schemas.openxmlformats.org/officeDocument/2006/relationships/styles" Target="styles.xml"/><Relationship Id="rId16" Type="http://schemas.openxmlformats.org/officeDocument/2006/relationships/hyperlink" Target="https://doi.org/10.3390/ijerph17030776" TargetMode="External"/><Relationship Id="rId20" Type="http://schemas.openxmlformats.org/officeDocument/2006/relationships/hyperlink" Target="https://doi.org/10.1186/s12909-022-03105-3" TargetMode="External"/><Relationship Id="rId1" Type="http://schemas.openxmlformats.org/officeDocument/2006/relationships/numbering" Target="numbering.xml"/><Relationship Id="rId6" Type="http://schemas.openxmlformats.org/officeDocument/2006/relationships/hyperlink" Target="https://doi.org/10.1016/j.ijhm.2008.07.001" TargetMode="External"/><Relationship Id="rId11" Type="http://schemas.openxmlformats.org/officeDocument/2006/relationships/hyperlink" Target="https://doi.org/10.1016/j.ijhm.2020.102707" TargetMode="External"/><Relationship Id="rId5" Type="http://schemas.openxmlformats.org/officeDocument/2006/relationships/hyperlink" Target="https://doi.org/10.3389/fpsyg.2022.853125" TargetMode="External"/><Relationship Id="rId15" Type="http://schemas.openxmlformats.org/officeDocument/2006/relationships/hyperlink" Target="https://doi.org/10.3390/ijerph18115626" TargetMode="External"/><Relationship Id="rId23" Type="http://schemas.openxmlformats.org/officeDocument/2006/relationships/theme" Target="theme/theme1.xml"/><Relationship Id="rId10" Type="http://schemas.openxmlformats.org/officeDocument/2006/relationships/hyperlink" Target="https://doi.org/10.3389/fpsyg.2022.890418" TargetMode="External"/><Relationship Id="rId19" Type="http://schemas.openxmlformats.org/officeDocument/2006/relationships/hyperlink" Target="https://doi.org/10.1007/7854_2015_402" TargetMode="External"/><Relationship Id="rId4" Type="http://schemas.openxmlformats.org/officeDocument/2006/relationships/webSettings" Target="webSettings.xml"/><Relationship Id="rId9" Type="http://schemas.openxmlformats.org/officeDocument/2006/relationships/hyperlink" Target="https://doi.org/10.3390/ijerph18115626" TargetMode="External"/><Relationship Id="rId14" Type="http://schemas.openxmlformats.org/officeDocument/2006/relationships/hyperlink" Target="https://doi.org/10.1016/j.heliyon.2020.e0432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2610</Words>
  <Characters>16360</Characters>
  <Application>Microsoft Office Word</Application>
  <DocSecurity>0</DocSecurity>
  <Lines>136</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Nujha Begum</dc:creator>
  <cp:keywords/>
  <dc:description/>
  <cp:lastModifiedBy>Ohona Imran</cp:lastModifiedBy>
  <cp:revision>2</cp:revision>
  <dcterms:created xsi:type="dcterms:W3CDTF">2023-11-24T22:58:00Z</dcterms:created>
  <dcterms:modified xsi:type="dcterms:W3CDTF">2023-11-24T22:58:00Z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7240c03a-cb99-4aea-8392-ee75e80e58f1</vt:lpwstr>
  </property>
  <property fmtid="{D5CDD505-2E9C-101B-9397-08002B2CF9AE}" pid="3" name="ZOTERO_PREF_1">
    <vt:lpwstr>&lt;data data-version="3" zotero-version="6.0.30"&gt;&lt;session id="RkVn8kmu"/&gt;&lt;style id="http://www.zotero.org/styles/elsevier-harvard" hasBibliography="1" bibliographyStyleHasBeenSet="0"/&gt;&lt;prefs&gt;&lt;pref name="fieldType" value="Field"/&gt;&lt;/prefs&gt;&lt;/data&gt;</vt:lpwstr>
  </property>
</Properties>
</file>