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D53622" w14:textId="697031A5" w:rsidR="00F87436" w:rsidRDefault="00F87436" w:rsidP="00F87436">
      <w:r>
        <w:t xml:space="preserve">Alexandru Taran </w:t>
      </w:r>
    </w:p>
    <w:p w14:paraId="39005DA8" w14:textId="53CC1691" w:rsidR="00F87436" w:rsidRDefault="00F87436" w:rsidP="00F87436">
      <w:r>
        <w:t>2427100</w:t>
      </w:r>
    </w:p>
    <w:p w14:paraId="6F8A8E04" w14:textId="77777777" w:rsidR="00F87436" w:rsidRDefault="00F87436" w:rsidP="00F87436">
      <w:r>
        <w:t>1. Executive Summary</w:t>
      </w:r>
    </w:p>
    <w:p w14:paraId="31771D39" w14:textId="77777777" w:rsidR="00F87436" w:rsidRDefault="00F87436" w:rsidP="00F87436">
      <w:proofErr w:type="spellStart"/>
      <w:r>
        <w:t>GovChain</w:t>
      </w:r>
      <w:proofErr w:type="spellEnd"/>
      <w:r>
        <w:t xml:space="preserve"> Exchange is a proposed semi-government cryptocurrency exchange to be established in the United Kingdom. The main objective of the project is to create a highly secure, transparent and compliant platform that allows individuals, businesses and public bodies to buy, sell and hold digital assets in a regulated environment. Unlike fully private exchanges, </w:t>
      </w:r>
      <w:proofErr w:type="spellStart"/>
      <w:r>
        <w:t>GovChain</w:t>
      </w:r>
      <w:proofErr w:type="spellEnd"/>
      <w:r>
        <w:t xml:space="preserve"> will operate in partnership with a UK public authority or state-backed institution, which will increase user trust, support anti-money-laundering controls and make the platform more attractive for institutional adoption. The exchange will target three main segments: retail users seeking safe trading, UK and EU SMEs exploring blockchain-based payments, and government-related entities that require legally compliant digital transactions. The long-term vision is to position </w:t>
      </w:r>
      <w:proofErr w:type="spellStart"/>
      <w:r>
        <w:t>GovChain</w:t>
      </w:r>
      <w:proofErr w:type="spellEnd"/>
      <w:r>
        <w:t xml:space="preserve"> as a model of how digital finance can be integrated into a national financial ecosystem.</w:t>
      </w:r>
    </w:p>
    <w:p w14:paraId="41A8F198" w14:textId="77777777" w:rsidR="00F87436" w:rsidRDefault="00F87436" w:rsidP="00F87436">
      <w:r>
        <w:t>2. Business Description</w:t>
      </w:r>
    </w:p>
    <w:p w14:paraId="09491E8D" w14:textId="77777777" w:rsidR="00F87436" w:rsidRDefault="00F87436" w:rsidP="00F87436">
      <w:r>
        <w:t xml:space="preserve">The business will operate as a digital financial services provider </w:t>
      </w:r>
      <w:proofErr w:type="spellStart"/>
      <w:r>
        <w:t>specialising</w:t>
      </w:r>
      <w:proofErr w:type="spellEnd"/>
      <w:r>
        <w:t xml:space="preserve"> in cryptocurrency spot trading, custody and, in the future, </w:t>
      </w:r>
      <w:proofErr w:type="spellStart"/>
      <w:r>
        <w:t>tokenisation</w:t>
      </w:r>
      <w:proofErr w:type="spellEnd"/>
      <w:r>
        <w:t xml:space="preserve"> of public-sector assets. The semi-government structure means that the platform will be privately managed but subject to a framework agreement with a UK authority, such as a financial innovation hub or a public fintech partnership. This structure will differentiate </w:t>
      </w:r>
      <w:proofErr w:type="spellStart"/>
      <w:r>
        <w:t>GovChain</w:t>
      </w:r>
      <w:proofErr w:type="spellEnd"/>
      <w:r>
        <w:t xml:space="preserve"> from unregulated offshore exchanges and will enable it to meet UK consumer expectations regarding safety, legal compliance and data protection. Revenue will be generated through trading fees, listing fees for approved digital assets, premium analytics services for institutional clients and, later, white-label solutions for other public bodies.</w:t>
      </w:r>
    </w:p>
    <w:p w14:paraId="5525C1E4" w14:textId="77777777" w:rsidR="00F87436" w:rsidRDefault="00F87436" w:rsidP="00F87436">
      <w:r>
        <w:t>3. Market and Industry Context</w:t>
      </w:r>
    </w:p>
    <w:p w14:paraId="248C2A49" w14:textId="77777777" w:rsidR="00F87436" w:rsidRDefault="00F87436" w:rsidP="00F87436">
      <w:r>
        <w:t>The UK has positioned itself as a future global hub for digital assets, while at the same time tightening oversight of crypto-asset service providers. There is a visible gap in the market for a highly transparent, government-associated exchange that combines innovation with accountability. Many users still consider crypto exchanges risky because of hacks, insolvency cases and lack of identity checks. A semi-government exchange can respond to this problem by offering regulated onboarding, strong KYC/AML procedures and cooperation with law-enforcement authorities. This approach will particularly appeal to corporates and to migrants and international students in the UK who need a trustworthy platform with clear legal status.</w:t>
      </w:r>
    </w:p>
    <w:p w14:paraId="303EFFEC" w14:textId="77777777" w:rsidR="00F87436" w:rsidRDefault="00F87436" w:rsidP="00F87436">
      <w:r>
        <w:t>4. PESTLE Analysis</w:t>
      </w:r>
    </w:p>
    <w:p w14:paraId="7BECCC8F" w14:textId="77777777" w:rsidR="00F87436" w:rsidRDefault="00F87436" w:rsidP="00F87436">
      <w:r>
        <w:t>Political: The UK government is supportive of fintech innovation but expects transparency and compliance from crypto platforms. A public–private model increases legitimacy.</w:t>
      </w:r>
    </w:p>
    <w:p w14:paraId="46708342" w14:textId="77777777" w:rsidR="00F87436" w:rsidRDefault="00F87436" w:rsidP="00F87436">
      <w:r>
        <w:t>Economic: Demand for digital payments and cross-border remittances is rising, especially among SMEs and international users. However, transaction volumes may be affected by global crypto market volatility.</w:t>
      </w:r>
    </w:p>
    <w:p w14:paraId="656857D0" w14:textId="77777777" w:rsidR="00F87436" w:rsidRDefault="00F87436" w:rsidP="00F87436">
      <w:r>
        <w:t>Social: Users are more educated about scams and prefer platforms with government endorsement. Trust and customer service will therefore be key competitive advantages.</w:t>
      </w:r>
    </w:p>
    <w:p w14:paraId="6EFDA26C" w14:textId="77777777" w:rsidR="00F87436" w:rsidRDefault="00F87436" w:rsidP="00F87436">
      <w:r>
        <w:t>Technological: Rapid developments in blockchain, AI-based fraud detection and secure cloud hosting allow the exchange to operate efficiently and scale fast.</w:t>
      </w:r>
    </w:p>
    <w:p w14:paraId="134CFD9A" w14:textId="77777777" w:rsidR="00F87436" w:rsidRDefault="00F87436" w:rsidP="00F87436">
      <w:r>
        <w:t>Legal: The Financial Conduct Authority (FCA) requires crypto-asset businesses to register and comply with anti-money-laundering regulations. Non-compliance would lead to suspension.</w:t>
      </w:r>
    </w:p>
    <w:p w14:paraId="0BA9B3DF" w14:textId="77777777" w:rsidR="00F87436" w:rsidRDefault="00F87436" w:rsidP="00F87436">
      <w:r>
        <w:lastRenderedPageBreak/>
        <w:t>Environmental: UK policy is increasingly pushing businesses to adopt greener infrastructure and report on energy use.</w:t>
      </w:r>
    </w:p>
    <w:p w14:paraId="08662AF6" w14:textId="77777777" w:rsidR="00F87436" w:rsidRDefault="00F87436" w:rsidP="00F87436">
      <w:r>
        <w:t>5. Environmental and Legal Factors Impact</w:t>
      </w:r>
    </w:p>
    <w:p w14:paraId="528AD4A4" w14:textId="77777777" w:rsidR="00F87436" w:rsidRDefault="00F87436" w:rsidP="00F87436">
      <w:r>
        <w:t xml:space="preserve">Environmental and legal factors have a direct influence on the development of </w:t>
      </w:r>
      <w:proofErr w:type="spellStart"/>
      <w:r>
        <w:t>GovChain</w:t>
      </w:r>
      <w:proofErr w:type="spellEnd"/>
      <w:r>
        <w:t xml:space="preserve"> Exchange. The UK’s Net Zero 2050 policy encourages all businesses, including digital platforms, to operate responsibly and reduce their carbon footprint. As a semi-government exchange, </w:t>
      </w:r>
      <w:proofErr w:type="spellStart"/>
      <w:r>
        <w:t>GovChain</w:t>
      </w:r>
      <w:proofErr w:type="spellEnd"/>
      <w:r>
        <w:t xml:space="preserve"> will </w:t>
      </w:r>
      <w:proofErr w:type="spellStart"/>
      <w:r>
        <w:t>prioritise</w:t>
      </w:r>
      <w:proofErr w:type="spellEnd"/>
      <w:r>
        <w:t xml:space="preserve"> energy-efficient data </w:t>
      </w:r>
      <w:proofErr w:type="spellStart"/>
      <w:r>
        <w:t>centres</w:t>
      </w:r>
      <w:proofErr w:type="spellEnd"/>
      <w:r>
        <w:t xml:space="preserve"> and cloud infrastructure powered where possible by renewable energy.</w:t>
      </w:r>
    </w:p>
    <w:p w14:paraId="003F7DD9" w14:textId="61D0A5A4" w:rsidR="00F87436" w:rsidRDefault="00F87436" w:rsidP="00F87436"/>
    <w:p w14:paraId="1ECB9EB0" w14:textId="77777777" w:rsidR="00F87436" w:rsidRDefault="00F87436" w:rsidP="00F87436">
      <w:r>
        <w:t xml:space="preserve">This sustainable positioning will support the platform’s public image and make it easier to work with state </w:t>
      </w:r>
      <w:proofErr w:type="spellStart"/>
      <w:r>
        <w:t>organisations</w:t>
      </w:r>
      <w:proofErr w:type="spellEnd"/>
      <w:r>
        <w:t>.</w:t>
      </w:r>
    </w:p>
    <w:p w14:paraId="049389E7" w14:textId="77777777" w:rsidR="00F87436" w:rsidRDefault="00F87436" w:rsidP="00F87436">
      <w:r>
        <w:t xml:space="preserve">On the legal side, </w:t>
      </w:r>
      <w:proofErr w:type="spellStart"/>
      <w:r>
        <w:t>GovChain</w:t>
      </w:r>
      <w:proofErr w:type="spellEnd"/>
      <w:r>
        <w:t xml:space="preserve"> must comply with UK financial regulations under the Financial Conduct Authority (FCA), including strict Anti-Money Laundering (AML) and Know Your Customer (KYC) rules. These requirements protect users, prevent criminal use of the platform and make the business attractive for institutional clients. In addition, data protection laws such as the UK Data Protection Act (2018) and the General Data Protection Regulation (GDPR) will require secure and ethical handling of user information. By meeting these environmental and legal standards, </w:t>
      </w:r>
      <w:proofErr w:type="spellStart"/>
      <w:r>
        <w:t>GovChain</w:t>
      </w:r>
      <w:proofErr w:type="spellEnd"/>
      <w:r>
        <w:t xml:space="preserve"> can strengthen government trust and ensure long-term operational sustainability.</w:t>
      </w:r>
    </w:p>
    <w:p w14:paraId="2B1E1B1E" w14:textId="77777777" w:rsidR="00F87436" w:rsidRDefault="00F87436" w:rsidP="00F87436">
      <w:r>
        <w:t>6. Operations and Technology</w:t>
      </w:r>
    </w:p>
    <w:p w14:paraId="3D030A37" w14:textId="77777777" w:rsidR="00F87436" w:rsidRDefault="00F87436" w:rsidP="00F87436">
      <w:r>
        <w:t xml:space="preserve">The exchange will operate primarily online, using a modular technology stack. Core components will include: a high-speed matching engine, a secure wallet and custody system, an identity verification module integrated with UK databases, and an admin dashboard for regulators or public partners to view compliance reports. To achieve high availability and resilience, the business will outsource hosting to Tier III or Tier IV UK/EU data </w:t>
      </w:r>
      <w:proofErr w:type="spellStart"/>
      <w:r>
        <w:t>centres</w:t>
      </w:r>
      <w:proofErr w:type="spellEnd"/>
      <w:r>
        <w:t xml:space="preserve"> that support green energy standards. Operationally, the company will start with a lean team composed of a compliance officer, a cybersecurity specialist, a business development manager and customer support staff. As the user base grows, additional functions such as legal, marketing and product development will be added.</w:t>
      </w:r>
    </w:p>
    <w:p w14:paraId="38ABC24A" w14:textId="77777777" w:rsidR="00F87436" w:rsidRDefault="00F87436" w:rsidP="00F87436">
      <w:r>
        <w:t>7. Marketing Strategy</w:t>
      </w:r>
    </w:p>
    <w:p w14:paraId="30495059" w14:textId="77777777" w:rsidR="00F87436" w:rsidRDefault="00F87436" w:rsidP="00F87436">
      <w:r>
        <w:t xml:space="preserve">Marketing will focus on trust, security and government alignment. Unlike typical crypto projects that rely on hype, </w:t>
      </w:r>
      <w:proofErr w:type="spellStart"/>
      <w:r>
        <w:t>GovChain</w:t>
      </w:r>
      <w:proofErr w:type="spellEnd"/>
      <w:r>
        <w:t xml:space="preserve"> will use professional channels: partnerships with local councils, UK-based universities, migrant associations and fintech incubators. Digital marketing will include SEO, educational content about safe crypto usage and public webinars in English and other community languages (for example, Romanian or Russian for Eastern European users in London). A referral </w:t>
      </w:r>
      <w:proofErr w:type="spellStart"/>
      <w:r>
        <w:t>programme</w:t>
      </w:r>
      <w:proofErr w:type="spellEnd"/>
      <w:r>
        <w:t xml:space="preserve"> will reward verified users who bring in new compliant customers.</w:t>
      </w:r>
    </w:p>
    <w:p w14:paraId="079C3A68" w14:textId="77777777" w:rsidR="00F87436" w:rsidRDefault="00F87436" w:rsidP="00F87436">
      <w:r>
        <w:t>8. Financial Overview</w:t>
      </w:r>
    </w:p>
    <w:p w14:paraId="0F79539E" w14:textId="77777777" w:rsidR="00F87436" w:rsidRDefault="00F87436" w:rsidP="00F87436">
      <w:r>
        <w:t xml:space="preserve">Initial capital requirements will include platform development, regulatory registration, cybersecurity tools and liquidity provision. Revenue will primarily come from trading fees (maker/taker), with additional income from listing high-quality tokens that meet regulatory standards, institutional API access and compliance reporting services. Because the project is semi-government, it may also be eligible for innovation grants or public-sector </w:t>
      </w:r>
      <w:proofErr w:type="spellStart"/>
      <w:r>
        <w:t>digitalisation</w:t>
      </w:r>
      <w:proofErr w:type="spellEnd"/>
      <w:r>
        <w:t xml:space="preserve"> funds. The break-even point is expected once a stable core of active monthly users is achieved and operating costs for hosting and compliance are </w:t>
      </w:r>
      <w:proofErr w:type="spellStart"/>
      <w:r>
        <w:t>optimised</w:t>
      </w:r>
      <w:proofErr w:type="spellEnd"/>
      <w:r>
        <w:t>.</w:t>
      </w:r>
    </w:p>
    <w:p w14:paraId="3C8991D7" w14:textId="77777777" w:rsidR="00F87436" w:rsidRDefault="00F87436" w:rsidP="00F87436">
      <w:r>
        <w:t>9. Conclusion</w:t>
      </w:r>
    </w:p>
    <w:p w14:paraId="04ACBCDA" w14:textId="77777777" w:rsidR="00F87436" w:rsidRDefault="00F87436" w:rsidP="00F87436">
      <w:proofErr w:type="spellStart"/>
      <w:r>
        <w:lastRenderedPageBreak/>
        <w:t>GovChain</w:t>
      </w:r>
      <w:proofErr w:type="spellEnd"/>
      <w:r>
        <w:t xml:space="preserve"> Exchange responds to a real market need in the UK: combining the innovation of cryptocurrency trading with the reliability and accountability expected from public-sector-connected services. By aligning with environmental policies and by strictly following UK legal requirements, the exchange can build a strong reputation, attract institutional and retail users and position itself for future expansion into </w:t>
      </w:r>
      <w:proofErr w:type="spellStart"/>
      <w:r>
        <w:t>tokenisation</w:t>
      </w:r>
      <w:proofErr w:type="spellEnd"/>
      <w:r>
        <w:t xml:space="preserve"> and cross-border public services.</w:t>
      </w:r>
    </w:p>
    <w:p w14:paraId="71D59F34" w14:textId="77777777" w:rsidR="00F87436" w:rsidRDefault="00F87436" w:rsidP="00F87436">
      <w:r>
        <w:t>References (not counted in word total)</w:t>
      </w:r>
    </w:p>
    <w:p w14:paraId="2B498DF2" w14:textId="77777777" w:rsidR="00F87436" w:rsidRDefault="00F87436" w:rsidP="00F87436">
      <w:r>
        <w:t>Financial Conduct Authority (2025) ‘</w:t>
      </w:r>
      <w:proofErr w:type="spellStart"/>
      <w:r>
        <w:t>Cryptoasset</w:t>
      </w:r>
      <w:proofErr w:type="spellEnd"/>
      <w:r>
        <w:t xml:space="preserve"> financial promotions regime’.</w:t>
      </w:r>
    </w:p>
    <w:p w14:paraId="3FD740B9" w14:textId="77777777" w:rsidR="00F87436" w:rsidRDefault="00F87436" w:rsidP="00F87436">
      <w:r>
        <w:t>HM Government (2024) ‘Net Zero Strategy: Build Back Greener’.</w:t>
      </w:r>
    </w:p>
    <w:p w14:paraId="6813DAB2" w14:textId="3FDAE1CF" w:rsidR="004C50F2" w:rsidRDefault="00F87436" w:rsidP="00F87436">
      <w:r>
        <w:t>UK Data Protection Act 2018 and UK GDPR guidelines.</w:t>
      </w:r>
    </w:p>
    <w:sectPr w:rsidR="004C50F2" w:rsidSect="00957C02">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436"/>
    <w:rsid w:val="004C50F2"/>
    <w:rsid w:val="00532B89"/>
    <w:rsid w:val="00957C02"/>
    <w:rsid w:val="00A553B1"/>
    <w:rsid w:val="00E87199"/>
    <w:rsid w:val="00F87436"/>
  </w:rsids>
  <m:mathPr>
    <m:mathFont m:val="Cambria Math"/>
    <m:brkBin m:val="before"/>
    <m:brkBinSub m:val="--"/>
    <m:smallFrac m:val="0"/>
    <m:dispDef/>
    <m:lMargin m:val="0"/>
    <m:rMargin m:val="0"/>
    <m:defJc m:val="centerGroup"/>
    <m:wrapIndent m:val="1440"/>
    <m:intLim m:val="subSup"/>
    <m:naryLim m:val="undOvr"/>
  </m:mathPr>
  <w:themeFontLang w:val="ru-MD"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9D0EE"/>
  <w15:chartTrackingRefBased/>
  <w15:docId w15:val="{B6BA2883-F867-4754-9D2C-2D7269A15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74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74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74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74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74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74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74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74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74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4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74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74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74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74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74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74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74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7436"/>
    <w:rPr>
      <w:rFonts w:eastAsiaTheme="majorEastAsia" w:cstheme="majorBidi"/>
      <w:color w:val="272727" w:themeColor="text1" w:themeTint="D8"/>
    </w:rPr>
  </w:style>
  <w:style w:type="paragraph" w:styleId="Title">
    <w:name w:val="Title"/>
    <w:basedOn w:val="Normal"/>
    <w:next w:val="Normal"/>
    <w:link w:val="TitleChar"/>
    <w:uiPriority w:val="10"/>
    <w:qFormat/>
    <w:rsid w:val="00F874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74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74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74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7436"/>
    <w:pPr>
      <w:spacing w:before="160"/>
      <w:jc w:val="center"/>
    </w:pPr>
    <w:rPr>
      <w:i/>
      <w:iCs/>
      <w:color w:val="404040" w:themeColor="text1" w:themeTint="BF"/>
    </w:rPr>
  </w:style>
  <w:style w:type="character" w:customStyle="1" w:styleId="QuoteChar">
    <w:name w:val="Quote Char"/>
    <w:basedOn w:val="DefaultParagraphFont"/>
    <w:link w:val="Quote"/>
    <w:uiPriority w:val="29"/>
    <w:rsid w:val="00F87436"/>
    <w:rPr>
      <w:i/>
      <w:iCs/>
      <w:color w:val="404040" w:themeColor="text1" w:themeTint="BF"/>
    </w:rPr>
  </w:style>
  <w:style w:type="paragraph" w:styleId="ListParagraph">
    <w:name w:val="List Paragraph"/>
    <w:basedOn w:val="Normal"/>
    <w:uiPriority w:val="34"/>
    <w:qFormat/>
    <w:rsid w:val="00F87436"/>
    <w:pPr>
      <w:ind w:left="720"/>
      <w:contextualSpacing/>
    </w:pPr>
  </w:style>
  <w:style w:type="character" w:styleId="IntenseEmphasis">
    <w:name w:val="Intense Emphasis"/>
    <w:basedOn w:val="DefaultParagraphFont"/>
    <w:uiPriority w:val="21"/>
    <w:qFormat/>
    <w:rsid w:val="00F87436"/>
    <w:rPr>
      <w:i/>
      <w:iCs/>
      <w:color w:val="0F4761" w:themeColor="accent1" w:themeShade="BF"/>
    </w:rPr>
  </w:style>
  <w:style w:type="paragraph" w:styleId="IntenseQuote">
    <w:name w:val="Intense Quote"/>
    <w:basedOn w:val="Normal"/>
    <w:next w:val="Normal"/>
    <w:link w:val="IntenseQuoteChar"/>
    <w:uiPriority w:val="30"/>
    <w:qFormat/>
    <w:rsid w:val="00F874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7436"/>
    <w:rPr>
      <w:i/>
      <w:iCs/>
      <w:color w:val="0F4761" w:themeColor="accent1" w:themeShade="BF"/>
    </w:rPr>
  </w:style>
  <w:style w:type="character" w:styleId="IntenseReference">
    <w:name w:val="Intense Reference"/>
    <w:basedOn w:val="DefaultParagraphFont"/>
    <w:uiPriority w:val="32"/>
    <w:qFormat/>
    <w:rsid w:val="00F8743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1121</Words>
  <Characters>6396</Characters>
  <Application>Microsoft Office Word</Application>
  <DocSecurity>0</DocSecurity>
  <Lines>53</Lines>
  <Paragraphs>15</Paragraphs>
  <ScaleCrop>false</ScaleCrop>
  <Company/>
  <LinksUpToDate>false</LinksUpToDate>
  <CharactersWithSpaces>7502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Taran (2427100)</dc:creator>
  <cp:keywords/>
  <dc:description/>
  <cp:lastModifiedBy>Alexandru Taran (2427100)</cp:lastModifiedBy>
  <cp:revision>2</cp:revision>
  <dcterms:created xsi:type="dcterms:W3CDTF">2025-11-24T11:25:00Z</dcterms:created>
  <dcterms:modified xsi:type="dcterms:W3CDTF">2025-11-24T11:27:00Z</dcterms:modified>
</cp:coreProperties>
</file>