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3582A832" w:rsidR="00EB3D3C" w:rsidRPr="00CB4FF0" w:rsidRDefault="6CBD119C" w:rsidP="004F325B">
      <w:pPr>
        <w:spacing w:line="360" w:lineRule="auto"/>
        <w:rPr>
          <w:rFonts w:ascii="Arial" w:hAnsi="Arial" w:cs="Arial"/>
          <w:sz w:val="22"/>
          <w:szCs w:val="22"/>
        </w:rPr>
      </w:pPr>
      <w:r w:rsidRPr="00CB4FF0">
        <w:rPr>
          <w:rFonts w:ascii="Arial" w:hAnsi="Arial" w:cs="Arial"/>
          <w:sz w:val="22"/>
          <w:szCs w:val="22"/>
        </w:rPr>
        <w:t>STUDENT NAM</w:t>
      </w:r>
      <w:r w:rsidR="00CB4FF0" w:rsidRPr="00CB4FF0">
        <w:rPr>
          <w:rFonts w:ascii="Arial" w:hAnsi="Arial" w:cs="Arial"/>
          <w:sz w:val="22"/>
          <w:szCs w:val="22"/>
        </w:rPr>
        <w:t>E:     MADALITSO MAJAWA</w:t>
      </w:r>
    </w:p>
    <w:p w14:paraId="6A23E41F" w14:textId="0FF89278" w:rsidR="00CB4FF0" w:rsidRPr="00CB4FF0" w:rsidRDefault="00CB4FF0" w:rsidP="004F325B">
      <w:pPr>
        <w:spacing w:line="360" w:lineRule="auto"/>
        <w:rPr>
          <w:rFonts w:ascii="Arial" w:hAnsi="Arial" w:cs="Arial"/>
          <w:sz w:val="22"/>
          <w:szCs w:val="22"/>
        </w:rPr>
      </w:pPr>
      <w:r w:rsidRPr="00CB4FF0">
        <w:rPr>
          <w:rFonts w:ascii="Arial" w:hAnsi="Arial" w:cs="Arial"/>
          <w:sz w:val="22"/>
          <w:szCs w:val="22"/>
        </w:rPr>
        <w:t xml:space="preserve">STUDENT NUMBER: 2432520 </w:t>
      </w:r>
    </w:p>
    <w:p w14:paraId="0AFDA9DF" w14:textId="406A7C25" w:rsidR="00CB4FF0" w:rsidRPr="00CB4FF0" w:rsidRDefault="6CBD119C" w:rsidP="004F325B">
      <w:pPr>
        <w:spacing w:line="360" w:lineRule="auto"/>
        <w:rPr>
          <w:rFonts w:ascii="Arial" w:hAnsi="Arial" w:cs="Arial"/>
          <w:sz w:val="22"/>
          <w:szCs w:val="22"/>
        </w:rPr>
      </w:pPr>
      <w:r w:rsidRPr="00CB4FF0">
        <w:rPr>
          <w:rFonts w:ascii="Arial" w:hAnsi="Arial" w:cs="Arial"/>
          <w:sz w:val="22"/>
          <w:szCs w:val="22"/>
        </w:rPr>
        <w:t>REPORT TITLE</w:t>
      </w:r>
      <w:r w:rsidR="00CB4FF0" w:rsidRPr="00CB4FF0">
        <w:rPr>
          <w:rFonts w:ascii="Arial" w:hAnsi="Arial" w:cs="Arial"/>
          <w:sz w:val="22"/>
          <w:szCs w:val="22"/>
        </w:rPr>
        <w:t>:         ADULT MENTAL SERVICES</w:t>
      </w:r>
    </w:p>
    <w:p w14:paraId="0F78D3B0" w14:textId="2131EE3B" w:rsidR="6CBD119C" w:rsidRPr="00CB4FF0" w:rsidRDefault="6CBD119C" w:rsidP="004F325B">
      <w:pPr>
        <w:spacing w:line="360" w:lineRule="auto"/>
        <w:rPr>
          <w:rFonts w:ascii="Arial" w:hAnsi="Arial" w:cs="Arial"/>
          <w:sz w:val="22"/>
          <w:szCs w:val="22"/>
        </w:rPr>
      </w:pPr>
      <w:r w:rsidRPr="00CB4FF0">
        <w:rPr>
          <w:rFonts w:ascii="Arial" w:hAnsi="Arial" w:cs="Arial"/>
          <w:sz w:val="22"/>
          <w:szCs w:val="22"/>
        </w:rPr>
        <w:t>MODULE CODE</w:t>
      </w:r>
      <w:r w:rsidR="00CB4FF0" w:rsidRPr="00CB4FF0">
        <w:rPr>
          <w:rFonts w:ascii="Arial" w:hAnsi="Arial" w:cs="Arial"/>
          <w:sz w:val="22"/>
          <w:szCs w:val="22"/>
        </w:rPr>
        <w:t>:        BMHP5016</w:t>
      </w:r>
    </w:p>
    <w:p w14:paraId="103D2C4F" w14:textId="6A42BA62" w:rsidR="6CBD119C" w:rsidRPr="00CB4FF0" w:rsidRDefault="6CBD119C" w:rsidP="004F325B">
      <w:pPr>
        <w:spacing w:line="360" w:lineRule="auto"/>
        <w:rPr>
          <w:rFonts w:ascii="Arial" w:hAnsi="Arial" w:cs="Arial"/>
          <w:sz w:val="22"/>
          <w:szCs w:val="22"/>
        </w:rPr>
      </w:pPr>
      <w:r w:rsidRPr="00CB4FF0">
        <w:rPr>
          <w:rFonts w:ascii="Arial" w:hAnsi="Arial" w:cs="Arial"/>
          <w:sz w:val="22"/>
          <w:szCs w:val="22"/>
        </w:rPr>
        <w:t>MODULE TITLE</w:t>
      </w:r>
      <w:r w:rsidR="00CB4FF0" w:rsidRPr="00CB4FF0">
        <w:rPr>
          <w:rFonts w:ascii="Arial" w:hAnsi="Arial" w:cs="Arial"/>
          <w:sz w:val="22"/>
          <w:szCs w:val="22"/>
        </w:rPr>
        <w:t>:         PRINCIPLE OF HEALTH AND SOCIAL CARE PRACTICE</w:t>
      </w:r>
    </w:p>
    <w:p w14:paraId="0E8CC949" w14:textId="34015560" w:rsidR="6CCE08EC" w:rsidRPr="00CB4FF0" w:rsidRDefault="6CCE08EC" w:rsidP="004F325B">
      <w:pPr>
        <w:spacing w:line="360" w:lineRule="auto"/>
        <w:rPr>
          <w:rFonts w:ascii="Arial" w:hAnsi="Arial" w:cs="Arial"/>
          <w:sz w:val="22"/>
          <w:szCs w:val="22"/>
        </w:rPr>
      </w:pPr>
    </w:p>
    <w:p w14:paraId="671BD5DE" w14:textId="063A8B48" w:rsidR="6CCE08EC" w:rsidRPr="00CB4FF0" w:rsidRDefault="6CCE08EC" w:rsidP="004F325B">
      <w:pPr>
        <w:spacing w:line="360" w:lineRule="auto"/>
        <w:rPr>
          <w:rFonts w:ascii="Arial" w:hAnsi="Arial" w:cs="Arial"/>
          <w:sz w:val="22"/>
          <w:szCs w:val="22"/>
        </w:rPr>
      </w:pPr>
    </w:p>
    <w:p w14:paraId="4AB158A0" w14:textId="4586FEF2" w:rsidR="6CCE08EC" w:rsidRPr="00CB4FF0" w:rsidRDefault="6CCE08EC" w:rsidP="004F325B">
      <w:pPr>
        <w:spacing w:line="360" w:lineRule="auto"/>
        <w:rPr>
          <w:rFonts w:ascii="Arial" w:hAnsi="Arial" w:cs="Arial"/>
          <w:sz w:val="22"/>
          <w:szCs w:val="22"/>
        </w:rPr>
      </w:pPr>
    </w:p>
    <w:p w14:paraId="28EB2A39" w14:textId="71F2BA7C" w:rsidR="6CCE08EC" w:rsidRPr="00CB4FF0" w:rsidRDefault="6CCE08EC" w:rsidP="004F325B">
      <w:pPr>
        <w:spacing w:line="360" w:lineRule="auto"/>
        <w:rPr>
          <w:rFonts w:ascii="Arial" w:hAnsi="Arial" w:cs="Arial"/>
          <w:sz w:val="22"/>
          <w:szCs w:val="22"/>
        </w:rPr>
      </w:pPr>
    </w:p>
    <w:p w14:paraId="09AD88B6" w14:textId="6A40BE56" w:rsidR="6CCE08EC" w:rsidRPr="00CB4FF0" w:rsidRDefault="6CCE08EC" w:rsidP="004F325B">
      <w:pPr>
        <w:spacing w:line="360" w:lineRule="auto"/>
        <w:rPr>
          <w:rFonts w:ascii="Arial" w:hAnsi="Arial" w:cs="Arial"/>
          <w:sz w:val="22"/>
          <w:szCs w:val="22"/>
        </w:rPr>
      </w:pPr>
    </w:p>
    <w:p w14:paraId="62D3744C" w14:textId="45C7BEE7" w:rsidR="6CCE08EC" w:rsidRPr="00CB4FF0" w:rsidRDefault="6CCE08EC" w:rsidP="004F325B">
      <w:pPr>
        <w:spacing w:line="360" w:lineRule="auto"/>
        <w:rPr>
          <w:rFonts w:ascii="Arial" w:hAnsi="Arial" w:cs="Arial"/>
          <w:sz w:val="22"/>
          <w:szCs w:val="22"/>
        </w:rPr>
      </w:pPr>
    </w:p>
    <w:p w14:paraId="663E1E23" w14:textId="7010BA17" w:rsidR="6CCE08EC" w:rsidRPr="00CB4FF0" w:rsidRDefault="6CCE08EC" w:rsidP="004F325B">
      <w:pPr>
        <w:spacing w:line="360" w:lineRule="auto"/>
        <w:rPr>
          <w:rFonts w:ascii="Arial" w:hAnsi="Arial" w:cs="Arial"/>
          <w:sz w:val="22"/>
          <w:szCs w:val="22"/>
        </w:rPr>
      </w:pPr>
    </w:p>
    <w:p w14:paraId="0F9151B7" w14:textId="77588668" w:rsidR="6CCE08EC" w:rsidRPr="00CB4FF0" w:rsidRDefault="6CCE08EC" w:rsidP="004F325B">
      <w:pPr>
        <w:spacing w:line="360" w:lineRule="auto"/>
        <w:rPr>
          <w:rFonts w:ascii="Arial" w:hAnsi="Arial" w:cs="Arial"/>
          <w:sz w:val="22"/>
          <w:szCs w:val="22"/>
        </w:rPr>
      </w:pPr>
    </w:p>
    <w:p w14:paraId="1E3BA6AA" w14:textId="705E1F06" w:rsidR="6CCE08EC" w:rsidRPr="00CB4FF0" w:rsidRDefault="6CCE08EC" w:rsidP="004F325B">
      <w:pPr>
        <w:spacing w:line="360" w:lineRule="auto"/>
        <w:rPr>
          <w:rFonts w:ascii="Arial" w:hAnsi="Arial" w:cs="Arial"/>
          <w:sz w:val="22"/>
          <w:szCs w:val="22"/>
        </w:rPr>
      </w:pPr>
    </w:p>
    <w:p w14:paraId="11D3B8D3" w14:textId="4210384A" w:rsidR="6CCE08EC" w:rsidRPr="00CB4FF0" w:rsidRDefault="6CCE08EC" w:rsidP="004F325B">
      <w:pPr>
        <w:spacing w:line="360" w:lineRule="auto"/>
        <w:rPr>
          <w:rFonts w:ascii="Arial" w:hAnsi="Arial" w:cs="Arial"/>
          <w:sz w:val="22"/>
          <w:szCs w:val="22"/>
        </w:rPr>
      </w:pPr>
    </w:p>
    <w:p w14:paraId="2DB657FD" w14:textId="33AF1A5D" w:rsidR="6CCE08EC" w:rsidRPr="00CB4FF0" w:rsidRDefault="6CCE08EC" w:rsidP="004F325B">
      <w:pPr>
        <w:spacing w:line="360" w:lineRule="auto"/>
        <w:rPr>
          <w:rFonts w:ascii="Arial" w:hAnsi="Arial" w:cs="Arial"/>
          <w:sz w:val="22"/>
          <w:szCs w:val="22"/>
        </w:rPr>
      </w:pPr>
    </w:p>
    <w:p w14:paraId="723F7CE3" w14:textId="1839962D" w:rsidR="6CCE08EC" w:rsidRPr="00CB4FF0" w:rsidRDefault="6CCE08EC" w:rsidP="004F325B">
      <w:pPr>
        <w:spacing w:line="360" w:lineRule="auto"/>
        <w:rPr>
          <w:rFonts w:ascii="Arial" w:hAnsi="Arial" w:cs="Arial"/>
          <w:sz w:val="22"/>
          <w:szCs w:val="22"/>
        </w:rPr>
      </w:pPr>
    </w:p>
    <w:p w14:paraId="2C3AAD26" w14:textId="17D812FA" w:rsidR="6CCE08EC" w:rsidRPr="00CB4FF0" w:rsidRDefault="6CCE08EC" w:rsidP="004F325B">
      <w:pPr>
        <w:spacing w:line="360" w:lineRule="auto"/>
        <w:rPr>
          <w:rFonts w:ascii="Arial" w:hAnsi="Arial" w:cs="Arial"/>
          <w:sz w:val="22"/>
          <w:szCs w:val="22"/>
        </w:rPr>
      </w:pPr>
    </w:p>
    <w:p w14:paraId="0CB0C315" w14:textId="45958E41" w:rsidR="6CCE08EC" w:rsidRPr="00CB4FF0" w:rsidRDefault="6CCE08EC" w:rsidP="004F325B">
      <w:pPr>
        <w:spacing w:line="360" w:lineRule="auto"/>
        <w:rPr>
          <w:rFonts w:ascii="Arial" w:hAnsi="Arial" w:cs="Arial"/>
          <w:sz w:val="22"/>
          <w:szCs w:val="22"/>
        </w:rPr>
      </w:pPr>
    </w:p>
    <w:p w14:paraId="471BBD5B" w14:textId="1176B6CC" w:rsidR="6CCE08EC" w:rsidRPr="00CB4FF0" w:rsidRDefault="6CCE08EC" w:rsidP="004F325B">
      <w:pPr>
        <w:spacing w:line="360" w:lineRule="auto"/>
        <w:rPr>
          <w:rFonts w:ascii="Arial" w:hAnsi="Arial" w:cs="Arial"/>
          <w:sz w:val="22"/>
          <w:szCs w:val="22"/>
        </w:rPr>
      </w:pPr>
    </w:p>
    <w:p w14:paraId="203AEC08" w14:textId="5086430E" w:rsidR="6CCE08EC" w:rsidRPr="00CB4FF0" w:rsidRDefault="6CCE08EC" w:rsidP="004F325B">
      <w:pPr>
        <w:spacing w:line="360" w:lineRule="auto"/>
        <w:rPr>
          <w:rFonts w:ascii="Arial" w:hAnsi="Arial" w:cs="Arial"/>
          <w:sz w:val="22"/>
          <w:szCs w:val="22"/>
        </w:rPr>
      </w:pPr>
    </w:p>
    <w:p w14:paraId="6CEC129D" w14:textId="60E4377D" w:rsidR="6CCE08EC" w:rsidRPr="00CB4FF0" w:rsidRDefault="6CCE08EC" w:rsidP="004F325B">
      <w:pPr>
        <w:spacing w:line="360" w:lineRule="auto"/>
        <w:rPr>
          <w:rFonts w:ascii="Arial" w:hAnsi="Arial" w:cs="Arial"/>
          <w:sz w:val="22"/>
          <w:szCs w:val="22"/>
        </w:rPr>
      </w:pPr>
    </w:p>
    <w:p w14:paraId="60F73046" w14:textId="567DF368" w:rsidR="6CCE08EC" w:rsidRPr="00CB4FF0" w:rsidRDefault="6CCE08EC" w:rsidP="004F325B">
      <w:pPr>
        <w:spacing w:line="360" w:lineRule="auto"/>
        <w:rPr>
          <w:rFonts w:ascii="Arial" w:hAnsi="Arial" w:cs="Arial"/>
          <w:sz w:val="22"/>
          <w:szCs w:val="22"/>
        </w:rPr>
      </w:pPr>
    </w:p>
    <w:p w14:paraId="692C9CB6" w14:textId="47A651CE" w:rsidR="6CCE08EC" w:rsidRPr="00CB4FF0" w:rsidRDefault="6CCE08EC" w:rsidP="004F325B">
      <w:pPr>
        <w:spacing w:line="360" w:lineRule="auto"/>
        <w:rPr>
          <w:rFonts w:ascii="Arial" w:hAnsi="Arial" w:cs="Arial"/>
          <w:sz w:val="22"/>
          <w:szCs w:val="22"/>
        </w:rPr>
      </w:pPr>
    </w:p>
    <w:p w14:paraId="67ECFB50" w14:textId="7954178D" w:rsidR="6CCE08EC" w:rsidRPr="00CB4FF0" w:rsidRDefault="6CCE08EC" w:rsidP="004F325B">
      <w:pPr>
        <w:spacing w:line="360" w:lineRule="auto"/>
        <w:rPr>
          <w:rFonts w:ascii="Arial" w:hAnsi="Arial" w:cs="Arial"/>
          <w:sz w:val="22"/>
          <w:szCs w:val="22"/>
        </w:rPr>
      </w:pPr>
    </w:p>
    <w:p w14:paraId="086FFCE4" w14:textId="0934C560" w:rsidR="6CCE08EC" w:rsidRPr="00CB4FF0" w:rsidRDefault="6CCE08EC" w:rsidP="004F325B">
      <w:pPr>
        <w:spacing w:line="360" w:lineRule="auto"/>
        <w:rPr>
          <w:rFonts w:ascii="Arial" w:hAnsi="Arial" w:cs="Arial"/>
          <w:sz w:val="22"/>
          <w:szCs w:val="22"/>
        </w:rPr>
      </w:pPr>
    </w:p>
    <w:p w14:paraId="02625310" w14:textId="4C8D44E5" w:rsidR="6CCE08EC" w:rsidRPr="00CB4FF0" w:rsidRDefault="6CCE08EC" w:rsidP="004F325B">
      <w:pPr>
        <w:spacing w:line="360" w:lineRule="auto"/>
        <w:rPr>
          <w:rFonts w:ascii="Arial" w:hAnsi="Arial" w:cs="Arial"/>
          <w:sz w:val="22"/>
          <w:szCs w:val="22"/>
        </w:rPr>
      </w:pPr>
    </w:p>
    <w:p w14:paraId="5BC51ED6" w14:textId="13B71495" w:rsidR="6CCE08EC" w:rsidRPr="00CB4FF0" w:rsidRDefault="6CCE08EC" w:rsidP="004F325B">
      <w:pPr>
        <w:spacing w:line="360" w:lineRule="auto"/>
        <w:rPr>
          <w:rFonts w:ascii="Arial" w:hAnsi="Arial" w:cs="Arial"/>
          <w:sz w:val="22"/>
          <w:szCs w:val="22"/>
        </w:rPr>
      </w:pPr>
    </w:p>
    <w:p w14:paraId="13320BF6" w14:textId="4E1BB79F" w:rsidR="6CCE08EC" w:rsidRPr="00CB4FF0" w:rsidRDefault="6CCE08EC" w:rsidP="004F325B">
      <w:pPr>
        <w:spacing w:line="360" w:lineRule="auto"/>
        <w:rPr>
          <w:rFonts w:ascii="Arial" w:hAnsi="Arial" w:cs="Arial"/>
          <w:sz w:val="22"/>
          <w:szCs w:val="22"/>
        </w:rPr>
      </w:pPr>
    </w:p>
    <w:p w14:paraId="0B90210C" w14:textId="5F49A226" w:rsidR="6CCE08EC" w:rsidRPr="00CB4FF0" w:rsidRDefault="7B4EF8F0" w:rsidP="004F325B">
      <w:pPr>
        <w:pStyle w:val="Heading1"/>
        <w:spacing w:before="322" w:after="322" w:line="360" w:lineRule="auto"/>
        <w:rPr>
          <w:rFonts w:ascii="Arial" w:hAnsi="Arial" w:cs="Arial"/>
          <w:sz w:val="22"/>
          <w:szCs w:val="22"/>
        </w:rPr>
      </w:pPr>
      <w:r w:rsidRPr="00CB4FF0">
        <w:rPr>
          <w:rFonts w:ascii="Arial" w:eastAsia="Arial Nova" w:hAnsi="Arial" w:cs="Arial"/>
          <w:b/>
          <w:bCs/>
          <w:sz w:val="22"/>
          <w:szCs w:val="22"/>
        </w:rPr>
        <w:t>Person-Centred Care and Partnership Working in UK Adult Community Mental Health Services: A Case Study of Sandwell Adult Community Mental Health Team (CMHT)</w:t>
      </w:r>
    </w:p>
    <w:p w14:paraId="30872805" w14:textId="21F6AE18" w:rsidR="6CCE08EC" w:rsidRPr="00CB4FF0" w:rsidRDefault="7B4EF8F0" w:rsidP="004F325B">
      <w:pPr>
        <w:pStyle w:val="Heading3"/>
        <w:spacing w:before="281" w:after="281" w:line="360" w:lineRule="auto"/>
        <w:rPr>
          <w:rFonts w:ascii="Arial" w:hAnsi="Arial" w:cs="Arial"/>
          <w:sz w:val="22"/>
          <w:szCs w:val="22"/>
        </w:rPr>
      </w:pPr>
      <w:r w:rsidRPr="00CB4FF0">
        <w:rPr>
          <w:rFonts w:ascii="Arial" w:eastAsia="Arial Nova" w:hAnsi="Arial" w:cs="Arial"/>
          <w:b/>
          <w:bCs/>
          <w:sz w:val="22"/>
          <w:szCs w:val="22"/>
        </w:rPr>
        <w:t>Abstract</w:t>
      </w:r>
    </w:p>
    <w:p w14:paraId="493D2B51" w14:textId="7D64D412" w:rsidR="6CCE08EC" w:rsidRPr="00CB4FF0" w:rsidRDefault="7B4EF8F0" w:rsidP="004F325B">
      <w:pPr>
        <w:spacing w:before="240" w:after="240" w:line="360" w:lineRule="auto"/>
        <w:rPr>
          <w:rFonts w:ascii="Arial" w:hAnsi="Arial" w:cs="Arial"/>
          <w:sz w:val="22"/>
          <w:szCs w:val="22"/>
        </w:rPr>
      </w:pPr>
      <w:r w:rsidRPr="00CB4FF0">
        <w:rPr>
          <w:rFonts w:ascii="Arial" w:eastAsia="Arial Nova" w:hAnsi="Arial" w:cs="Arial"/>
          <w:sz w:val="22"/>
          <w:szCs w:val="22"/>
        </w:rPr>
        <w:t xml:space="preserve">Person-centred care (PCC) and partnership working (PW) are fundamental principles underpinning contemporary mental health services in England. They promote collaborative relationships between service users, healthcare professionals, carers and partner organisations to improve health outcomes and recovery. This report critically examines the application of PCC and PW within </w:t>
      </w:r>
      <w:r w:rsidRPr="00CB4FF0">
        <w:rPr>
          <w:rFonts w:ascii="Arial" w:eastAsia="Arial Nova" w:hAnsi="Arial" w:cs="Arial"/>
          <w:b/>
          <w:bCs/>
          <w:sz w:val="22"/>
          <w:szCs w:val="22"/>
        </w:rPr>
        <w:t>Sandwell Adult Community Mental Health Team (CMHT)</w:t>
      </w:r>
      <w:r w:rsidRPr="00CB4FF0">
        <w:rPr>
          <w:rFonts w:ascii="Arial" w:eastAsia="Arial Nova" w:hAnsi="Arial" w:cs="Arial"/>
          <w:sz w:val="22"/>
          <w:szCs w:val="22"/>
        </w:rPr>
        <w:t>, part of the Black Country Integrated Care System (ICS). It evaluates the theoretical and ethical foundations of person-centred practice, analyses the benefits and challenges associated with its implementation, and explores the importance of multidisciplinary partnership working. The report further examines the influence of UK legislation and national policy on mental health practice before presenting evidence-based recommendations to strengthen service delivery within Sandwell CMHT. It concludes that although UK policy provides a strong framework for integrated, recovery-focused care, sustained investment in workforce development, digital innovation and collaborative practice is required to achieve consistently high-quality person-centred mental health services.</w:t>
      </w:r>
    </w:p>
    <w:p w14:paraId="01B563E8" w14:textId="7A987C16" w:rsidR="6CCE08EC" w:rsidRPr="00CB4FF0" w:rsidRDefault="6CCE08EC" w:rsidP="004F325B">
      <w:pPr>
        <w:spacing w:line="360" w:lineRule="auto"/>
        <w:rPr>
          <w:rFonts w:ascii="Arial" w:hAnsi="Arial" w:cs="Arial"/>
          <w:sz w:val="22"/>
          <w:szCs w:val="22"/>
        </w:rPr>
      </w:pPr>
    </w:p>
    <w:p w14:paraId="7AD2E0BE" w14:textId="27A18387" w:rsidR="6CCE08EC" w:rsidRPr="00CB4FF0" w:rsidRDefault="19C4BD6C" w:rsidP="004F325B">
      <w:pPr>
        <w:pStyle w:val="Heading3"/>
        <w:spacing w:before="281" w:after="281" w:line="360" w:lineRule="auto"/>
        <w:rPr>
          <w:rFonts w:ascii="Arial" w:hAnsi="Arial" w:cs="Arial"/>
          <w:sz w:val="22"/>
          <w:szCs w:val="22"/>
        </w:rPr>
      </w:pPr>
      <w:r w:rsidRPr="00CB4FF0">
        <w:rPr>
          <w:rFonts w:ascii="Arial" w:eastAsia="Arial Nova" w:hAnsi="Arial" w:cs="Arial"/>
          <w:b/>
          <w:bCs/>
          <w:sz w:val="22"/>
          <w:szCs w:val="22"/>
        </w:rPr>
        <w:t>Introduction (150 words)</w:t>
      </w:r>
    </w:p>
    <w:p w14:paraId="67D0AE28" w14:textId="4641B6E0" w:rsidR="6CCE08EC" w:rsidRPr="00CB4FF0" w:rsidRDefault="19C4BD6C" w:rsidP="004F325B">
      <w:pPr>
        <w:spacing w:before="240" w:after="240" w:line="360" w:lineRule="auto"/>
        <w:rPr>
          <w:rFonts w:ascii="Arial" w:hAnsi="Arial" w:cs="Arial"/>
          <w:sz w:val="22"/>
          <w:szCs w:val="22"/>
        </w:rPr>
      </w:pPr>
      <w:r w:rsidRPr="00CB4FF0">
        <w:rPr>
          <w:rFonts w:ascii="Arial" w:eastAsia="Arial Nova" w:hAnsi="Arial" w:cs="Arial"/>
          <w:sz w:val="22"/>
          <w:szCs w:val="22"/>
        </w:rPr>
        <w:t xml:space="preserve">Person-centred care (PCC) and partnership working (PW) are fundamental principles of modern UK mental health services, promoting care that is responsive to individual needs, preferences and recovery goals. These approaches recognise that effective mental healthcare requires collaboration between service users, healthcare professionals, carers and partner organisations to achieve positive outcomes. Community Mental Health Teams (CMHTs) play a key role in delivering integrated, recovery-focused support for people with severe and enduring mental health conditions. This report focuses on </w:t>
      </w:r>
      <w:r w:rsidRPr="00CB4FF0">
        <w:rPr>
          <w:rFonts w:ascii="Arial" w:eastAsia="Arial Nova" w:hAnsi="Arial" w:cs="Arial"/>
          <w:b/>
          <w:bCs/>
          <w:sz w:val="22"/>
          <w:szCs w:val="22"/>
        </w:rPr>
        <w:t>Sandwell Adult Community Mental Health Team (CMHT)</w:t>
      </w:r>
      <w:r w:rsidRPr="00CB4FF0">
        <w:rPr>
          <w:rFonts w:ascii="Arial" w:eastAsia="Arial Nova" w:hAnsi="Arial" w:cs="Arial"/>
          <w:sz w:val="22"/>
          <w:szCs w:val="22"/>
        </w:rPr>
        <w:t xml:space="preserve">, part of the Black Country Integrated Care System (ICS), serving a population affected by high levels of deprivation and health </w:t>
      </w:r>
      <w:r w:rsidRPr="00CB4FF0">
        <w:rPr>
          <w:rFonts w:ascii="Arial" w:eastAsia="Arial Nova" w:hAnsi="Arial" w:cs="Arial"/>
          <w:sz w:val="22"/>
          <w:szCs w:val="22"/>
        </w:rPr>
        <w:lastRenderedPageBreak/>
        <w:t>inequality. It critically examines the principles of person-centred care and partnership working, evaluates their benefits and challenges, and explores the ethical, theoretical and legislative frameworks that underpin practice. The report concludes by presenting evidence-based recommendations to strengthen person-centred, collaborative mental health care within Sandwell CMHT.</w:t>
      </w:r>
    </w:p>
    <w:p w14:paraId="2708AC5B" w14:textId="49555374" w:rsidR="6CCE08EC" w:rsidRPr="00CB4FF0" w:rsidRDefault="6CCE08EC" w:rsidP="004F325B">
      <w:pPr>
        <w:spacing w:before="240" w:after="240" w:line="360" w:lineRule="auto"/>
        <w:rPr>
          <w:rFonts w:ascii="Arial" w:eastAsia="Arial Nova" w:hAnsi="Arial" w:cs="Arial"/>
          <w:sz w:val="22"/>
          <w:szCs w:val="22"/>
        </w:rPr>
      </w:pPr>
    </w:p>
    <w:p w14:paraId="0FD5D9AF" w14:textId="53AA1C1C" w:rsidR="6CCE08EC" w:rsidRPr="00CB4FF0" w:rsidRDefault="6CCE08EC" w:rsidP="004F325B">
      <w:pPr>
        <w:spacing w:line="360" w:lineRule="auto"/>
        <w:rPr>
          <w:rFonts w:ascii="Arial" w:hAnsi="Arial" w:cs="Arial"/>
          <w:sz w:val="22"/>
          <w:szCs w:val="22"/>
        </w:rPr>
      </w:pPr>
    </w:p>
    <w:p w14:paraId="12B3677F" w14:textId="34B3093E" w:rsidR="6CCE08EC" w:rsidRPr="00CB4FF0" w:rsidRDefault="7B4EF8F0" w:rsidP="004F325B">
      <w:pPr>
        <w:pStyle w:val="Heading2"/>
        <w:spacing w:before="299" w:after="299" w:line="360" w:lineRule="auto"/>
        <w:rPr>
          <w:rFonts w:ascii="Arial" w:hAnsi="Arial" w:cs="Arial"/>
          <w:sz w:val="22"/>
          <w:szCs w:val="22"/>
        </w:rPr>
      </w:pPr>
      <w:r w:rsidRPr="00CB4FF0">
        <w:rPr>
          <w:rFonts w:ascii="Arial" w:eastAsia="Arial Nova" w:hAnsi="Arial" w:cs="Arial"/>
          <w:b/>
          <w:bCs/>
          <w:sz w:val="22"/>
          <w:szCs w:val="22"/>
        </w:rPr>
        <w:t>Person-Centred Care</w:t>
      </w:r>
    </w:p>
    <w:p w14:paraId="5851CA43" w14:textId="16432D55" w:rsidR="6CCE08EC" w:rsidRPr="00CB4FF0" w:rsidRDefault="7B4EF8F0" w:rsidP="004F325B">
      <w:pPr>
        <w:spacing w:before="240" w:after="240" w:line="360" w:lineRule="auto"/>
        <w:rPr>
          <w:rFonts w:ascii="Arial" w:hAnsi="Arial" w:cs="Arial"/>
          <w:sz w:val="22"/>
          <w:szCs w:val="22"/>
        </w:rPr>
      </w:pPr>
      <w:r w:rsidRPr="00CB4FF0">
        <w:rPr>
          <w:rFonts w:ascii="Arial" w:eastAsia="Arial Nova" w:hAnsi="Arial" w:cs="Arial"/>
          <w:sz w:val="22"/>
          <w:szCs w:val="22"/>
        </w:rPr>
        <w:t xml:space="preserve">Person-centred care is an approach to healthcare that places the individual, rather than their illness, at the centre of all assessment, planning and decision-making. The </w:t>
      </w:r>
      <w:r w:rsidRPr="00CB4FF0">
        <w:rPr>
          <w:rFonts w:ascii="Arial" w:eastAsia="Arial Nova" w:hAnsi="Arial" w:cs="Arial"/>
          <w:b/>
          <w:bCs/>
          <w:sz w:val="22"/>
          <w:szCs w:val="22"/>
        </w:rPr>
        <w:t>Royal College of Psychiatrists (2022)</w:t>
      </w:r>
      <w:r w:rsidRPr="00CB4FF0">
        <w:rPr>
          <w:rFonts w:ascii="Arial" w:eastAsia="Arial Nova" w:hAnsi="Arial" w:cs="Arial"/>
          <w:sz w:val="22"/>
          <w:szCs w:val="22"/>
        </w:rPr>
        <w:t xml:space="preserve"> defines person-centred care as care that respects an individual's preferences, values, cultural background and life experiences while involving them as equal partners throughout the care process. Unlike traditional medical models that focus primarily on diagnosis and symptom management, person-centred care considers the wider factors affecting health, including physical wellbeing, family relationships, employment, education, housing and social inclusion.</w:t>
      </w:r>
    </w:p>
    <w:p w14:paraId="73AC6A3E" w14:textId="3330DC9C" w:rsidR="6CCE08EC" w:rsidRPr="00CB4FF0" w:rsidRDefault="7B4EF8F0" w:rsidP="004F325B">
      <w:pPr>
        <w:spacing w:before="240" w:after="240" w:line="360" w:lineRule="auto"/>
        <w:rPr>
          <w:rFonts w:ascii="Arial" w:hAnsi="Arial" w:cs="Arial"/>
          <w:sz w:val="22"/>
          <w:szCs w:val="22"/>
        </w:rPr>
      </w:pPr>
      <w:r w:rsidRPr="00CB4FF0">
        <w:rPr>
          <w:rFonts w:ascii="Arial" w:eastAsia="Arial Nova" w:hAnsi="Arial" w:cs="Arial"/>
          <w:sz w:val="22"/>
          <w:szCs w:val="22"/>
        </w:rPr>
        <w:t xml:space="preserve">Within mental health services, person-centred care is strongly influenced by the </w:t>
      </w:r>
      <w:r w:rsidRPr="00CB4FF0">
        <w:rPr>
          <w:rFonts w:ascii="Arial" w:eastAsia="Arial Nova" w:hAnsi="Arial" w:cs="Arial"/>
          <w:b/>
          <w:bCs/>
          <w:sz w:val="22"/>
          <w:szCs w:val="22"/>
        </w:rPr>
        <w:t>Recovery Model</w:t>
      </w:r>
      <w:r w:rsidRPr="00CB4FF0">
        <w:rPr>
          <w:rFonts w:ascii="Arial" w:eastAsia="Arial Nova" w:hAnsi="Arial" w:cs="Arial"/>
          <w:sz w:val="22"/>
          <w:szCs w:val="22"/>
        </w:rPr>
        <w:t xml:space="preserve"> (Anthony, 1993), which views recovery as an individual and ongoing journey rather than simply the elimination of symptoms. Recovery focuses on enabling individuals to live meaningful, satisfying lives despite the challenges associated with mental illness. Consequently, successful outcomes are measured not only by symptom reduction but also by improvements in independence, confidence, employment, education, relationships and participation within the community.</w:t>
      </w:r>
    </w:p>
    <w:p w14:paraId="6A241703" w14:textId="22317650" w:rsidR="6CCE08EC" w:rsidRPr="00CB4FF0" w:rsidRDefault="7B4EF8F0" w:rsidP="004F325B">
      <w:pPr>
        <w:spacing w:before="240" w:after="240" w:line="360" w:lineRule="auto"/>
        <w:rPr>
          <w:rFonts w:ascii="Arial" w:hAnsi="Arial" w:cs="Arial"/>
          <w:sz w:val="22"/>
          <w:szCs w:val="22"/>
        </w:rPr>
      </w:pPr>
      <w:r w:rsidRPr="00CB4FF0">
        <w:rPr>
          <w:rFonts w:ascii="Arial" w:eastAsia="Arial Nova" w:hAnsi="Arial" w:cs="Arial"/>
          <w:sz w:val="22"/>
          <w:szCs w:val="22"/>
        </w:rPr>
        <w:t xml:space="preserve">Within </w:t>
      </w:r>
      <w:r w:rsidRPr="00CB4FF0">
        <w:rPr>
          <w:rFonts w:ascii="Arial" w:eastAsia="Arial Nova" w:hAnsi="Arial" w:cs="Arial"/>
          <w:b/>
          <w:bCs/>
          <w:sz w:val="22"/>
          <w:szCs w:val="22"/>
        </w:rPr>
        <w:t>Sandwell Adult Community Mental Health Team (CMHT)</w:t>
      </w:r>
      <w:r w:rsidRPr="00CB4FF0">
        <w:rPr>
          <w:rFonts w:ascii="Arial" w:eastAsia="Arial Nova" w:hAnsi="Arial" w:cs="Arial"/>
          <w:sz w:val="22"/>
          <w:szCs w:val="22"/>
        </w:rPr>
        <w:t>, person-centred care is delivered through comprehensive assessments, personalised care planning and collaborative goal setting. Multidisciplinary professionals work alongside service users and carers to identify individual priorities, ensuring that treatment reflects personal preferences and recovery goals rather than professional assumptions. Care plans are regularly reviewed and adapted to reflect changing needs, promoting flexibility and ongoing engagement.</w:t>
      </w:r>
    </w:p>
    <w:p w14:paraId="76D697E5" w14:textId="55F5054E" w:rsidR="6CCE08EC" w:rsidRPr="00CB4FF0" w:rsidRDefault="7B4EF8F0" w:rsidP="004F325B">
      <w:pPr>
        <w:spacing w:before="240" w:after="240" w:line="360" w:lineRule="auto"/>
        <w:rPr>
          <w:rFonts w:ascii="Arial" w:hAnsi="Arial" w:cs="Arial"/>
          <w:sz w:val="22"/>
          <w:szCs w:val="22"/>
        </w:rPr>
      </w:pPr>
      <w:r w:rsidRPr="00CB4FF0">
        <w:rPr>
          <w:rFonts w:ascii="Arial" w:eastAsia="Arial Nova" w:hAnsi="Arial" w:cs="Arial"/>
          <w:sz w:val="22"/>
          <w:szCs w:val="22"/>
        </w:rPr>
        <w:t xml:space="preserve">A key strength of person-centred care within Sandwell CMHT is its recognition of the wider determinants of mental health. Professionals acknowledge that poverty, unemployment, poor housing, physical illness and social isolation frequently influence recovery outcomes. </w:t>
      </w:r>
      <w:r w:rsidRPr="00CB4FF0">
        <w:rPr>
          <w:rFonts w:ascii="Arial" w:eastAsia="Arial Nova" w:hAnsi="Arial" w:cs="Arial"/>
          <w:sz w:val="22"/>
          <w:szCs w:val="22"/>
        </w:rPr>
        <w:lastRenderedPageBreak/>
        <w:t>Consequently, interventions extend beyond medication and psychological therapy to include social prescribing, occupational support, welfare advice and collaboration with community organisations. This holistic approach enables professionals to address the underlying factors contributing to mental illness while empowering individuals to take an active role in their recovery.</w:t>
      </w:r>
    </w:p>
    <w:p w14:paraId="6A5EA768" w14:textId="120C1FB0" w:rsidR="6CCE08EC" w:rsidRPr="00CB4FF0" w:rsidRDefault="7B4EF8F0" w:rsidP="004F325B">
      <w:pPr>
        <w:spacing w:before="240" w:after="240" w:line="360" w:lineRule="auto"/>
        <w:rPr>
          <w:rFonts w:ascii="Arial" w:hAnsi="Arial" w:cs="Arial"/>
          <w:sz w:val="22"/>
          <w:szCs w:val="22"/>
        </w:rPr>
      </w:pPr>
      <w:r w:rsidRPr="00CB4FF0">
        <w:rPr>
          <w:rFonts w:ascii="Arial" w:eastAsia="Arial Nova" w:hAnsi="Arial" w:cs="Arial"/>
          <w:sz w:val="22"/>
          <w:szCs w:val="22"/>
        </w:rPr>
        <w:t>However, although person-centred care represents best practice within contemporary mental health services, translating policy into everyday clinical practice remains challenging. These benefits and limitations are critically evaluated in the next section.</w:t>
      </w:r>
    </w:p>
    <w:p w14:paraId="52FAD695" w14:textId="04D230F2" w:rsidR="6CCE08EC" w:rsidRPr="00CB4FF0" w:rsidRDefault="29C2DA65" w:rsidP="004F325B">
      <w:pPr>
        <w:pStyle w:val="Heading3"/>
        <w:spacing w:before="281" w:after="281" w:line="360" w:lineRule="auto"/>
        <w:rPr>
          <w:rFonts w:ascii="Arial" w:hAnsi="Arial" w:cs="Arial"/>
          <w:sz w:val="22"/>
          <w:szCs w:val="22"/>
        </w:rPr>
      </w:pPr>
      <w:r w:rsidRPr="00CB4FF0">
        <w:rPr>
          <w:rFonts w:ascii="Arial" w:eastAsia="Arial Nova" w:hAnsi="Arial" w:cs="Arial"/>
          <w:b/>
          <w:bCs/>
          <w:sz w:val="22"/>
          <w:szCs w:val="22"/>
        </w:rPr>
        <w:t>Benefits of Person-Centred Care</w:t>
      </w:r>
    </w:p>
    <w:p w14:paraId="0A6AF814" w14:textId="5DFD486B" w:rsidR="6CCE08EC" w:rsidRPr="00CB4FF0" w:rsidRDefault="29C2DA65" w:rsidP="004F325B">
      <w:pPr>
        <w:spacing w:before="240" w:after="240" w:line="360" w:lineRule="auto"/>
        <w:rPr>
          <w:rFonts w:ascii="Arial" w:hAnsi="Arial" w:cs="Arial"/>
          <w:sz w:val="22"/>
          <w:szCs w:val="22"/>
        </w:rPr>
      </w:pPr>
      <w:r w:rsidRPr="00CB4FF0">
        <w:rPr>
          <w:rFonts w:ascii="Arial" w:eastAsia="Arial Nova" w:hAnsi="Arial" w:cs="Arial"/>
          <w:sz w:val="22"/>
          <w:szCs w:val="22"/>
        </w:rPr>
        <w:t xml:space="preserve">Person-centred care (PCC) offers significant benefits for service users, healthcare professionals and organisations by promoting holistic, individualised and recovery-focused care. Within </w:t>
      </w:r>
      <w:r w:rsidRPr="00CB4FF0">
        <w:rPr>
          <w:rFonts w:ascii="Arial" w:eastAsia="Arial Nova" w:hAnsi="Arial" w:cs="Arial"/>
          <w:b/>
          <w:bCs/>
          <w:sz w:val="22"/>
          <w:szCs w:val="22"/>
        </w:rPr>
        <w:t>Sandwell Adult Community Mental Health Team (CMHT)</w:t>
      </w:r>
      <w:r w:rsidRPr="00CB4FF0">
        <w:rPr>
          <w:rFonts w:ascii="Arial" w:eastAsia="Arial Nova" w:hAnsi="Arial" w:cs="Arial"/>
          <w:sz w:val="22"/>
          <w:szCs w:val="22"/>
        </w:rPr>
        <w:t xml:space="preserve">, PCC encourages service users to actively participate in decisions about their treatment, improving autonomy, confidence and engagement with mental health services. Shared decision-making strengthens therapeutic relationships by building trust and ensuring that care plans reflect </w:t>
      </w:r>
      <w:proofErr w:type="gramStart"/>
      <w:r w:rsidRPr="00CB4FF0">
        <w:rPr>
          <w:rFonts w:ascii="Arial" w:eastAsia="Arial Nova" w:hAnsi="Arial" w:cs="Arial"/>
          <w:sz w:val="22"/>
          <w:szCs w:val="22"/>
        </w:rPr>
        <w:t>each individual's</w:t>
      </w:r>
      <w:proofErr w:type="gramEnd"/>
      <w:r w:rsidRPr="00CB4FF0">
        <w:rPr>
          <w:rFonts w:ascii="Arial" w:eastAsia="Arial Nova" w:hAnsi="Arial" w:cs="Arial"/>
          <w:sz w:val="22"/>
          <w:szCs w:val="22"/>
        </w:rPr>
        <w:t xml:space="preserve"> values, preferences and recovery goals. Evidence indicates that involving service users in their care improves treatment adherence, satisfaction and overall health outcomes (NICE, 2021).</w:t>
      </w:r>
    </w:p>
    <w:p w14:paraId="4590CA4E" w14:textId="4C0A5CAD" w:rsidR="6CCE08EC" w:rsidRPr="00CB4FF0" w:rsidRDefault="29C2DA65" w:rsidP="004F325B">
      <w:pPr>
        <w:spacing w:before="240" w:after="240" w:line="360" w:lineRule="auto"/>
        <w:rPr>
          <w:rFonts w:ascii="Arial" w:hAnsi="Arial" w:cs="Arial"/>
          <w:sz w:val="22"/>
          <w:szCs w:val="22"/>
        </w:rPr>
      </w:pPr>
      <w:r w:rsidRPr="00CB4FF0">
        <w:rPr>
          <w:rFonts w:ascii="Arial" w:eastAsia="Arial Nova" w:hAnsi="Arial" w:cs="Arial"/>
          <w:sz w:val="22"/>
          <w:szCs w:val="22"/>
        </w:rPr>
        <w:t>PCC also promotes holistic care by recognising that mental health is influenced by biological, psychological and social factors. Professionals within Sandwell CMHT work collaboratively to address wider determinants of health, including housing, employment, financial wellbeing and family support, helping individuals achieve sustainable recovery. Furthermore, person-centred care reduces health inequalities by ensuring services are culturally sensitive and responsive to the diverse needs of the local population. Effective collaboration within multidisciplinary teams improves communication, continuity of care and early intervention, reducing unnecessary hospital admissions. Overall, PCC empowers individuals to take an active role in their recovery while improving the quality, safety and effectiveness of community mental health services within Sandwell CMHT.</w:t>
      </w:r>
    </w:p>
    <w:p w14:paraId="5698D40E" w14:textId="15930D3B" w:rsidR="6CCE08EC" w:rsidRPr="00CB4FF0" w:rsidRDefault="6CCE08EC" w:rsidP="004F325B">
      <w:pPr>
        <w:spacing w:before="240" w:after="240" w:line="360" w:lineRule="auto"/>
        <w:rPr>
          <w:rFonts w:ascii="Arial" w:eastAsia="Arial Nova" w:hAnsi="Arial" w:cs="Arial"/>
          <w:sz w:val="22"/>
          <w:szCs w:val="22"/>
        </w:rPr>
      </w:pPr>
    </w:p>
    <w:p w14:paraId="5F1B15A0" w14:textId="477244E6" w:rsidR="6CCE08EC" w:rsidRPr="00CB4FF0" w:rsidRDefault="51AC4BCC" w:rsidP="004F325B">
      <w:pPr>
        <w:pStyle w:val="Heading3"/>
        <w:spacing w:before="281" w:after="281" w:line="360" w:lineRule="auto"/>
        <w:rPr>
          <w:rFonts w:ascii="Arial" w:hAnsi="Arial" w:cs="Arial"/>
          <w:sz w:val="22"/>
          <w:szCs w:val="22"/>
        </w:rPr>
      </w:pPr>
      <w:r w:rsidRPr="00CB4FF0">
        <w:rPr>
          <w:rFonts w:ascii="Arial" w:eastAsia="Arial Nova" w:hAnsi="Arial" w:cs="Arial"/>
          <w:b/>
          <w:bCs/>
          <w:sz w:val="22"/>
          <w:szCs w:val="22"/>
        </w:rPr>
        <w:t>Challenges of Person-Centred Care</w:t>
      </w:r>
    </w:p>
    <w:p w14:paraId="633647F6" w14:textId="5166320E" w:rsidR="6CCE08EC" w:rsidRPr="00CB4FF0" w:rsidRDefault="51AC4BCC" w:rsidP="004F325B">
      <w:pPr>
        <w:spacing w:before="240" w:after="240" w:line="360" w:lineRule="auto"/>
        <w:rPr>
          <w:rFonts w:ascii="Arial" w:hAnsi="Arial" w:cs="Arial"/>
          <w:sz w:val="22"/>
          <w:szCs w:val="22"/>
        </w:rPr>
      </w:pPr>
      <w:r w:rsidRPr="00CB4FF0">
        <w:rPr>
          <w:rFonts w:ascii="Arial" w:eastAsia="Arial Nova" w:hAnsi="Arial" w:cs="Arial"/>
          <w:sz w:val="22"/>
          <w:szCs w:val="22"/>
        </w:rPr>
        <w:t xml:space="preserve">Despite its recognised benefits, implementing person-centred care (PCC) consistently within </w:t>
      </w:r>
      <w:r w:rsidRPr="00CB4FF0">
        <w:rPr>
          <w:rFonts w:ascii="Arial" w:eastAsia="Arial Nova" w:hAnsi="Arial" w:cs="Arial"/>
          <w:b/>
          <w:bCs/>
          <w:sz w:val="22"/>
          <w:szCs w:val="22"/>
        </w:rPr>
        <w:t>Sandwell Adult Community Mental Health Team (CMHT)</w:t>
      </w:r>
      <w:r w:rsidRPr="00CB4FF0">
        <w:rPr>
          <w:rFonts w:ascii="Arial" w:eastAsia="Arial Nova" w:hAnsi="Arial" w:cs="Arial"/>
          <w:sz w:val="22"/>
          <w:szCs w:val="22"/>
        </w:rPr>
        <w:t xml:space="preserve"> remains challenging. One major </w:t>
      </w:r>
      <w:r w:rsidRPr="00CB4FF0">
        <w:rPr>
          <w:rFonts w:ascii="Arial" w:eastAsia="Arial Nova" w:hAnsi="Arial" w:cs="Arial"/>
          <w:sz w:val="22"/>
          <w:szCs w:val="22"/>
        </w:rPr>
        <w:lastRenderedPageBreak/>
        <w:t xml:space="preserve">barrier is increasing demand for mental health services combined with workforce shortages and limited NHS resources, leaving professionals with insufficient time to develop personalised care plans. Communication difficulties between NHS services, social care and voluntary organisations, often caused by incompatible electronic record systems, can also delay information sharing and disrupt continuity of care. In addition, balancing service users' autonomy with professionals' duty to manage risk can create ethical dilemmas, particularly when compulsory treatment is required under the </w:t>
      </w:r>
      <w:r w:rsidRPr="00CB4FF0">
        <w:rPr>
          <w:rFonts w:ascii="Arial" w:eastAsia="Arial Nova" w:hAnsi="Arial" w:cs="Arial"/>
          <w:b/>
          <w:bCs/>
          <w:sz w:val="22"/>
          <w:szCs w:val="22"/>
        </w:rPr>
        <w:t>Mental Health Act 1983</w:t>
      </w:r>
      <w:r w:rsidRPr="00CB4FF0">
        <w:rPr>
          <w:rFonts w:ascii="Arial" w:eastAsia="Arial Nova" w:hAnsi="Arial" w:cs="Arial"/>
          <w:sz w:val="22"/>
          <w:szCs w:val="22"/>
        </w:rPr>
        <w:t>. Cultural differences, varying levels of health literacy and limited service-user engagement may further hinder effective shared decision-making. Addressing these challenges requires sustained investment in staffing, integrated digital technology, interprofessional collaboration and continuous professional development to ensure person-centred care is delivered consistently and effectively across Sandwell CMHT.</w:t>
      </w:r>
    </w:p>
    <w:p w14:paraId="5C36EF86" w14:textId="59E1BF2C" w:rsidR="6CCE08EC" w:rsidRPr="00CB4FF0" w:rsidRDefault="6CCE08EC" w:rsidP="004F325B">
      <w:pPr>
        <w:spacing w:before="240" w:after="240" w:line="360" w:lineRule="auto"/>
        <w:rPr>
          <w:rFonts w:ascii="Arial" w:eastAsia="Arial Nova" w:hAnsi="Arial" w:cs="Arial"/>
          <w:sz w:val="22"/>
          <w:szCs w:val="22"/>
        </w:rPr>
      </w:pPr>
    </w:p>
    <w:p w14:paraId="0FC0BD24" w14:textId="627BDF3E" w:rsidR="6CCE08EC" w:rsidRPr="00CB4FF0" w:rsidRDefault="6B0072EF" w:rsidP="004F325B">
      <w:pPr>
        <w:pStyle w:val="Heading2"/>
        <w:spacing w:before="299" w:after="299" w:line="360" w:lineRule="auto"/>
        <w:rPr>
          <w:rFonts w:ascii="Arial" w:hAnsi="Arial" w:cs="Arial"/>
          <w:sz w:val="22"/>
          <w:szCs w:val="22"/>
        </w:rPr>
      </w:pPr>
      <w:r w:rsidRPr="00CB4FF0">
        <w:rPr>
          <w:rFonts w:ascii="Arial" w:eastAsia="Arial Nova" w:hAnsi="Arial" w:cs="Arial"/>
          <w:b/>
          <w:bCs/>
          <w:sz w:val="22"/>
          <w:szCs w:val="22"/>
        </w:rPr>
        <w:t>Theoretical Frameworks Underpinning Person-Centred Care</w:t>
      </w:r>
    </w:p>
    <w:p w14:paraId="21D0FA63" w14:textId="07845CDB" w:rsidR="6CCE08EC" w:rsidRPr="00CB4FF0" w:rsidRDefault="54A24254" w:rsidP="004F325B">
      <w:pPr>
        <w:spacing w:before="240" w:after="240" w:line="360" w:lineRule="auto"/>
        <w:rPr>
          <w:rFonts w:ascii="Arial" w:hAnsi="Arial" w:cs="Arial"/>
          <w:sz w:val="22"/>
          <w:szCs w:val="22"/>
        </w:rPr>
      </w:pPr>
      <w:r w:rsidRPr="00CB4FF0">
        <w:rPr>
          <w:rFonts w:ascii="Arial" w:eastAsia="Arial Nova" w:hAnsi="Arial" w:cs="Arial"/>
          <w:sz w:val="22"/>
          <w:szCs w:val="22"/>
        </w:rPr>
        <w:t xml:space="preserve">Several theoretical frameworks underpin person-centred care within </w:t>
      </w:r>
      <w:r w:rsidRPr="00CB4FF0">
        <w:rPr>
          <w:rFonts w:ascii="Arial" w:eastAsia="Arial Nova" w:hAnsi="Arial" w:cs="Arial"/>
          <w:b/>
          <w:bCs/>
          <w:sz w:val="22"/>
          <w:szCs w:val="22"/>
        </w:rPr>
        <w:t>Sandwell Adult Community Mental Health Team (CMHT)</w:t>
      </w:r>
      <w:r w:rsidRPr="00CB4FF0">
        <w:rPr>
          <w:rFonts w:ascii="Arial" w:eastAsia="Arial Nova" w:hAnsi="Arial" w:cs="Arial"/>
          <w:sz w:val="22"/>
          <w:szCs w:val="22"/>
        </w:rPr>
        <w:t xml:space="preserve"> by providing a holistic understanding of individuals' needs and recovery. </w:t>
      </w:r>
      <w:r w:rsidRPr="00CB4FF0">
        <w:rPr>
          <w:rFonts w:ascii="Arial" w:eastAsia="Arial Nova" w:hAnsi="Arial" w:cs="Arial"/>
          <w:b/>
          <w:bCs/>
          <w:sz w:val="22"/>
          <w:szCs w:val="22"/>
        </w:rPr>
        <w:t>Bronfenbrenner's Ecological Systems Theory (1979)</w:t>
      </w:r>
      <w:r w:rsidRPr="00CB4FF0">
        <w:rPr>
          <w:rFonts w:ascii="Arial" w:eastAsia="Arial Nova" w:hAnsi="Arial" w:cs="Arial"/>
          <w:sz w:val="22"/>
          <w:szCs w:val="22"/>
        </w:rPr>
        <w:t xml:space="preserve"> explains that mental health is influenced by interactions between individuals and their environment, including family, community, employment and wider social policies. This theory supports multidisciplinary partnership working, as recovery often requires addressing social determinants alongside clinical treatment.</w:t>
      </w:r>
    </w:p>
    <w:p w14:paraId="4C485434" w14:textId="6519B7BF" w:rsidR="6CCE08EC" w:rsidRPr="00CB4FF0" w:rsidRDefault="54A24254" w:rsidP="004F325B">
      <w:pPr>
        <w:spacing w:before="240" w:after="240" w:line="360" w:lineRule="auto"/>
        <w:rPr>
          <w:rFonts w:ascii="Arial" w:hAnsi="Arial" w:cs="Arial"/>
          <w:sz w:val="22"/>
          <w:szCs w:val="22"/>
        </w:rPr>
      </w:pPr>
      <w:r w:rsidRPr="00CB4FF0">
        <w:rPr>
          <w:rFonts w:ascii="Arial" w:eastAsia="Arial Nova" w:hAnsi="Arial" w:cs="Arial"/>
          <w:b/>
          <w:bCs/>
          <w:sz w:val="22"/>
          <w:szCs w:val="22"/>
        </w:rPr>
        <w:t>Maslow's Hierarchy of Needs (1943)</w:t>
      </w:r>
      <w:r w:rsidRPr="00CB4FF0">
        <w:rPr>
          <w:rFonts w:ascii="Arial" w:eastAsia="Arial Nova" w:hAnsi="Arial" w:cs="Arial"/>
          <w:sz w:val="22"/>
          <w:szCs w:val="22"/>
        </w:rPr>
        <w:t xml:space="preserve"> proposes that individuals must satisfy basic physiological and safety needs before achieving psychological wellbeing and self-actualisation. Within Sandwell CMHT, professionals recognise that addressing issues such as housing, financial stability and physical health is essential before individuals can fully engage in therapy and recovery programmes.</w:t>
      </w:r>
    </w:p>
    <w:p w14:paraId="3C2CA250" w14:textId="463DAF1D" w:rsidR="6CCE08EC" w:rsidRPr="00CB4FF0" w:rsidRDefault="54A24254" w:rsidP="004F325B">
      <w:pPr>
        <w:spacing w:before="240" w:after="240" w:line="360" w:lineRule="auto"/>
        <w:rPr>
          <w:rFonts w:ascii="Arial" w:hAnsi="Arial" w:cs="Arial"/>
          <w:sz w:val="22"/>
          <w:szCs w:val="22"/>
        </w:rPr>
      </w:pPr>
      <w:r w:rsidRPr="00CB4FF0">
        <w:rPr>
          <w:rFonts w:ascii="Arial" w:eastAsia="Arial Nova" w:hAnsi="Arial" w:cs="Arial"/>
          <w:b/>
          <w:bCs/>
          <w:sz w:val="22"/>
          <w:szCs w:val="22"/>
        </w:rPr>
        <w:t>Bradshaw's Taxonomy of Need (1972)</w:t>
      </w:r>
      <w:r w:rsidRPr="00CB4FF0">
        <w:rPr>
          <w:rFonts w:ascii="Arial" w:eastAsia="Arial Nova" w:hAnsi="Arial" w:cs="Arial"/>
          <w:sz w:val="22"/>
          <w:szCs w:val="22"/>
        </w:rPr>
        <w:t xml:space="preserve"> further supports person-centred practice by categorising needs as normative, felt, expressed and comparative. This framework highlights the importance of balancing professional assessments with the individual's own priorities and experiences when planning care.</w:t>
      </w:r>
    </w:p>
    <w:p w14:paraId="3A8A881D" w14:textId="0AA0D287" w:rsidR="6CCE08EC" w:rsidRPr="00CB4FF0" w:rsidRDefault="54A24254" w:rsidP="004F325B">
      <w:pPr>
        <w:spacing w:before="240" w:after="240" w:line="360" w:lineRule="auto"/>
        <w:rPr>
          <w:rFonts w:ascii="Arial" w:hAnsi="Arial" w:cs="Arial"/>
          <w:sz w:val="22"/>
          <w:szCs w:val="22"/>
        </w:rPr>
      </w:pPr>
      <w:r w:rsidRPr="00CB4FF0">
        <w:rPr>
          <w:rFonts w:ascii="Arial" w:eastAsia="Arial Nova" w:hAnsi="Arial" w:cs="Arial"/>
          <w:sz w:val="22"/>
          <w:szCs w:val="22"/>
        </w:rPr>
        <w:t xml:space="preserve">Together, these theories reinforce holistic, recovery-focused practice by recognising that mental health is shaped by biological, psychological and social factors. Applying these </w:t>
      </w:r>
      <w:r w:rsidRPr="00CB4FF0">
        <w:rPr>
          <w:rFonts w:ascii="Arial" w:eastAsia="Arial Nova" w:hAnsi="Arial" w:cs="Arial"/>
          <w:sz w:val="22"/>
          <w:szCs w:val="22"/>
        </w:rPr>
        <w:lastRenderedPageBreak/>
        <w:t>frameworks enables Sandwell CMHT professionals to deliver personalised interventions that promote independence, wellbeing and long-term recov</w:t>
      </w:r>
    </w:p>
    <w:p w14:paraId="5653E4C4" w14:textId="0F8A3F4B" w:rsidR="6CCE08EC" w:rsidRPr="00CB4FF0" w:rsidRDefault="6CCE08EC" w:rsidP="004F325B">
      <w:pPr>
        <w:spacing w:line="360" w:lineRule="auto"/>
        <w:rPr>
          <w:rFonts w:ascii="Arial" w:hAnsi="Arial" w:cs="Arial"/>
          <w:sz w:val="22"/>
          <w:szCs w:val="22"/>
        </w:rPr>
      </w:pPr>
    </w:p>
    <w:p w14:paraId="43D55F40" w14:textId="54AD2627" w:rsidR="6CCE08EC" w:rsidRPr="00CB4FF0" w:rsidRDefault="103B58E6" w:rsidP="004F325B">
      <w:pPr>
        <w:pStyle w:val="Heading3"/>
        <w:spacing w:before="281" w:after="281" w:line="360" w:lineRule="auto"/>
        <w:rPr>
          <w:rFonts w:ascii="Arial" w:hAnsi="Arial" w:cs="Arial"/>
          <w:sz w:val="22"/>
          <w:szCs w:val="22"/>
        </w:rPr>
      </w:pPr>
      <w:r w:rsidRPr="00CB4FF0">
        <w:rPr>
          <w:rFonts w:ascii="Arial" w:eastAsia="Arial Nova" w:hAnsi="Arial" w:cs="Arial"/>
          <w:b/>
          <w:bCs/>
          <w:sz w:val="22"/>
          <w:szCs w:val="22"/>
        </w:rPr>
        <w:t>Ethical Principles</w:t>
      </w:r>
    </w:p>
    <w:p w14:paraId="2B9E854E" w14:textId="298AD899" w:rsidR="6CCE08EC" w:rsidRPr="00CB4FF0" w:rsidRDefault="103B58E6" w:rsidP="004F325B">
      <w:pPr>
        <w:spacing w:before="240" w:after="240" w:line="360" w:lineRule="auto"/>
        <w:rPr>
          <w:rFonts w:ascii="Arial" w:hAnsi="Arial" w:cs="Arial"/>
          <w:sz w:val="22"/>
          <w:szCs w:val="22"/>
        </w:rPr>
      </w:pPr>
      <w:r w:rsidRPr="00CB4FF0">
        <w:rPr>
          <w:rFonts w:ascii="Arial" w:eastAsia="Arial Nova" w:hAnsi="Arial" w:cs="Arial"/>
          <w:sz w:val="22"/>
          <w:szCs w:val="22"/>
        </w:rPr>
        <w:t xml:space="preserve">Ethical principles are fundamental to delivering person-centred care within </w:t>
      </w:r>
      <w:r w:rsidRPr="00CB4FF0">
        <w:rPr>
          <w:rFonts w:ascii="Arial" w:eastAsia="Arial Nova" w:hAnsi="Arial" w:cs="Arial"/>
          <w:b/>
          <w:bCs/>
          <w:sz w:val="22"/>
          <w:szCs w:val="22"/>
        </w:rPr>
        <w:t>Sandwell Adult Community Mental Health Team (CMHT)</w:t>
      </w:r>
      <w:r w:rsidRPr="00CB4FF0">
        <w:rPr>
          <w:rFonts w:ascii="Arial" w:eastAsia="Arial Nova" w:hAnsi="Arial" w:cs="Arial"/>
          <w:sz w:val="22"/>
          <w:szCs w:val="22"/>
        </w:rPr>
        <w:t xml:space="preserve">. Beauchamp and Childress (2019) identify four key principles that guide healthcare practice: </w:t>
      </w:r>
      <w:r w:rsidRPr="00CB4FF0">
        <w:rPr>
          <w:rFonts w:ascii="Arial" w:eastAsia="Arial Nova" w:hAnsi="Arial" w:cs="Arial"/>
          <w:b/>
          <w:bCs/>
          <w:sz w:val="22"/>
          <w:szCs w:val="22"/>
        </w:rPr>
        <w:t>autonomy, beneficence, non-maleficence and justice</w:t>
      </w:r>
      <w:r w:rsidRPr="00CB4FF0">
        <w:rPr>
          <w:rFonts w:ascii="Arial" w:eastAsia="Arial Nova" w:hAnsi="Arial" w:cs="Arial"/>
          <w:sz w:val="22"/>
          <w:szCs w:val="22"/>
        </w:rPr>
        <w:t>. These principles ensure that care is delivered safely, respectfully and in the best interests of service users.</w:t>
      </w:r>
    </w:p>
    <w:p w14:paraId="2505C402" w14:textId="1B1813FF" w:rsidR="6CCE08EC" w:rsidRPr="00CB4FF0" w:rsidRDefault="103B58E6" w:rsidP="004F325B">
      <w:pPr>
        <w:spacing w:before="240" w:after="240" w:line="360" w:lineRule="auto"/>
        <w:rPr>
          <w:rFonts w:ascii="Arial" w:hAnsi="Arial" w:cs="Arial"/>
          <w:sz w:val="22"/>
          <w:szCs w:val="22"/>
        </w:rPr>
      </w:pPr>
      <w:r w:rsidRPr="00CB4FF0">
        <w:rPr>
          <w:rFonts w:ascii="Arial" w:eastAsia="Arial Nova" w:hAnsi="Arial" w:cs="Arial"/>
          <w:b/>
          <w:bCs/>
          <w:sz w:val="22"/>
          <w:szCs w:val="22"/>
        </w:rPr>
        <w:t>Autonomy</w:t>
      </w:r>
      <w:r w:rsidRPr="00CB4FF0">
        <w:rPr>
          <w:rFonts w:ascii="Arial" w:eastAsia="Arial Nova" w:hAnsi="Arial" w:cs="Arial"/>
          <w:sz w:val="22"/>
          <w:szCs w:val="22"/>
        </w:rPr>
        <w:t xml:space="preserve"> involves respecting an individual's right to make informed decisions about their treatment and recovery. Within Sandwell CMHT, professionals promote autonomy through shared decision-making and personalised care planning. </w:t>
      </w:r>
      <w:r w:rsidRPr="00CB4FF0">
        <w:rPr>
          <w:rFonts w:ascii="Arial" w:eastAsia="Arial Nova" w:hAnsi="Arial" w:cs="Arial"/>
          <w:b/>
          <w:bCs/>
          <w:sz w:val="22"/>
          <w:szCs w:val="22"/>
        </w:rPr>
        <w:t>Beneficence</w:t>
      </w:r>
      <w:r w:rsidRPr="00CB4FF0">
        <w:rPr>
          <w:rFonts w:ascii="Arial" w:eastAsia="Arial Nova" w:hAnsi="Arial" w:cs="Arial"/>
          <w:sz w:val="22"/>
          <w:szCs w:val="22"/>
        </w:rPr>
        <w:t xml:space="preserve"> requires practitioners to act in the best interests of service users by providing evidence-based interventions that improve mental health, wellbeing and recovery outcomes. </w:t>
      </w:r>
      <w:r w:rsidRPr="00CB4FF0">
        <w:rPr>
          <w:rFonts w:ascii="Arial" w:eastAsia="Arial Nova" w:hAnsi="Arial" w:cs="Arial"/>
          <w:b/>
          <w:bCs/>
          <w:sz w:val="22"/>
          <w:szCs w:val="22"/>
        </w:rPr>
        <w:t>Non-maleficence</w:t>
      </w:r>
      <w:r w:rsidRPr="00CB4FF0">
        <w:rPr>
          <w:rFonts w:ascii="Arial" w:eastAsia="Arial Nova" w:hAnsi="Arial" w:cs="Arial"/>
          <w:sz w:val="22"/>
          <w:szCs w:val="22"/>
        </w:rPr>
        <w:t xml:space="preserve">, meaning "do no harm", requires professionals to minimise risks by delivering safe treatment, undertaking effective risk assessments and safeguarding vulnerable individuals. </w:t>
      </w:r>
      <w:r w:rsidRPr="00CB4FF0">
        <w:rPr>
          <w:rFonts w:ascii="Arial" w:eastAsia="Arial Nova" w:hAnsi="Arial" w:cs="Arial"/>
          <w:b/>
          <w:bCs/>
          <w:sz w:val="22"/>
          <w:szCs w:val="22"/>
        </w:rPr>
        <w:t>Justice</w:t>
      </w:r>
      <w:r w:rsidRPr="00CB4FF0">
        <w:rPr>
          <w:rFonts w:ascii="Arial" w:eastAsia="Arial Nova" w:hAnsi="Arial" w:cs="Arial"/>
          <w:sz w:val="22"/>
          <w:szCs w:val="22"/>
        </w:rPr>
        <w:t xml:space="preserve"> focuses on fairness and equality, ensuring that all service users have equitable access to mental health services regardless of age, ethnicity, disability, gender or socioeconomic status.</w:t>
      </w:r>
    </w:p>
    <w:p w14:paraId="316FAE23" w14:textId="0B64EABF" w:rsidR="6CCE08EC" w:rsidRPr="00CB4FF0" w:rsidRDefault="103B58E6" w:rsidP="004F325B">
      <w:pPr>
        <w:spacing w:before="240" w:after="240" w:line="360" w:lineRule="auto"/>
        <w:rPr>
          <w:rFonts w:ascii="Arial" w:hAnsi="Arial" w:cs="Arial"/>
          <w:sz w:val="22"/>
          <w:szCs w:val="22"/>
        </w:rPr>
      </w:pPr>
      <w:r w:rsidRPr="00CB4FF0">
        <w:rPr>
          <w:rFonts w:ascii="Arial" w:eastAsia="Arial Nova" w:hAnsi="Arial" w:cs="Arial"/>
          <w:sz w:val="22"/>
          <w:szCs w:val="22"/>
        </w:rPr>
        <w:t>Applying these ethical principles helps professionals balance individual choice with safeguarding responsibilities while maintaining dignity, respect and equality. Consequently, ethical practice strengthens therapeutic relationships, supports recovery and promotes high-quality, person-centred mental healthcare within Sandwell Adult CMHT.</w:t>
      </w:r>
    </w:p>
    <w:p w14:paraId="1FF8A7CF" w14:textId="1AB4B659" w:rsidR="6CCE08EC" w:rsidRPr="00CB4FF0" w:rsidRDefault="6CCE08EC" w:rsidP="004F325B">
      <w:pPr>
        <w:spacing w:before="240" w:after="240" w:line="360" w:lineRule="auto"/>
        <w:rPr>
          <w:rFonts w:ascii="Arial" w:eastAsia="Arial Nova" w:hAnsi="Arial" w:cs="Arial"/>
          <w:sz w:val="22"/>
          <w:szCs w:val="22"/>
        </w:rPr>
      </w:pPr>
    </w:p>
    <w:p w14:paraId="676271FC" w14:textId="056BBA39" w:rsidR="6CCE08EC" w:rsidRPr="00CB4FF0" w:rsidRDefault="1AA2E593" w:rsidP="004F325B">
      <w:pPr>
        <w:pStyle w:val="Heading3"/>
        <w:spacing w:before="281" w:after="281" w:line="360" w:lineRule="auto"/>
        <w:rPr>
          <w:rFonts w:ascii="Arial" w:hAnsi="Arial" w:cs="Arial"/>
          <w:sz w:val="22"/>
          <w:szCs w:val="22"/>
        </w:rPr>
      </w:pPr>
      <w:r w:rsidRPr="00CB4FF0">
        <w:rPr>
          <w:rFonts w:ascii="Arial" w:eastAsia="Arial Nova" w:hAnsi="Arial" w:cs="Arial"/>
          <w:b/>
          <w:bCs/>
          <w:sz w:val="22"/>
          <w:szCs w:val="22"/>
        </w:rPr>
        <w:t>Partnership Working</w:t>
      </w:r>
    </w:p>
    <w:p w14:paraId="30822F34" w14:textId="47BBD6BC" w:rsidR="6CCE08EC" w:rsidRPr="00CB4FF0" w:rsidRDefault="1AA2E593" w:rsidP="004F325B">
      <w:pPr>
        <w:spacing w:before="240" w:after="240" w:line="360" w:lineRule="auto"/>
        <w:rPr>
          <w:rFonts w:ascii="Arial" w:hAnsi="Arial" w:cs="Arial"/>
          <w:sz w:val="22"/>
          <w:szCs w:val="22"/>
        </w:rPr>
      </w:pPr>
      <w:r w:rsidRPr="00CB4FF0">
        <w:rPr>
          <w:rFonts w:ascii="Arial" w:eastAsia="Arial Nova" w:hAnsi="Arial" w:cs="Arial"/>
          <w:sz w:val="22"/>
          <w:szCs w:val="22"/>
        </w:rPr>
        <w:t xml:space="preserve">Partnership working is the collaborative process in which healthcare professionals, social care providers, service users, carers and voluntary organisations work together to plan, deliver and evaluate care. In mental health services, partnership working is essential because individuals often have complex needs that require support from multiple agencies. </w:t>
      </w:r>
      <w:r w:rsidRPr="00CB4FF0">
        <w:rPr>
          <w:rFonts w:ascii="Arial" w:eastAsia="Arial Nova" w:hAnsi="Arial" w:cs="Arial"/>
          <w:b/>
          <w:bCs/>
          <w:sz w:val="22"/>
          <w:szCs w:val="22"/>
        </w:rPr>
        <w:t>NHS England (2023)</w:t>
      </w:r>
      <w:r w:rsidRPr="00CB4FF0">
        <w:rPr>
          <w:rFonts w:ascii="Arial" w:eastAsia="Arial Nova" w:hAnsi="Arial" w:cs="Arial"/>
          <w:sz w:val="22"/>
          <w:szCs w:val="22"/>
        </w:rPr>
        <w:t xml:space="preserve"> states that integrated working improves care coordination, enhances communication and promotes better health outcomes by ensuring services are organised around the needs of the individual rather than separate organisations.</w:t>
      </w:r>
    </w:p>
    <w:p w14:paraId="3D8C24E6" w14:textId="12CF95C3" w:rsidR="6CCE08EC" w:rsidRPr="00CB4FF0" w:rsidRDefault="1AA2E593" w:rsidP="004F325B">
      <w:pPr>
        <w:spacing w:before="240" w:after="240" w:line="360" w:lineRule="auto"/>
        <w:rPr>
          <w:rFonts w:ascii="Arial" w:hAnsi="Arial" w:cs="Arial"/>
          <w:sz w:val="22"/>
          <w:szCs w:val="22"/>
        </w:rPr>
      </w:pPr>
      <w:r w:rsidRPr="00CB4FF0">
        <w:rPr>
          <w:rFonts w:ascii="Arial" w:eastAsia="Arial Nova" w:hAnsi="Arial" w:cs="Arial"/>
          <w:sz w:val="22"/>
          <w:szCs w:val="22"/>
        </w:rPr>
        <w:lastRenderedPageBreak/>
        <w:t xml:space="preserve">Within </w:t>
      </w:r>
      <w:r w:rsidRPr="00CB4FF0">
        <w:rPr>
          <w:rFonts w:ascii="Arial" w:eastAsia="Arial Nova" w:hAnsi="Arial" w:cs="Arial"/>
          <w:b/>
          <w:bCs/>
          <w:sz w:val="22"/>
          <w:szCs w:val="22"/>
        </w:rPr>
        <w:t>Sandwell Adult Community Mental Health Team (CMHT)</w:t>
      </w:r>
      <w:r w:rsidRPr="00CB4FF0">
        <w:rPr>
          <w:rFonts w:ascii="Arial" w:eastAsia="Arial Nova" w:hAnsi="Arial" w:cs="Arial"/>
          <w:sz w:val="22"/>
          <w:szCs w:val="22"/>
        </w:rPr>
        <w:t>, partnership working involves psychiatrists, community psychiatric nurses, psychologists, occupational therapists, social workers and support workers collaborating to develop personalised recovery plans. The team also works closely with general practitioners, housing providers, employment services, substance misuse teams and voluntary organisations to address the wider social determinants of mental health. This multidisciplinary approach enables holistic care, reduces duplication of services and supports continuity of care.</w:t>
      </w:r>
    </w:p>
    <w:p w14:paraId="315CD912" w14:textId="33FE3A03" w:rsidR="6CCE08EC" w:rsidRPr="00CB4FF0" w:rsidRDefault="1AA2E593" w:rsidP="004F325B">
      <w:pPr>
        <w:spacing w:before="240" w:after="240" w:line="360" w:lineRule="auto"/>
        <w:rPr>
          <w:rFonts w:ascii="Arial" w:hAnsi="Arial" w:cs="Arial"/>
          <w:sz w:val="22"/>
          <w:szCs w:val="22"/>
        </w:rPr>
      </w:pPr>
      <w:r w:rsidRPr="00CB4FF0">
        <w:rPr>
          <w:rFonts w:ascii="Arial" w:eastAsia="Arial Nova" w:hAnsi="Arial" w:cs="Arial"/>
          <w:sz w:val="22"/>
          <w:szCs w:val="22"/>
        </w:rPr>
        <w:t>Despite these benefits, partnership working faces challenges, including workforce shortages, incompatible electronic record systems and differences in organisational priorities, which can delay communication and decision-making. Strengthening integrated digital systems, improving interprofessional communication and encouraging service-user involvement are essential to achieving effective partnership working and improving recovery outcomes within Sandwell CMHT.</w:t>
      </w:r>
    </w:p>
    <w:p w14:paraId="3B694C11" w14:textId="14274911" w:rsidR="6CCE08EC" w:rsidRPr="00CB4FF0" w:rsidRDefault="6CCE08EC" w:rsidP="004F325B">
      <w:pPr>
        <w:spacing w:line="360" w:lineRule="auto"/>
        <w:rPr>
          <w:rFonts w:ascii="Arial" w:hAnsi="Arial" w:cs="Arial"/>
          <w:sz w:val="22"/>
          <w:szCs w:val="22"/>
        </w:rPr>
      </w:pPr>
    </w:p>
    <w:p w14:paraId="2B7C2D4E" w14:textId="0298BFC7" w:rsidR="6CCE08EC" w:rsidRPr="00CB4FF0" w:rsidRDefault="6FC5FC4F" w:rsidP="004F325B">
      <w:pPr>
        <w:pStyle w:val="Heading3"/>
        <w:spacing w:before="281" w:after="281" w:line="360" w:lineRule="auto"/>
        <w:rPr>
          <w:rFonts w:ascii="Arial" w:hAnsi="Arial" w:cs="Arial"/>
          <w:sz w:val="22"/>
          <w:szCs w:val="22"/>
        </w:rPr>
      </w:pPr>
      <w:r w:rsidRPr="00CB4FF0">
        <w:rPr>
          <w:rFonts w:ascii="Arial" w:eastAsia="Arial Nova" w:hAnsi="Arial" w:cs="Arial"/>
          <w:b/>
          <w:bCs/>
          <w:sz w:val="22"/>
          <w:szCs w:val="22"/>
        </w:rPr>
        <w:t>Policy and Legislation</w:t>
      </w:r>
    </w:p>
    <w:p w14:paraId="3D08E67E" w14:textId="5E1599AD" w:rsidR="6CCE08EC" w:rsidRPr="00CB4FF0" w:rsidRDefault="6FC5FC4F" w:rsidP="004F325B">
      <w:pPr>
        <w:spacing w:before="240" w:after="240" w:line="360" w:lineRule="auto"/>
        <w:rPr>
          <w:rFonts w:ascii="Arial" w:hAnsi="Arial" w:cs="Arial"/>
          <w:sz w:val="22"/>
          <w:szCs w:val="22"/>
        </w:rPr>
      </w:pPr>
      <w:r w:rsidRPr="00CB4FF0">
        <w:rPr>
          <w:rFonts w:ascii="Arial" w:eastAsia="Arial Nova" w:hAnsi="Arial" w:cs="Arial"/>
          <w:sz w:val="22"/>
          <w:szCs w:val="22"/>
        </w:rPr>
        <w:t xml:space="preserve">Person-centred care and partnership working within </w:t>
      </w:r>
      <w:r w:rsidRPr="00CB4FF0">
        <w:rPr>
          <w:rFonts w:ascii="Arial" w:eastAsia="Arial Nova" w:hAnsi="Arial" w:cs="Arial"/>
          <w:b/>
          <w:bCs/>
          <w:sz w:val="22"/>
          <w:szCs w:val="22"/>
        </w:rPr>
        <w:t>Sandwell Adult Community Mental Health Team (CMHT)</w:t>
      </w:r>
      <w:r w:rsidRPr="00CB4FF0">
        <w:rPr>
          <w:rFonts w:ascii="Arial" w:eastAsia="Arial Nova" w:hAnsi="Arial" w:cs="Arial"/>
          <w:sz w:val="22"/>
          <w:szCs w:val="22"/>
        </w:rPr>
        <w:t xml:space="preserve"> are supported by several key UK policies and legislative frameworks. The </w:t>
      </w:r>
      <w:r w:rsidRPr="00CB4FF0">
        <w:rPr>
          <w:rFonts w:ascii="Arial" w:eastAsia="Arial Nova" w:hAnsi="Arial" w:cs="Arial"/>
          <w:b/>
          <w:bCs/>
          <w:sz w:val="22"/>
          <w:szCs w:val="22"/>
        </w:rPr>
        <w:t>Health and Care Act 2022</w:t>
      </w:r>
      <w:r w:rsidRPr="00CB4FF0">
        <w:rPr>
          <w:rFonts w:ascii="Arial" w:eastAsia="Arial Nova" w:hAnsi="Arial" w:cs="Arial"/>
          <w:sz w:val="22"/>
          <w:szCs w:val="22"/>
        </w:rPr>
        <w:t xml:space="preserve"> established Integrated Care Systems (ICSs), promoting collaboration between NHS organisations, local authorities and voluntary services to deliver integrated, person-centred care. The </w:t>
      </w:r>
      <w:r w:rsidRPr="00CB4FF0">
        <w:rPr>
          <w:rFonts w:ascii="Arial" w:eastAsia="Arial Nova" w:hAnsi="Arial" w:cs="Arial"/>
          <w:b/>
          <w:bCs/>
          <w:sz w:val="22"/>
          <w:szCs w:val="22"/>
        </w:rPr>
        <w:t>Health and Social Care Act 2012</w:t>
      </w:r>
      <w:r w:rsidRPr="00CB4FF0">
        <w:rPr>
          <w:rFonts w:ascii="Arial" w:eastAsia="Arial Nova" w:hAnsi="Arial" w:cs="Arial"/>
          <w:sz w:val="22"/>
          <w:szCs w:val="22"/>
        </w:rPr>
        <w:t xml:space="preserve"> </w:t>
      </w:r>
      <w:proofErr w:type="gramStart"/>
      <w:r w:rsidRPr="00CB4FF0">
        <w:rPr>
          <w:rFonts w:ascii="Arial" w:eastAsia="Arial Nova" w:hAnsi="Arial" w:cs="Arial"/>
          <w:sz w:val="22"/>
          <w:szCs w:val="22"/>
        </w:rPr>
        <w:t>encourages</w:t>
      </w:r>
      <w:proofErr w:type="gramEnd"/>
      <w:r w:rsidRPr="00CB4FF0">
        <w:rPr>
          <w:rFonts w:ascii="Arial" w:eastAsia="Arial Nova" w:hAnsi="Arial" w:cs="Arial"/>
          <w:sz w:val="22"/>
          <w:szCs w:val="22"/>
        </w:rPr>
        <w:t xml:space="preserve"> patient involvement in decision-making and improves service integration. The </w:t>
      </w:r>
      <w:r w:rsidRPr="00CB4FF0">
        <w:rPr>
          <w:rFonts w:ascii="Arial" w:eastAsia="Arial Nova" w:hAnsi="Arial" w:cs="Arial"/>
          <w:b/>
          <w:bCs/>
          <w:sz w:val="22"/>
          <w:szCs w:val="22"/>
        </w:rPr>
        <w:t>Care Act 2014</w:t>
      </w:r>
      <w:r w:rsidRPr="00CB4FF0">
        <w:rPr>
          <w:rFonts w:ascii="Arial" w:eastAsia="Arial Nova" w:hAnsi="Arial" w:cs="Arial"/>
          <w:sz w:val="22"/>
          <w:szCs w:val="22"/>
        </w:rPr>
        <w:t xml:space="preserve"> introduced the wellbeing principle, requiring professionals to prioritise individuals' wishes, independence and overall wellbeing during assessment and care planning. Furthermore, the </w:t>
      </w:r>
      <w:r w:rsidRPr="00CB4FF0">
        <w:rPr>
          <w:rFonts w:ascii="Arial" w:eastAsia="Arial Nova" w:hAnsi="Arial" w:cs="Arial"/>
          <w:b/>
          <w:bCs/>
          <w:sz w:val="22"/>
          <w:szCs w:val="22"/>
        </w:rPr>
        <w:t>Human Rights Act 1998</w:t>
      </w:r>
      <w:r w:rsidRPr="00CB4FF0">
        <w:rPr>
          <w:rFonts w:ascii="Arial" w:eastAsia="Arial Nova" w:hAnsi="Arial" w:cs="Arial"/>
          <w:sz w:val="22"/>
          <w:szCs w:val="22"/>
        </w:rPr>
        <w:t xml:space="preserve"> protects fundamental rights, including dignity, privacy and respect for family life, while the </w:t>
      </w:r>
      <w:r w:rsidRPr="00CB4FF0">
        <w:rPr>
          <w:rFonts w:ascii="Arial" w:eastAsia="Arial Nova" w:hAnsi="Arial" w:cs="Arial"/>
          <w:b/>
          <w:bCs/>
          <w:sz w:val="22"/>
          <w:szCs w:val="22"/>
        </w:rPr>
        <w:t>Equality Act 2010</w:t>
      </w:r>
      <w:r w:rsidRPr="00CB4FF0">
        <w:rPr>
          <w:rFonts w:ascii="Arial" w:eastAsia="Arial Nova" w:hAnsi="Arial" w:cs="Arial"/>
          <w:sz w:val="22"/>
          <w:szCs w:val="22"/>
        </w:rPr>
        <w:t xml:space="preserve"> requires healthcare providers to eliminate discrimination and make reasonable adjustments for people with protected characteristics. Collectively, these policies and laws provide the legal and ethical framework that supports equitable, collaborative and recovery-focused mental health care within Sandwell CMHT.</w:t>
      </w:r>
    </w:p>
    <w:p w14:paraId="3A1FC5C5" w14:textId="2AA9C256" w:rsidR="6CCE08EC" w:rsidRPr="00CB4FF0" w:rsidRDefault="6CCE08EC" w:rsidP="004F325B">
      <w:pPr>
        <w:spacing w:line="360" w:lineRule="auto"/>
        <w:rPr>
          <w:rFonts w:ascii="Arial" w:hAnsi="Arial" w:cs="Arial"/>
          <w:sz w:val="22"/>
          <w:szCs w:val="22"/>
        </w:rPr>
      </w:pPr>
    </w:p>
    <w:p w14:paraId="6AFB963F" w14:textId="0B7CCF24" w:rsidR="6CCE08EC" w:rsidRPr="00CB4FF0" w:rsidRDefault="7658E9BC" w:rsidP="004F325B">
      <w:pPr>
        <w:pStyle w:val="Heading3"/>
        <w:spacing w:before="281" w:after="281" w:line="360" w:lineRule="auto"/>
        <w:rPr>
          <w:rFonts w:ascii="Arial" w:hAnsi="Arial" w:cs="Arial"/>
          <w:sz w:val="22"/>
          <w:szCs w:val="22"/>
        </w:rPr>
      </w:pPr>
      <w:r w:rsidRPr="00CB4FF0">
        <w:rPr>
          <w:rFonts w:ascii="Arial" w:eastAsia="Arial Nova" w:hAnsi="Arial" w:cs="Arial"/>
          <w:b/>
          <w:bCs/>
          <w:sz w:val="22"/>
          <w:szCs w:val="22"/>
        </w:rPr>
        <w:t>Recommendations</w:t>
      </w:r>
    </w:p>
    <w:p w14:paraId="1B25BA24" w14:textId="4463316A" w:rsidR="6CCE08EC" w:rsidRPr="00CB4FF0" w:rsidRDefault="7658E9BC" w:rsidP="004F325B">
      <w:pPr>
        <w:spacing w:before="240" w:after="240" w:line="360" w:lineRule="auto"/>
        <w:rPr>
          <w:rFonts w:ascii="Arial" w:hAnsi="Arial" w:cs="Arial"/>
          <w:sz w:val="22"/>
          <w:szCs w:val="22"/>
        </w:rPr>
      </w:pPr>
      <w:r w:rsidRPr="00CB4FF0">
        <w:rPr>
          <w:rFonts w:ascii="Arial" w:eastAsia="Arial Nova" w:hAnsi="Arial" w:cs="Arial"/>
          <w:sz w:val="22"/>
          <w:szCs w:val="22"/>
        </w:rPr>
        <w:t xml:space="preserve">To strengthen person-centred care and partnership working within </w:t>
      </w:r>
      <w:r w:rsidRPr="00CB4FF0">
        <w:rPr>
          <w:rFonts w:ascii="Arial" w:eastAsia="Arial Nova" w:hAnsi="Arial" w:cs="Arial"/>
          <w:b/>
          <w:bCs/>
          <w:sz w:val="22"/>
          <w:szCs w:val="22"/>
        </w:rPr>
        <w:t>Sandwell Adult Community Mental Health Team (CMHT)</w:t>
      </w:r>
      <w:r w:rsidRPr="00CB4FF0">
        <w:rPr>
          <w:rFonts w:ascii="Arial" w:eastAsia="Arial Nova" w:hAnsi="Arial" w:cs="Arial"/>
          <w:sz w:val="22"/>
          <w:szCs w:val="22"/>
        </w:rPr>
        <w:t xml:space="preserve">, several evidence-based improvements are </w:t>
      </w:r>
      <w:r w:rsidRPr="00CB4FF0">
        <w:rPr>
          <w:rFonts w:ascii="Arial" w:eastAsia="Arial Nova" w:hAnsi="Arial" w:cs="Arial"/>
          <w:sz w:val="22"/>
          <w:szCs w:val="22"/>
        </w:rPr>
        <w:lastRenderedPageBreak/>
        <w:t>recommended. Firstly, staff should receive regular training in shared decision-making, cultural competence and trauma-informed care to improve collaborative practice and recovery-focused support. Secondly, Sandwell CMHT should implement an integrated electronic health record accessible across NHS, social care and voluntary organisations. Evidence suggests that shared digital records improve communication, reduce duplication and enhance continuity of person-centred care (BMC Medical Informatics and Decision Making, 2024). Thirdly, service users and carers should be actively involved in care planning and service evaluation through co-production, ensuring services reflect their experiences and priorities. Finally, complementary approaches, including peer support and wellbeing programmes, should be considered where appropriate, as they can improve engagement and recovery when integrated with conventional care (Bhattacharyya, Craft Morgan and Burgess, 2022). These recommendations would promote more coordinated, personalised and effective community mental health services.</w:t>
      </w:r>
    </w:p>
    <w:p w14:paraId="19BB899B" w14:textId="6C9DDB3F" w:rsidR="6CCE08EC" w:rsidRPr="00CB4FF0" w:rsidRDefault="6CCE08EC" w:rsidP="004F325B">
      <w:pPr>
        <w:spacing w:line="360" w:lineRule="auto"/>
        <w:rPr>
          <w:rFonts w:ascii="Arial" w:hAnsi="Arial" w:cs="Arial"/>
          <w:sz w:val="22"/>
          <w:szCs w:val="22"/>
        </w:rPr>
      </w:pPr>
    </w:p>
    <w:p w14:paraId="217B0359" w14:textId="4882848B" w:rsidR="6CCE08EC" w:rsidRPr="00CB4FF0" w:rsidRDefault="7F7E5622" w:rsidP="004F325B">
      <w:pPr>
        <w:pStyle w:val="Heading3"/>
        <w:spacing w:before="281" w:after="281" w:line="360" w:lineRule="auto"/>
        <w:rPr>
          <w:rFonts w:ascii="Arial" w:hAnsi="Arial" w:cs="Arial"/>
          <w:sz w:val="22"/>
          <w:szCs w:val="22"/>
        </w:rPr>
      </w:pPr>
      <w:r w:rsidRPr="00CB4FF0">
        <w:rPr>
          <w:rFonts w:ascii="Arial" w:eastAsia="Arial Nova" w:hAnsi="Arial" w:cs="Arial"/>
          <w:b/>
          <w:bCs/>
          <w:sz w:val="22"/>
          <w:szCs w:val="22"/>
        </w:rPr>
        <w:t>Conclusion</w:t>
      </w:r>
    </w:p>
    <w:p w14:paraId="66387076" w14:textId="562ABD8E" w:rsidR="6CCE08EC" w:rsidRPr="00CB4FF0" w:rsidRDefault="7F7E5622" w:rsidP="004F325B">
      <w:pPr>
        <w:spacing w:before="240" w:after="240" w:line="360" w:lineRule="auto"/>
        <w:rPr>
          <w:rFonts w:ascii="Arial" w:hAnsi="Arial" w:cs="Arial"/>
          <w:sz w:val="22"/>
          <w:szCs w:val="22"/>
        </w:rPr>
      </w:pPr>
      <w:r w:rsidRPr="00CB4FF0">
        <w:rPr>
          <w:rFonts w:ascii="Arial" w:eastAsia="Arial Nova" w:hAnsi="Arial" w:cs="Arial"/>
          <w:sz w:val="22"/>
          <w:szCs w:val="22"/>
        </w:rPr>
        <w:t>In conclusion, person-centred care and partnership working are fundamental to delivering effective, recovery-focused mental health services within Sandwell Adult Community Mental Health Team (CMHT). By promoting shared decision-making, respecting individual preferences and encouraging multidisciplinary collaboration, these approaches improve service-user outcomes and quality of life. However, workforce shortages, resource constraints and communication challenges continue to affect consistent implementation. The report has demonstrated that ethical principles, theoretical frameworks and UK legislation provide a strong foundation for practice. Continued investment in staff development, digital integration and meaningful service-user involvement will strengthen collaborative care and support sustainable improvements in community mental health services.</w:t>
      </w:r>
    </w:p>
    <w:p w14:paraId="08E6E109" w14:textId="1E89D275" w:rsidR="6CCE08EC" w:rsidRPr="00CB4FF0" w:rsidRDefault="6CCE08EC" w:rsidP="004F325B">
      <w:pPr>
        <w:spacing w:before="240" w:after="240" w:line="360" w:lineRule="auto"/>
        <w:rPr>
          <w:rFonts w:ascii="Arial" w:eastAsia="Arial Nova" w:hAnsi="Arial" w:cs="Arial"/>
          <w:sz w:val="22"/>
          <w:szCs w:val="22"/>
        </w:rPr>
      </w:pPr>
    </w:p>
    <w:p w14:paraId="32BF9E6E" w14:textId="266FFB1E" w:rsidR="6CCE08EC" w:rsidRPr="00CB4FF0" w:rsidRDefault="6CCE08EC" w:rsidP="004F325B">
      <w:pPr>
        <w:spacing w:line="360" w:lineRule="auto"/>
        <w:rPr>
          <w:rFonts w:ascii="Arial" w:hAnsi="Arial" w:cs="Arial"/>
          <w:sz w:val="22"/>
          <w:szCs w:val="22"/>
        </w:rPr>
      </w:pPr>
    </w:p>
    <w:p w14:paraId="25AB5810" w14:textId="18756B1C" w:rsidR="6CCE08EC" w:rsidRPr="00CB4FF0" w:rsidRDefault="54029395" w:rsidP="004F325B">
      <w:pPr>
        <w:pStyle w:val="Heading1"/>
        <w:spacing w:before="322" w:after="322" w:line="360" w:lineRule="auto"/>
        <w:rPr>
          <w:rFonts w:ascii="Arial" w:hAnsi="Arial" w:cs="Arial"/>
          <w:sz w:val="22"/>
          <w:szCs w:val="22"/>
        </w:rPr>
      </w:pPr>
      <w:r w:rsidRPr="00CB4FF0">
        <w:rPr>
          <w:rFonts w:ascii="Arial" w:eastAsia="Arial Nova" w:hAnsi="Arial" w:cs="Arial"/>
          <w:b/>
          <w:bCs/>
          <w:sz w:val="22"/>
          <w:szCs w:val="22"/>
        </w:rPr>
        <w:t xml:space="preserve">Reference </w:t>
      </w:r>
    </w:p>
    <w:p w14:paraId="7F163513" w14:textId="6D923062" w:rsidR="6CCE08EC" w:rsidRPr="00CB4FF0" w:rsidRDefault="54029395" w:rsidP="004F325B">
      <w:pPr>
        <w:spacing w:before="240" w:after="240" w:line="360" w:lineRule="auto"/>
        <w:rPr>
          <w:rFonts w:ascii="Arial" w:hAnsi="Arial" w:cs="Arial"/>
          <w:sz w:val="22"/>
          <w:szCs w:val="22"/>
        </w:rPr>
      </w:pPr>
      <w:r w:rsidRPr="00CB4FF0">
        <w:rPr>
          <w:rFonts w:ascii="Arial" w:eastAsia="Arial Nova" w:hAnsi="Arial" w:cs="Arial"/>
          <w:sz w:val="22"/>
          <w:szCs w:val="22"/>
        </w:rPr>
        <w:t xml:space="preserve">Anthony, W.A. (1993) ‘Recovery from mental illness: the guiding vision of the mental health service system in the 1990s’, </w:t>
      </w:r>
      <w:r w:rsidRPr="00CB4FF0">
        <w:rPr>
          <w:rFonts w:ascii="Arial" w:eastAsia="Arial Nova" w:hAnsi="Arial" w:cs="Arial"/>
          <w:i/>
          <w:iCs/>
          <w:sz w:val="22"/>
          <w:szCs w:val="22"/>
        </w:rPr>
        <w:t>Psychosocial Rehabilitation Journal</w:t>
      </w:r>
      <w:r w:rsidRPr="00CB4FF0">
        <w:rPr>
          <w:rFonts w:ascii="Arial" w:eastAsia="Arial Nova" w:hAnsi="Arial" w:cs="Arial"/>
          <w:sz w:val="22"/>
          <w:szCs w:val="22"/>
        </w:rPr>
        <w:t>, 16(4), pp. 11–23.</w:t>
      </w:r>
    </w:p>
    <w:p w14:paraId="1D9D478B" w14:textId="12A2FDBC" w:rsidR="6CCE08EC" w:rsidRPr="00CB4FF0" w:rsidRDefault="54029395" w:rsidP="004F325B">
      <w:pPr>
        <w:spacing w:before="240" w:after="240" w:line="360" w:lineRule="auto"/>
        <w:rPr>
          <w:rFonts w:ascii="Arial" w:hAnsi="Arial" w:cs="Arial"/>
          <w:sz w:val="22"/>
          <w:szCs w:val="22"/>
        </w:rPr>
      </w:pPr>
      <w:r w:rsidRPr="00CB4FF0">
        <w:rPr>
          <w:rFonts w:ascii="Arial" w:eastAsia="Arial Nova" w:hAnsi="Arial" w:cs="Arial"/>
          <w:sz w:val="22"/>
          <w:szCs w:val="22"/>
        </w:rPr>
        <w:lastRenderedPageBreak/>
        <w:t xml:space="preserve">Beauchamp, T.L. and Childress, J.F. (2019) </w:t>
      </w:r>
      <w:r w:rsidRPr="00CB4FF0">
        <w:rPr>
          <w:rFonts w:ascii="Arial" w:eastAsia="Arial Nova" w:hAnsi="Arial" w:cs="Arial"/>
          <w:i/>
          <w:iCs/>
          <w:sz w:val="22"/>
          <w:szCs w:val="22"/>
        </w:rPr>
        <w:t>Principles of Biomedical Ethics</w:t>
      </w:r>
      <w:r w:rsidRPr="00CB4FF0">
        <w:rPr>
          <w:rFonts w:ascii="Arial" w:eastAsia="Arial Nova" w:hAnsi="Arial" w:cs="Arial"/>
          <w:sz w:val="22"/>
          <w:szCs w:val="22"/>
        </w:rPr>
        <w:t>. 8th edn. Oxford: Oxford University Press.</w:t>
      </w:r>
    </w:p>
    <w:p w14:paraId="2FE9B888" w14:textId="42C3AF36" w:rsidR="6CCE08EC" w:rsidRPr="00CB4FF0" w:rsidRDefault="54029395" w:rsidP="004F325B">
      <w:pPr>
        <w:spacing w:before="240" w:after="240" w:line="360" w:lineRule="auto"/>
        <w:rPr>
          <w:rFonts w:ascii="Arial" w:hAnsi="Arial" w:cs="Arial"/>
          <w:sz w:val="22"/>
          <w:szCs w:val="22"/>
        </w:rPr>
      </w:pPr>
      <w:r w:rsidRPr="00CB4FF0">
        <w:rPr>
          <w:rFonts w:ascii="Arial" w:eastAsia="Arial Nova" w:hAnsi="Arial" w:cs="Arial"/>
          <w:sz w:val="22"/>
          <w:szCs w:val="22"/>
        </w:rPr>
        <w:t xml:space="preserve">Bradshaw, J. (1972) ‘The concept of social need’, </w:t>
      </w:r>
      <w:r w:rsidRPr="00CB4FF0">
        <w:rPr>
          <w:rFonts w:ascii="Arial" w:eastAsia="Arial Nova" w:hAnsi="Arial" w:cs="Arial"/>
          <w:i/>
          <w:iCs/>
          <w:sz w:val="22"/>
          <w:szCs w:val="22"/>
        </w:rPr>
        <w:t>New Society</w:t>
      </w:r>
      <w:r w:rsidRPr="00CB4FF0">
        <w:rPr>
          <w:rFonts w:ascii="Arial" w:eastAsia="Arial Nova" w:hAnsi="Arial" w:cs="Arial"/>
          <w:sz w:val="22"/>
          <w:szCs w:val="22"/>
        </w:rPr>
        <w:t>, 30(773), pp. 640–643.</w:t>
      </w:r>
    </w:p>
    <w:p w14:paraId="0BEC1F7E" w14:textId="06A4C442" w:rsidR="6CCE08EC" w:rsidRPr="00CB4FF0" w:rsidRDefault="54029395" w:rsidP="004F325B">
      <w:pPr>
        <w:spacing w:before="240" w:after="240" w:line="360" w:lineRule="auto"/>
        <w:rPr>
          <w:rFonts w:ascii="Arial" w:hAnsi="Arial" w:cs="Arial"/>
          <w:sz w:val="22"/>
          <w:szCs w:val="22"/>
        </w:rPr>
      </w:pPr>
      <w:r w:rsidRPr="00CB4FF0">
        <w:rPr>
          <w:rFonts w:ascii="Arial" w:eastAsia="Arial Nova" w:hAnsi="Arial" w:cs="Arial"/>
          <w:sz w:val="22"/>
          <w:szCs w:val="22"/>
        </w:rPr>
        <w:t xml:space="preserve">Bronfenbrenner, U. (1979) </w:t>
      </w:r>
      <w:r w:rsidRPr="00CB4FF0">
        <w:rPr>
          <w:rFonts w:ascii="Arial" w:eastAsia="Arial Nova" w:hAnsi="Arial" w:cs="Arial"/>
          <w:i/>
          <w:iCs/>
          <w:sz w:val="22"/>
          <w:szCs w:val="22"/>
        </w:rPr>
        <w:t>The Ecology of Human Development: Experiments by Nature and Design</w:t>
      </w:r>
      <w:r w:rsidRPr="00CB4FF0">
        <w:rPr>
          <w:rFonts w:ascii="Arial" w:eastAsia="Arial Nova" w:hAnsi="Arial" w:cs="Arial"/>
          <w:sz w:val="22"/>
          <w:szCs w:val="22"/>
        </w:rPr>
        <w:t>. Cambridge, MA: Harvard University Press.</w:t>
      </w:r>
    </w:p>
    <w:p w14:paraId="682CBFAE" w14:textId="08AC706E" w:rsidR="6CCE08EC" w:rsidRPr="00CB4FF0" w:rsidRDefault="54029395" w:rsidP="004F325B">
      <w:pPr>
        <w:spacing w:before="240" w:after="240" w:line="360" w:lineRule="auto"/>
        <w:rPr>
          <w:rFonts w:ascii="Arial" w:hAnsi="Arial" w:cs="Arial"/>
          <w:sz w:val="22"/>
          <w:szCs w:val="22"/>
        </w:rPr>
      </w:pPr>
      <w:r w:rsidRPr="00CB4FF0">
        <w:rPr>
          <w:rFonts w:ascii="Arial" w:eastAsia="Arial Nova" w:hAnsi="Arial" w:cs="Arial"/>
          <w:sz w:val="22"/>
          <w:szCs w:val="22"/>
        </w:rPr>
        <w:t>Care Act 2014. c.23. London: The Stationery Office.</w:t>
      </w:r>
    </w:p>
    <w:p w14:paraId="674F060C" w14:textId="3B216CEF" w:rsidR="6CCE08EC" w:rsidRPr="00CB4FF0" w:rsidRDefault="54029395" w:rsidP="004F325B">
      <w:pPr>
        <w:spacing w:before="240" w:after="240" w:line="360" w:lineRule="auto"/>
        <w:rPr>
          <w:rFonts w:ascii="Arial" w:hAnsi="Arial" w:cs="Arial"/>
          <w:sz w:val="22"/>
          <w:szCs w:val="22"/>
        </w:rPr>
      </w:pPr>
      <w:r w:rsidRPr="00CB4FF0">
        <w:rPr>
          <w:rFonts w:ascii="Arial" w:eastAsia="Arial Nova" w:hAnsi="Arial" w:cs="Arial"/>
          <w:sz w:val="22"/>
          <w:szCs w:val="22"/>
        </w:rPr>
        <w:t>Equality Act 2010. c.15. London: The Stationery Office.</w:t>
      </w:r>
    </w:p>
    <w:p w14:paraId="11F06C1F" w14:textId="37A86A8E" w:rsidR="6CCE08EC" w:rsidRPr="00CB4FF0" w:rsidRDefault="54029395" w:rsidP="004F325B">
      <w:pPr>
        <w:spacing w:before="240" w:after="240" w:line="360" w:lineRule="auto"/>
        <w:rPr>
          <w:rFonts w:ascii="Arial" w:hAnsi="Arial" w:cs="Arial"/>
          <w:sz w:val="22"/>
          <w:szCs w:val="22"/>
        </w:rPr>
      </w:pPr>
      <w:r w:rsidRPr="00CB4FF0">
        <w:rPr>
          <w:rFonts w:ascii="Arial" w:eastAsia="Arial Nova" w:hAnsi="Arial" w:cs="Arial"/>
          <w:sz w:val="22"/>
          <w:szCs w:val="22"/>
        </w:rPr>
        <w:t>Health and Care Act 2022. c.31. London: The Stationery Office.</w:t>
      </w:r>
    </w:p>
    <w:p w14:paraId="7FCE1546" w14:textId="02C7849D" w:rsidR="6CCE08EC" w:rsidRPr="00CB4FF0" w:rsidRDefault="54029395" w:rsidP="004F325B">
      <w:pPr>
        <w:spacing w:before="240" w:after="240" w:line="360" w:lineRule="auto"/>
        <w:rPr>
          <w:rFonts w:ascii="Arial" w:hAnsi="Arial" w:cs="Arial"/>
          <w:sz w:val="22"/>
          <w:szCs w:val="22"/>
        </w:rPr>
      </w:pPr>
      <w:r w:rsidRPr="00CB4FF0">
        <w:rPr>
          <w:rFonts w:ascii="Arial" w:eastAsia="Arial Nova" w:hAnsi="Arial" w:cs="Arial"/>
          <w:sz w:val="22"/>
          <w:szCs w:val="22"/>
        </w:rPr>
        <w:t>Health and Social Care Act 2012. c.7. London: The Stationery Office.</w:t>
      </w:r>
    </w:p>
    <w:p w14:paraId="2B7A2BEC" w14:textId="6C7BFFC2" w:rsidR="6CCE08EC" w:rsidRPr="00CB4FF0" w:rsidRDefault="54029395" w:rsidP="004F325B">
      <w:pPr>
        <w:spacing w:before="240" w:after="240" w:line="360" w:lineRule="auto"/>
        <w:rPr>
          <w:rFonts w:ascii="Arial" w:hAnsi="Arial" w:cs="Arial"/>
          <w:sz w:val="22"/>
          <w:szCs w:val="22"/>
        </w:rPr>
      </w:pPr>
      <w:r w:rsidRPr="00CB4FF0">
        <w:rPr>
          <w:rFonts w:ascii="Arial" w:eastAsia="Arial Nova" w:hAnsi="Arial" w:cs="Arial"/>
          <w:sz w:val="22"/>
          <w:szCs w:val="22"/>
        </w:rPr>
        <w:t>Human Rights Act 1998. c.42. London: The Stationery Office.</w:t>
      </w:r>
    </w:p>
    <w:p w14:paraId="6F1EFCBC" w14:textId="0373BE0F" w:rsidR="6CCE08EC" w:rsidRPr="00CB4FF0" w:rsidRDefault="54029395" w:rsidP="004F325B">
      <w:pPr>
        <w:spacing w:before="240" w:after="240" w:line="360" w:lineRule="auto"/>
        <w:rPr>
          <w:rFonts w:ascii="Arial" w:hAnsi="Arial" w:cs="Arial"/>
          <w:sz w:val="22"/>
          <w:szCs w:val="22"/>
        </w:rPr>
      </w:pPr>
      <w:r w:rsidRPr="00CB4FF0">
        <w:rPr>
          <w:rFonts w:ascii="Arial" w:eastAsia="Arial Nova" w:hAnsi="Arial" w:cs="Arial"/>
          <w:sz w:val="22"/>
          <w:szCs w:val="22"/>
        </w:rPr>
        <w:t xml:space="preserve">King's Fund (2023) </w:t>
      </w:r>
      <w:r w:rsidRPr="00CB4FF0">
        <w:rPr>
          <w:rFonts w:ascii="Arial" w:eastAsia="Arial Nova" w:hAnsi="Arial" w:cs="Arial"/>
          <w:i/>
          <w:iCs/>
          <w:sz w:val="22"/>
          <w:szCs w:val="22"/>
        </w:rPr>
        <w:t>Partnership Working in Integrated Care Systems</w:t>
      </w:r>
      <w:r w:rsidRPr="00CB4FF0">
        <w:rPr>
          <w:rFonts w:ascii="Arial" w:eastAsia="Arial Nova" w:hAnsi="Arial" w:cs="Arial"/>
          <w:sz w:val="22"/>
          <w:szCs w:val="22"/>
        </w:rPr>
        <w:t>. London: The King's Fund.</w:t>
      </w:r>
    </w:p>
    <w:p w14:paraId="2AEABF44" w14:textId="2D228CBF" w:rsidR="6CCE08EC" w:rsidRPr="00CB4FF0" w:rsidRDefault="54029395" w:rsidP="004F325B">
      <w:pPr>
        <w:spacing w:before="240" w:after="240" w:line="360" w:lineRule="auto"/>
        <w:rPr>
          <w:rFonts w:ascii="Arial" w:hAnsi="Arial" w:cs="Arial"/>
          <w:sz w:val="22"/>
          <w:szCs w:val="22"/>
        </w:rPr>
      </w:pPr>
      <w:r w:rsidRPr="00CB4FF0">
        <w:rPr>
          <w:rFonts w:ascii="Arial" w:eastAsia="Arial Nova" w:hAnsi="Arial" w:cs="Arial"/>
          <w:sz w:val="22"/>
          <w:szCs w:val="22"/>
        </w:rPr>
        <w:t>Mental Health Act 1983. c.20. London: The Stationery Office.</w:t>
      </w:r>
    </w:p>
    <w:p w14:paraId="0617F7C7" w14:textId="3FF9558F" w:rsidR="6CCE08EC" w:rsidRPr="00CB4FF0" w:rsidRDefault="54029395" w:rsidP="004F325B">
      <w:pPr>
        <w:spacing w:before="240" w:after="240" w:line="360" w:lineRule="auto"/>
        <w:rPr>
          <w:rFonts w:ascii="Arial" w:hAnsi="Arial" w:cs="Arial"/>
          <w:sz w:val="22"/>
          <w:szCs w:val="22"/>
        </w:rPr>
      </w:pPr>
      <w:r w:rsidRPr="00CB4FF0">
        <w:rPr>
          <w:rFonts w:ascii="Arial" w:eastAsia="Arial Nova" w:hAnsi="Arial" w:cs="Arial"/>
          <w:sz w:val="22"/>
          <w:szCs w:val="22"/>
        </w:rPr>
        <w:t xml:space="preserve">National Institute for Health and Care Excellence (NICE) (2021) </w:t>
      </w:r>
      <w:r w:rsidRPr="00CB4FF0">
        <w:rPr>
          <w:rFonts w:ascii="Arial" w:eastAsia="Arial Nova" w:hAnsi="Arial" w:cs="Arial"/>
          <w:i/>
          <w:iCs/>
          <w:sz w:val="22"/>
          <w:szCs w:val="22"/>
        </w:rPr>
        <w:t>Shared Decision Making (NG197)</w:t>
      </w:r>
      <w:r w:rsidRPr="00CB4FF0">
        <w:rPr>
          <w:rFonts w:ascii="Arial" w:eastAsia="Arial Nova" w:hAnsi="Arial" w:cs="Arial"/>
          <w:sz w:val="22"/>
          <w:szCs w:val="22"/>
        </w:rPr>
        <w:t>. London: NICE.</w:t>
      </w:r>
    </w:p>
    <w:p w14:paraId="6A439A32" w14:textId="6E3D5F4C" w:rsidR="6CCE08EC" w:rsidRPr="00CB4FF0" w:rsidRDefault="54029395" w:rsidP="004F325B">
      <w:pPr>
        <w:spacing w:before="240" w:after="240" w:line="360" w:lineRule="auto"/>
        <w:rPr>
          <w:rFonts w:ascii="Arial" w:hAnsi="Arial" w:cs="Arial"/>
          <w:sz w:val="22"/>
          <w:szCs w:val="22"/>
        </w:rPr>
      </w:pPr>
      <w:r w:rsidRPr="00CB4FF0">
        <w:rPr>
          <w:rFonts w:ascii="Arial" w:eastAsia="Arial Nova" w:hAnsi="Arial" w:cs="Arial"/>
          <w:sz w:val="22"/>
          <w:szCs w:val="22"/>
        </w:rPr>
        <w:t xml:space="preserve">NHS England (2023) </w:t>
      </w:r>
      <w:r w:rsidRPr="00CB4FF0">
        <w:rPr>
          <w:rFonts w:ascii="Arial" w:eastAsia="Arial Nova" w:hAnsi="Arial" w:cs="Arial"/>
          <w:i/>
          <w:iCs/>
          <w:sz w:val="22"/>
          <w:szCs w:val="22"/>
        </w:rPr>
        <w:t>NHS Long Term Workforce Plan</w:t>
      </w:r>
      <w:r w:rsidRPr="00CB4FF0">
        <w:rPr>
          <w:rFonts w:ascii="Arial" w:eastAsia="Arial Nova" w:hAnsi="Arial" w:cs="Arial"/>
          <w:sz w:val="22"/>
          <w:szCs w:val="22"/>
        </w:rPr>
        <w:t>. London: NHS England.</w:t>
      </w:r>
    </w:p>
    <w:p w14:paraId="54E5E692" w14:textId="65044A3C" w:rsidR="6CCE08EC" w:rsidRPr="00CB4FF0" w:rsidRDefault="54029395" w:rsidP="004F325B">
      <w:pPr>
        <w:spacing w:before="240" w:after="240" w:line="360" w:lineRule="auto"/>
        <w:rPr>
          <w:rFonts w:ascii="Arial" w:hAnsi="Arial" w:cs="Arial"/>
          <w:sz w:val="22"/>
          <w:szCs w:val="22"/>
        </w:rPr>
      </w:pPr>
      <w:r w:rsidRPr="00CB4FF0">
        <w:rPr>
          <w:rFonts w:ascii="Arial" w:eastAsia="Arial Nova" w:hAnsi="Arial" w:cs="Arial"/>
          <w:sz w:val="22"/>
          <w:szCs w:val="22"/>
        </w:rPr>
        <w:t xml:space="preserve">Royal College of Psychiatrists (2022) </w:t>
      </w:r>
      <w:r w:rsidRPr="00CB4FF0">
        <w:rPr>
          <w:rFonts w:ascii="Arial" w:eastAsia="Arial Nova" w:hAnsi="Arial" w:cs="Arial"/>
          <w:i/>
          <w:iCs/>
          <w:sz w:val="22"/>
          <w:szCs w:val="22"/>
        </w:rPr>
        <w:t>Person-Centred Care in Mental Health Services</w:t>
      </w:r>
      <w:r w:rsidRPr="00CB4FF0">
        <w:rPr>
          <w:rFonts w:ascii="Arial" w:eastAsia="Arial Nova" w:hAnsi="Arial" w:cs="Arial"/>
          <w:sz w:val="22"/>
          <w:szCs w:val="22"/>
        </w:rPr>
        <w:t>. London: RCPsych.</w:t>
      </w:r>
    </w:p>
    <w:p w14:paraId="617EDBE6" w14:textId="60076689" w:rsidR="6CCE08EC" w:rsidRPr="00CB4FF0" w:rsidRDefault="54029395" w:rsidP="004F325B">
      <w:pPr>
        <w:spacing w:before="240" w:after="240" w:line="360" w:lineRule="auto"/>
        <w:rPr>
          <w:rFonts w:ascii="Arial" w:hAnsi="Arial" w:cs="Arial"/>
          <w:sz w:val="22"/>
          <w:szCs w:val="22"/>
        </w:rPr>
      </w:pPr>
      <w:r w:rsidRPr="00CB4FF0">
        <w:rPr>
          <w:rFonts w:ascii="Arial" w:eastAsia="Arial Nova" w:hAnsi="Arial" w:cs="Arial"/>
          <w:sz w:val="22"/>
          <w:szCs w:val="22"/>
        </w:rPr>
        <w:t xml:space="preserve">World Health Organization (2021) </w:t>
      </w:r>
      <w:r w:rsidRPr="00CB4FF0">
        <w:rPr>
          <w:rFonts w:ascii="Arial" w:eastAsia="Arial Nova" w:hAnsi="Arial" w:cs="Arial"/>
          <w:i/>
          <w:iCs/>
          <w:sz w:val="22"/>
          <w:szCs w:val="22"/>
        </w:rPr>
        <w:t>Guidance on Community Mental Health Services: Promoting Person-Centred and Rights-Based Approaches</w:t>
      </w:r>
      <w:r w:rsidRPr="00CB4FF0">
        <w:rPr>
          <w:rFonts w:ascii="Arial" w:eastAsia="Arial Nova" w:hAnsi="Arial" w:cs="Arial"/>
          <w:sz w:val="22"/>
          <w:szCs w:val="22"/>
        </w:rPr>
        <w:t>. Geneva: World Health Organization.</w:t>
      </w:r>
    </w:p>
    <w:p w14:paraId="73B27C6A" w14:textId="54C0CA5F" w:rsidR="6CCE08EC" w:rsidRPr="00CB4FF0" w:rsidRDefault="6CCE08EC" w:rsidP="004F325B">
      <w:pPr>
        <w:spacing w:before="240" w:after="240" w:line="360" w:lineRule="auto"/>
        <w:rPr>
          <w:rFonts w:ascii="Arial" w:eastAsia="Arial Nova" w:hAnsi="Arial" w:cs="Arial"/>
          <w:sz w:val="22"/>
          <w:szCs w:val="22"/>
        </w:rPr>
      </w:pPr>
    </w:p>
    <w:p w14:paraId="4EB6E618" w14:textId="65161863" w:rsidR="6CCE08EC" w:rsidRPr="00CB4FF0" w:rsidRDefault="6CCE08EC" w:rsidP="004F325B">
      <w:pPr>
        <w:spacing w:before="240" w:after="240" w:line="360" w:lineRule="auto"/>
        <w:rPr>
          <w:rFonts w:ascii="Arial" w:eastAsia="Arial Nova" w:hAnsi="Arial" w:cs="Arial"/>
          <w:sz w:val="22"/>
          <w:szCs w:val="22"/>
        </w:rPr>
      </w:pPr>
    </w:p>
    <w:p w14:paraId="0A949ED7" w14:textId="2071AB12" w:rsidR="6CCE08EC" w:rsidRPr="00CB4FF0" w:rsidRDefault="6CCE08EC" w:rsidP="004F325B">
      <w:pPr>
        <w:spacing w:before="240" w:after="240" w:line="360" w:lineRule="auto"/>
        <w:rPr>
          <w:rFonts w:ascii="Arial" w:eastAsia="Arial Nova" w:hAnsi="Arial" w:cs="Arial"/>
          <w:sz w:val="22"/>
          <w:szCs w:val="22"/>
        </w:rPr>
      </w:pPr>
    </w:p>
    <w:p w14:paraId="293228F1" w14:textId="6E9A6E04" w:rsidR="6CCE08EC" w:rsidRDefault="6CCE08EC" w:rsidP="49E7457E">
      <w:pPr>
        <w:spacing w:before="240" w:after="240"/>
        <w:rPr>
          <w:rFonts w:ascii="Arial Nova" w:eastAsia="Arial Nova" w:hAnsi="Arial Nova" w:cs="Arial Nova"/>
        </w:rPr>
      </w:pPr>
    </w:p>
    <w:p w14:paraId="1F08D43F" w14:textId="5AA58E55" w:rsidR="6CCE08EC" w:rsidRDefault="6CCE08EC" w:rsidP="49E7457E">
      <w:pPr>
        <w:spacing w:before="240" w:after="240"/>
        <w:rPr>
          <w:rFonts w:ascii="Arial Nova" w:eastAsia="Arial Nova" w:hAnsi="Arial Nova" w:cs="Arial Nova"/>
        </w:rPr>
      </w:pPr>
    </w:p>
    <w:p w14:paraId="6D0C65B2" w14:textId="6B95C889" w:rsidR="6CCE08EC" w:rsidRDefault="6CCE08EC" w:rsidP="49E7457E">
      <w:pPr>
        <w:spacing w:before="240" w:after="240"/>
        <w:rPr>
          <w:rFonts w:ascii="Arial Nova" w:eastAsia="Arial Nova" w:hAnsi="Arial Nova" w:cs="Arial Nova"/>
        </w:rPr>
      </w:pPr>
    </w:p>
    <w:p w14:paraId="0D6D0186" w14:textId="616A0A15" w:rsidR="6CCE08EC" w:rsidRDefault="6CCE08EC" w:rsidP="49E7457E">
      <w:pPr>
        <w:spacing w:before="240" w:after="240"/>
        <w:rPr>
          <w:rFonts w:ascii="Arial Nova" w:eastAsia="Arial Nova" w:hAnsi="Arial Nova" w:cs="Arial Nova"/>
        </w:rPr>
      </w:pPr>
    </w:p>
    <w:p w14:paraId="7B158A80" w14:textId="0830A0B1" w:rsidR="6CCE08EC" w:rsidRDefault="6CCE08EC" w:rsidP="49E7457E">
      <w:pPr>
        <w:spacing w:before="240" w:after="240"/>
        <w:rPr>
          <w:rFonts w:ascii="Arial Nova" w:eastAsia="Arial Nova" w:hAnsi="Arial Nova" w:cs="Arial Nova"/>
        </w:rPr>
      </w:pPr>
    </w:p>
    <w:p w14:paraId="0E89FF19" w14:textId="05C8D6EF" w:rsidR="6CCE08EC" w:rsidRDefault="6CCE08EC" w:rsidP="49E7457E">
      <w:pPr>
        <w:spacing w:before="240" w:after="240"/>
        <w:rPr>
          <w:rFonts w:ascii="Arial Nova" w:eastAsia="Arial Nova" w:hAnsi="Arial Nova" w:cs="Arial Nova"/>
        </w:rPr>
      </w:pPr>
    </w:p>
    <w:p w14:paraId="564BFEF2" w14:textId="66BD6C40" w:rsidR="6CCE08EC" w:rsidRDefault="6CCE08EC" w:rsidP="49E7457E">
      <w:pPr>
        <w:spacing w:before="240" w:after="240"/>
        <w:rPr>
          <w:rFonts w:ascii="Arial Nova" w:eastAsia="Arial Nova" w:hAnsi="Arial Nova" w:cs="Arial Nova"/>
        </w:rPr>
      </w:pPr>
    </w:p>
    <w:p w14:paraId="794BD01E" w14:textId="5C4D37B4" w:rsidR="6CCE08EC" w:rsidRDefault="6CCE08EC" w:rsidP="49E7457E">
      <w:pPr>
        <w:spacing w:before="240" w:after="240"/>
        <w:rPr>
          <w:rFonts w:ascii="Arial Nova" w:eastAsia="Arial Nova" w:hAnsi="Arial Nova" w:cs="Arial Nova"/>
        </w:rPr>
      </w:pPr>
    </w:p>
    <w:p w14:paraId="4B4ED5BC" w14:textId="5FEB5D7C" w:rsidR="6CCE08EC" w:rsidRDefault="6CCE08EC" w:rsidP="49E7457E">
      <w:pPr>
        <w:spacing w:before="240" w:after="240"/>
      </w:pPr>
    </w:p>
    <w:p w14:paraId="2774E151" w14:textId="2EA9219F" w:rsidR="6CCE08EC" w:rsidRDefault="6CCE08EC" w:rsidP="49E7457E">
      <w:pPr>
        <w:spacing w:before="240" w:after="240"/>
        <w:rPr>
          <w:rFonts w:ascii="Arial Nova" w:eastAsia="Arial Nova" w:hAnsi="Arial Nova" w:cs="Arial Nova"/>
        </w:rPr>
      </w:pPr>
    </w:p>
    <w:p w14:paraId="0637D830" w14:textId="46CBE1FB" w:rsidR="6CCE08EC" w:rsidRDefault="6CCE08EC" w:rsidP="49E7457E">
      <w:pPr>
        <w:spacing w:before="240" w:after="240"/>
        <w:rPr>
          <w:rFonts w:ascii="Arial Nova" w:eastAsia="Arial Nova" w:hAnsi="Arial Nova" w:cs="Arial Nova"/>
        </w:rPr>
      </w:pPr>
    </w:p>
    <w:p w14:paraId="3A4EF1CF" w14:textId="161D574A" w:rsidR="6CCE08EC" w:rsidRDefault="6CCE08EC" w:rsidP="49E7457E">
      <w:pPr>
        <w:spacing w:before="240" w:after="240"/>
        <w:rPr>
          <w:rFonts w:ascii="Arial Nova" w:eastAsia="Arial Nova" w:hAnsi="Arial Nova" w:cs="Arial Nova"/>
        </w:rPr>
      </w:pPr>
    </w:p>
    <w:p w14:paraId="5D1FADA3" w14:textId="66DAFD6C" w:rsidR="6CCE08EC" w:rsidRDefault="6CCE08EC" w:rsidP="49E7457E">
      <w:pPr>
        <w:spacing w:before="240" w:after="240"/>
        <w:rPr>
          <w:rFonts w:ascii="Arial Nova" w:eastAsia="Arial Nova" w:hAnsi="Arial Nova" w:cs="Arial Nova"/>
        </w:rPr>
      </w:pPr>
    </w:p>
    <w:p w14:paraId="23DDB634" w14:textId="2A527142" w:rsidR="6CCE08EC" w:rsidRDefault="6CCE08EC" w:rsidP="6CCE08EC"/>
    <w:p w14:paraId="2D58678A" w14:textId="35E7AF26" w:rsidR="6CCE08EC" w:rsidRDefault="6CCE08EC" w:rsidP="6CCE08EC">
      <w:pPr>
        <w:spacing w:before="240" w:after="240"/>
        <w:rPr>
          <w:rFonts w:ascii="Arial Nova" w:eastAsia="Arial Nova" w:hAnsi="Arial Nova" w:cs="Arial Nova"/>
        </w:rPr>
      </w:pPr>
    </w:p>
    <w:p w14:paraId="12B31C2A" w14:textId="10B36E0C" w:rsidR="6CCE08EC" w:rsidRDefault="6CCE08EC" w:rsidP="6CCE08EC">
      <w:pPr>
        <w:spacing w:before="240" w:after="240"/>
        <w:rPr>
          <w:rFonts w:ascii="Arial Nova" w:eastAsia="Arial Nova" w:hAnsi="Arial Nova" w:cs="Arial Nova"/>
        </w:rPr>
      </w:pPr>
    </w:p>
    <w:p w14:paraId="5080A9BD" w14:textId="4A50A3E3" w:rsidR="6CCE08EC" w:rsidRDefault="6CCE08EC"/>
    <w:p w14:paraId="73A0553F" w14:textId="20F92222" w:rsidR="6CCE08EC" w:rsidRDefault="6CCE08EC" w:rsidP="6CCE08EC">
      <w:pPr>
        <w:spacing w:before="240" w:after="240"/>
        <w:rPr>
          <w:rFonts w:ascii="Arial Nova" w:eastAsia="Arial Nova" w:hAnsi="Arial Nova" w:cs="Arial Nova"/>
        </w:rPr>
      </w:pPr>
    </w:p>
    <w:p w14:paraId="2E44C7D8" w14:textId="53DE1CA1" w:rsidR="6CCE08EC" w:rsidRDefault="6CCE08EC"/>
    <w:sectPr w:rsidR="6CCE08E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82CF1"/>
    <w:multiLevelType w:val="hybridMultilevel"/>
    <w:tmpl w:val="45043940"/>
    <w:lvl w:ilvl="0" w:tplc="A8AC79A6">
      <w:start w:val="1"/>
      <w:numFmt w:val="bullet"/>
      <w:lvlText w:val=""/>
      <w:lvlJc w:val="left"/>
      <w:pPr>
        <w:ind w:left="720" w:hanging="360"/>
      </w:pPr>
      <w:rPr>
        <w:rFonts w:ascii="Symbol" w:hAnsi="Symbol" w:hint="default"/>
      </w:rPr>
    </w:lvl>
    <w:lvl w:ilvl="1" w:tplc="393C3700">
      <w:start w:val="1"/>
      <w:numFmt w:val="bullet"/>
      <w:lvlText w:val="o"/>
      <w:lvlJc w:val="left"/>
      <w:pPr>
        <w:ind w:left="1440" w:hanging="360"/>
      </w:pPr>
      <w:rPr>
        <w:rFonts w:ascii="Courier New" w:hAnsi="Courier New" w:hint="default"/>
      </w:rPr>
    </w:lvl>
    <w:lvl w:ilvl="2" w:tplc="5AB64D08">
      <w:start w:val="1"/>
      <w:numFmt w:val="bullet"/>
      <w:lvlText w:val=""/>
      <w:lvlJc w:val="left"/>
      <w:pPr>
        <w:ind w:left="2160" w:hanging="360"/>
      </w:pPr>
      <w:rPr>
        <w:rFonts w:ascii="Wingdings" w:hAnsi="Wingdings" w:hint="default"/>
      </w:rPr>
    </w:lvl>
    <w:lvl w:ilvl="3" w:tplc="8034C2D0">
      <w:start w:val="1"/>
      <w:numFmt w:val="bullet"/>
      <w:lvlText w:val=""/>
      <w:lvlJc w:val="left"/>
      <w:pPr>
        <w:ind w:left="2880" w:hanging="360"/>
      </w:pPr>
      <w:rPr>
        <w:rFonts w:ascii="Symbol" w:hAnsi="Symbol" w:hint="default"/>
      </w:rPr>
    </w:lvl>
    <w:lvl w:ilvl="4" w:tplc="2B163950">
      <w:start w:val="1"/>
      <w:numFmt w:val="bullet"/>
      <w:lvlText w:val="o"/>
      <w:lvlJc w:val="left"/>
      <w:pPr>
        <w:ind w:left="3600" w:hanging="360"/>
      </w:pPr>
      <w:rPr>
        <w:rFonts w:ascii="Courier New" w:hAnsi="Courier New" w:hint="default"/>
      </w:rPr>
    </w:lvl>
    <w:lvl w:ilvl="5" w:tplc="F964120C">
      <w:start w:val="1"/>
      <w:numFmt w:val="bullet"/>
      <w:lvlText w:val=""/>
      <w:lvlJc w:val="left"/>
      <w:pPr>
        <w:ind w:left="4320" w:hanging="360"/>
      </w:pPr>
      <w:rPr>
        <w:rFonts w:ascii="Wingdings" w:hAnsi="Wingdings" w:hint="default"/>
      </w:rPr>
    </w:lvl>
    <w:lvl w:ilvl="6" w:tplc="C78252C4">
      <w:start w:val="1"/>
      <w:numFmt w:val="bullet"/>
      <w:lvlText w:val=""/>
      <w:lvlJc w:val="left"/>
      <w:pPr>
        <w:ind w:left="5040" w:hanging="360"/>
      </w:pPr>
      <w:rPr>
        <w:rFonts w:ascii="Symbol" w:hAnsi="Symbol" w:hint="default"/>
      </w:rPr>
    </w:lvl>
    <w:lvl w:ilvl="7" w:tplc="8D02F900">
      <w:start w:val="1"/>
      <w:numFmt w:val="bullet"/>
      <w:lvlText w:val="o"/>
      <w:lvlJc w:val="left"/>
      <w:pPr>
        <w:ind w:left="5760" w:hanging="360"/>
      </w:pPr>
      <w:rPr>
        <w:rFonts w:ascii="Courier New" w:hAnsi="Courier New" w:hint="default"/>
      </w:rPr>
    </w:lvl>
    <w:lvl w:ilvl="8" w:tplc="3DF0ADD8">
      <w:start w:val="1"/>
      <w:numFmt w:val="bullet"/>
      <w:lvlText w:val=""/>
      <w:lvlJc w:val="left"/>
      <w:pPr>
        <w:ind w:left="6480" w:hanging="360"/>
      </w:pPr>
      <w:rPr>
        <w:rFonts w:ascii="Wingdings" w:hAnsi="Wingdings" w:hint="default"/>
      </w:rPr>
    </w:lvl>
  </w:abstractNum>
  <w:abstractNum w:abstractNumId="1" w15:restartNumberingAfterBreak="0">
    <w:nsid w:val="2180BC56"/>
    <w:multiLevelType w:val="hybridMultilevel"/>
    <w:tmpl w:val="D4987E42"/>
    <w:lvl w:ilvl="0" w:tplc="36663478">
      <w:start w:val="1"/>
      <w:numFmt w:val="bullet"/>
      <w:lvlText w:val=""/>
      <w:lvlJc w:val="left"/>
      <w:pPr>
        <w:ind w:left="720" w:hanging="360"/>
      </w:pPr>
      <w:rPr>
        <w:rFonts w:ascii="Symbol" w:hAnsi="Symbol" w:hint="default"/>
      </w:rPr>
    </w:lvl>
    <w:lvl w:ilvl="1" w:tplc="5DE47FC0">
      <w:start w:val="1"/>
      <w:numFmt w:val="bullet"/>
      <w:lvlText w:val="o"/>
      <w:lvlJc w:val="left"/>
      <w:pPr>
        <w:ind w:left="1440" w:hanging="360"/>
      </w:pPr>
      <w:rPr>
        <w:rFonts w:ascii="Courier New" w:hAnsi="Courier New" w:hint="default"/>
      </w:rPr>
    </w:lvl>
    <w:lvl w:ilvl="2" w:tplc="62B42B86">
      <w:start w:val="1"/>
      <w:numFmt w:val="bullet"/>
      <w:lvlText w:val=""/>
      <w:lvlJc w:val="left"/>
      <w:pPr>
        <w:ind w:left="2160" w:hanging="360"/>
      </w:pPr>
      <w:rPr>
        <w:rFonts w:ascii="Wingdings" w:hAnsi="Wingdings" w:hint="default"/>
      </w:rPr>
    </w:lvl>
    <w:lvl w:ilvl="3" w:tplc="3782FECC">
      <w:start w:val="1"/>
      <w:numFmt w:val="bullet"/>
      <w:lvlText w:val=""/>
      <w:lvlJc w:val="left"/>
      <w:pPr>
        <w:ind w:left="2880" w:hanging="360"/>
      </w:pPr>
      <w:rPr>
        <w:rFonts w:ascii="Symbol" w:hAnsi="Symbol" w:hint="default"/>
      </w:rPr>
    </w:lvl>
    <w:lvl w:ilvl="4" w:tplc="7DD85D14">
      <w:start w:val="1"/>
      <w:numFmt w:val="bullet"/>
      <w:lvlText w:val="o"/>
      <w:lvlJc w:val="left"/>
      <w:pPr>
        <w:ind w:left="3600" w:hanging="360"/>
      </w:pPr>
      <w:rPr>
        <w:rFonts w:ascii="Courier New" w:hAnsi="Courier New" w:hint="default"/>
      </w:rPr>
    </w:lvl>
    <w:lvl w:ilvl="5" w:tplc="52284660">
      <w:start w:val="1"/>
      <w:numFmt w:val="bullet"/>
      <w:lvlText w:val=""/>
      <w:lvlJc w:val="left"/>
      <w:pPr>
        <w:ind w:left="4320" w:hanging="360"/>
      </w:pPr>
      <w:rPr>
        <w:rFonts w:ascii="Wingdings" w:hAnsi="Wingdings" w:hint="default"/>
      </w:rPr>
    </w:lvl>
    <w:lvl w:ilvl="6" w:tplc="46349EFA">
      <w:start w:val="1"/>
      <w:numFmt w:val="bullet"/>
      <w:lvlText w:val=""/>
      <w:lvlJc w:val="left"/>
      <w:pPr>
        <w:ind w:left="5040" w:hanging="360"/>
      </w:pPr>
      <w:rPr>
        <w:rFonts w:ascii="Symbol" w:hAnsi="Symbol" w:hint="default"/>
      </w:rPr>
    </w:lvl>
    <w:lvl w:ilvl="7" w:tplc="5A224926">
      <w:start w:val="1"/>
      <w:numFmt w:val="bullet"/>
      <w:lvlText w:val="o"/>
      <w:lvlJc w:val="left"/>
      <w:pPr>
        <w:ind w:left="5760" w:hanging="360"/>
      </w:pPr>
      <w:rPr>
        <w:rFonts w:ascii="Courier New" w:hAnsi="Courier New" w:hint="default"/>
      </w:rPr>
    </w:lvl>
    <w:lvl w:ilvl="8" w:tplc="C5862730">
      <w:start w:val="1"/>
      <w:numFmt w:val="bullet"/>
      <w:lvlText w:val=""/>
      <w:lvlJc w:val="left"/>
      <w:pPr>
        <w:ind w:left="6480" w:hanging="360"/>
      </w:pPr>
      <w:rPr>
        <w:rFonts w:ascii="Wingdings" w:hAnsi="Wingdings" w:hint="default"/>
      </w:rPr>
    </w:lvl>
  </w:abstractNum>
  <w:abstractNum w:abstractNumId="2" w15:restartNumberingAfterBreak="0">
    <w:nsid w:val="32765A77"/>
    <w:multiLevelType w:val="hybridMultilevel"/>
    <w:tmpl w:val="27EC0310"/>
    <w:lvl w:ilvl="0" w:tplc="DA8A615C">
      <w:start w:val="1"/>
      <w:numFmt w:val="bullet"/>
      <w:lvlText w:val=""/>
      <w:lvlJc w:val="left"/>
      <w:pPr>
        <w:ind w:left="720" w:hanging="360"/>
      </w:pPr>
      <w:rPr>
        <w:rFonts w:ascii="Symbol" w:hAnsi="Symbol" w:hint="default"/>
      </w:rPr>
    </w:lvl>
    <w:lvl w:ilvl="1" w:tplc="96A027D2">
      <w:start w:val="1"/>
      <w:numFmt w:val="bullet"/>
      <w:lvlText w:val="o"/>
      <w:lvlJc w:val="left"/>
      <w:pPr>
        <w:ind w:left="1440" w:hanging="360"/>
      </w:pPr>
      <w:rPr>
        <w:rFonts w:ascii="Courier New" w:hAnsi="Courier New" w:hint="default"/>
      </w:rPr>
    </w:lvl>
    <w:lvl w:ilvl="2" w:tplc="24145626">
      <w:start w:val="1"/>
      <w:numFmt w:val="bullet"/>
      <w:lvlText w:val=""/>
      <w:lvlJc w:val="left"/>
      <w:pPr>
        <w:ind w:left="2160" w:hanging="360"/>
      </w:pPr>
      <w:rPr>
        <w:rFonts w:ascii="Wingdings" w:hAnsi="Wingdings" w:hint="default"/>
      </w:rPr>
    </w:lvl>
    <w:lvl w:ilvl="3" w:tplc="50DEEDF0">
      <w:start w:val="1"/>
      <w:numFmt w:val="bullet"/>
      <w:lvlText w:val=""/>
      <w:lvlJc w:val="left"/>
      <w:pPr>
        <w:ind w:left="2880" w:hanging="360"/>
      </w:pPr>
      <w:rPr>
        <w:rFonts w:ascii="Symbol" w:hAnsi="Symbol" w:hint="default"/>
      </w:rPr>
    </w:lvl>
    <w:lvl w:ilvl="4" w:tplc="C394BBF6">
      <w:start w:val="1"/>
      <w:numFmt w:val="bullet"/>
      <w:lvlText w:val="o"/>
      <w:lvlJc w:val="left"/>
      <w:pPr>
        <w:ind w:left="3600" w:hanging="360"/>
      </w:pPr>
      <w:rPr>
        <w:rFonts w:ascii="Courier New" w:hAnsi="Courier New" w:hint="default"/>
      </w:rPr>
    </w:lvl>
    <w:lvl w:ilvl="5" w:tplc="5C64EAA2">
      <w:start w:val="1"/>
      <w:numFmt w:val="bullet"/>
      <w:lvlText w:val=""/>
      <w:lvlJc w:val="left"/>
      <w:pPr>
        <w:ind w:left="4320" w:hanging="360"/>
      </w:pPr>
      <w:rPr>
        <w:rFonts w:ascii="Wingdings" w:hAnsi="Wingdings" w:hint="default"/>
      </w:rPr>
    </w:lvl>
    <w:lvl w:ilvl="6" w:tplc="D0D86A8E">
      <w:start w:val="1"/>
      <w:numFmt w:val="bullet"/>
      <w:lvlText w:val=""/>
      <w:lvlJc w:val="left"/>
      <w:pPr>
        <w:ind w:left="5040" w:hanging="360"/>
      </w:pPr>
      <w:rPr>
        <w:rFonts w:ascii="Symbol" w:hAnsi="Symbol" w:hint="default"/>
      </w:rPr>
    </w:lvl>
    <w:lvl w:ilvl="7" w:tplc="61F8E4FC">
      <w:start w:val="1"/>
      <w:numFmt w:val="bullet"/>
      <w:lvlText w:val="o"/>
      <w:lvlJc w:val="left"/>
      <w:pPr>
        <w:ind w:left="5760" w:hanging="360"/>
      </w:pPr>
      <w:rPr>
        <w:rFonts w:ascii="Courier New" w:hAnsi="Courier New" w:hint="default"/>
      </w:rPr>
    </w:lvl>
    <w:lvl w:ilvl="8" w:tplc="4888E04E">
      <w:start w:val="1"/>
      <w:numFmt w:val="bullet"/>
      <w:lvlText w:val=""/>
      <w:lvlJc w:val="left"/>
      <w:pPr>
        <w:ind w:left="6480" w:hanging="360"/>
      </w:pPr>
      <w:rPr>
        <w:rFonts w:ascii="Wingdings" w:hAnsi="Wingdings" w:hint="default"/>
      </w:rPr>
    </w:lvl>
  </w:abstractNum>
  <w:num w:numId="1" w16cid:durableId="2088191688">
    <w:abstractNumId w:val="2"/>
  </w:num>
  <w:num w:numId="2" w16cid:durableId="1375542550">
    <w:abstractNumId w:val="1"/>
  </w:num>
  <w:num w:numId="3" w16cid:durableId="10425559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7376851"/>
    <w:rsid w:val="004F325B"/>
    <w:rsid w:val="0058683C"/>
    <w:rsid w:val="00CB4FF0"/>
    <w:rsid w:val="00EB3D3C"/>
    <w:rsid w:val="01038549"/>
    <w:rsid w:val="04BECDFF"/>
    <w:rsid w:val="077192AB"/>
    <w:rsid w:val="0868D9BC"/>
    <w:rsid w:val="08B7CE55"/>
    <w:rsid w:val="0B1B9FBE"/>
    <w:rsid w:val="0BE4CAAD"/>
    <w:rsid w:val="0BE9A0F3"/>
    <w:rsid w:val="0C727908"/>
    <w:rsid w:val="0D9EBADD"/>
    <w:rsid w:val="0F34F06A"/>
    <w:rsid w:val="0F822D11"/>
    <w:rsid w:val="103892B6"/>
    <w:rsid w:val="103B58E6"/>
    <w:rsid w:val="1388729B"/>
    <w:rsid w:val="1422CCE1"/>
    <w:rsid w:val="152DF849"/>
    <w:rsid w:val="1726845C"/>
    <w:rsid w:val="179E635A"/>
    <w:rsid w:val="1832691C"/>
    <w:rsid w:val="19C4BD6C"/>
    <w:rsid w:val="1A5BA88F"/>
    <w:rsid w:val="1AA2E593"/>
    <w:rsid w:val="1B18CDD4"/>
    <w:rsid w:val="1B67AFBD"/>
    <w:rsid w:val="1C48F745"/>
    <w:rsid w:val="1EAA4C7E"/>
    <w:rsid w:val="1FEBD62C"/>
    <w:rsid w:val="21151B95"/>
    <w:rsid w:val="21650986"/>
    <w:rsid w:val="22669CBD"/>
    <w:rsid w:val="25F638AA"/>
    <w:rsid w:val="260CCB41"/>
    <w:rsid w:val="27EA8928"/>
    <w:rsid w:val="280D9BB3"/>
    <w:rsid w:val="29C2DA65"/>
    <w:rsid w:val="29E183E9"/>
    <w:rsid w:val="2CA8E7E7"/>
    <w:rsid w:val="2DE3F900"/>
    <w:rsid w:val="37376851"/>
    <w:rsid w:val="37F86D53"/>
    <w:rsid w:val="38C9B46D"/>
    <w:rsid w:val="39BB198E"/>
    <w:rsid w:val="3BCAC37B"/>
    <w:rsid w:val="3F411DB0"/>
    <w:rsid w:val="3F8FC29D"/>
    <w:rsid w:val="40C1A929"/>
    <w:rsid w:val="411B3D15"/>
    <w:rsid w:val="43C3A4F1"/>
    <w:rsid w:val="44074289"/>
    <w:rsid w:val="46244F40"/>
    <w:rsid w:val="469975E1"/>
    <w:rsid w:val="476FD979"/>
    <w:rsid w:val="477AED96"/>
    <w:rsid w:val="49B4C329"/>
    <w:rsid w:val="49E7457E"/>
    <w:rsid w:val="4A5F0735"/>
    <w:rsid w:val="4B311925"/>
    <w:rsid w:val="4B5BD8ED"/>
    <w:rsid w:val="4B87FF38"/>
    <w:rsid w:val="4D17E4A0"/>
    <w:rsid w:val="4FD697F4"/>
    <w:rsid w:val="50592CBB"/>
    <w:rsid w:val="51AC4BCC"/>
    <w:rsid w:val="54029395"/>
    <w:rsid w:val="54921221"/>
    <w:rsid w:val="54A24254"/>
    <w:rsid w:val="550142AB"/>
    <w:rsid w:val="59C97E44"/>
    <w:rsid w:val="5C7D5498"/>
    <w:rsid w:val="5D094998"/>
    <w:rsid w:val="5D57B61C"/>
    <w:rsid w:val="5D7380CA"/>
    <w:rsid w:val="5D802A73"/>
    <w:rsid w:val="5E453369"/>
    <w:rsid w:val="6168F565"/>
    <w:rsid w:val="61876D32"/>
    <w:rsid w:val="61AC73A4"/>
    <w:rsid w:val="61CEAE68"/>
    <w:rsid w:val="62486227"/>
    <w:rsid w:val="625F4408"/>
    <w:rsid w:val="63098CB7"/>
    <w:rsid w:val="6420F7D1"/>
    <w:rsid w:val="6614C21B"/>
    <w:rsid w:val="675EF849"/>
    <w:rsid w:val="6805E6CE"/>
    <w:rsid w:val="68142028"/>
    <w:rsid w:val="69280BBE"/>
    <w:rsid w:val="699B44EC"/>
    <w:rsid w:val="6B0072EF"/>
    <w:rsid w:val="6B82B778"/>
    <w:rsid w:val="6C152FDE"/>
    <w:rsid w:val="6CBD119C"/>
    <w:rsid w:val="6CCE08EC"/>
    <w:rsid w:val="6EFC629A"/>
    <w:rsid w:val="6F807371"/>
    <w:rsid w:val="6FC5FC4F"/>
    <w:rsid w:val="70F0C2DB"/>
    <w:rsid w:val="720894CC"/>
    <w:rsid w:val="7234A503"/>
    <w:rsid w:val="73591A4C"/>
    <w:rsid w:val="73888AEC"/>
    <w:rsid w:val="74677E9E"/>
    <w:rsid w:val="7658E9BC"/>
    <w:rsid w:val="775BEDC6"/>
    <w:rsid w:val="7762DB25"/>
    <w:rsid w:val="789F8ABE"/>
    <w:rsid w:val="79B49FF9"/>
    <w:rsid w:val="7ABF6EC6"/>
    <w:rsid w:val="7AF755A5"/>
    <w:rsid w:val="7AFFCFFB"/>
    <w:rsid w:val="7B4EF8F0"/>
    <w:rsid w:val="7CCF98A9"/>
    <w:rsid w:val="7D4B9629"/>
    <w:rsid w:val="7D7207B0"/>
    <w:rsid w:val="7E433B40"/>
    <w:rsid w:val="7E46D24A"/>
    <w:rsid w:val="7F7E5622"/>
    <w:rsid w:val="7FD38E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13E76"/>
  <w15:chartTrackingRefBased/>
  <w15:docId w15:val="{C129A090-2D32-41BE-8F56-F32335235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6CCE08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CCE08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6CCE08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6CCE08EC"/>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6CCE08EC"/>
    <w:pPr>
      <w:ind w:left="720"/>
      <w:contextualSpacing/>
    </w:pPr>
  </w:style>
  <w:style w:type="character" w:styleId="Hyperlink">
    <w:name w:val="Hyperlink"/>
    <w:basedOn w:val="DefaultParagraphFont"/>
    <w:uiPriority w:val="99"/>
    <w:unhideWhenUsed/>
    <w:rsid w:val="6CCE08E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2670</Words>
  <Characters>15221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Madalitso Majawa (2432520)</dc:creator>
  <cp:keywords/>
  <dc:description/>
  <cp:lastModifiedBy>Madalitso Majawa (2432520)</cp:lastModifiedBy>
  <cp:revision>5</cp:revision>
  <dcterms:created xsi:type="dcterms:W3CDTF">2026-07-20T13:44:00Z</dcterms:created>
  <dcterms:modified xsi:type="dcterms:W3CDTF">2026-07-22T21:23:00Z</dcterms:modified>
</cp:coreProperties>
</file>