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118CB437" w14:textId="594301D7" w:rsidR="006419C3" w:rsidRDefault="00876512" w:rsidP="00876512">
      <w:pPr>
        <w:pStyle w:val="AssignHeader"/>
      </w:pPr>
      <w:bookmarkStart w:id="0" w:name="_Hlk33355733"/>
      <w:r w:rsidRPr="00876512">
        <w:rPr>
          <w:iCs/>
        </w:rPr>
        <w:t>How Can We Develop Pupils’ Views on The Effectiveness of English Extension Tasks for Those of a Higher Ability?</w:t>
      </w:r>
    </w:p>
    <w:bookmarkEnd w:id="0"/>
    <w:p w14:paraId="11419B84" w14:textId="2F776DCA" w:rsidR="00D83A40" w:rsidRDefault="00D83A40" w:rsidP="00CD1240">
      <w:pPr>
        <w:pStyle w:val="AssignSubHeader"/>
      </w:pPr>
    </w:p>
    <w:p w14:paraId="13BBB0E2" w14:textId="2088A8D8" w:rsidR="00755E37" w:rsidRDefault="00755E37" w:rsidP="00755E37">
      <w:pPr>
        <w:pStyle w:val="AssignBody"/>
      </w:pPr>
    </w:p>
    <w:p w14:paraId="438C5A8C" w14:textId="5E3BFEB1" w:rsidR="00755E37" w:rsidRDefault="00755E37" w:rsidP="00755E37">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1" w:name="cysill"/>
            <w:bookmarkEnd w:id="1"/>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18B7EE5A" w:rsidR="00755E37" w:rsidRDefault="001F3E53">
            <w:pPr>
              <w:pStyle w:val="AssignBody"/>
            </w:pPr>
            <w:r w:rsidRPr="001F3E53">
              <w:t>Proofread your work to avoid grammatical errors and inaccuracies with punctuation and spelling.</w:t>
            </w:r>
          </w:p>
        </w:tc>
        <w:tc>
          <w:tcPr>
            <w:tcW w:w="3647" w:type="dxa"/>
            <w:tcBorders>
              <w:top w:val="single" w:sz="4" w:space="0" w:color="auto"/>
              <w:left w:val="single" w:sz="4" w:space="0" w:color="auto"/>
              <w:bottom w:val="single" w:sz="4" w:space="0" w:color="auto"/>
              <w:right w:val="single" w:sz="4" w:space="0" w:color="auto"/>
            </w:tcBorders>
          </w:tcPr>
          <w:p w14:paraId="342A62A2" w14:textId="796B3938" w:rsidR="00755E37" w:rsidRDefault="004E308E">
            <w:pPr>
              <w:pStyle w:val="AssignBody"/>
            </w:pPr>
            <w:r>
              <w:t xml:space="preserve">Proofread my assignment twice. </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2B3327D9" w:rsidR="00755E37" w:rsidRDefault="001F3E53">
            <w:pPr>
              <w:pStyle w:val="AssignBody"/>
            </w:pPr>
            <w:r w:rsidRPr="001F3E53">
              <w:t>Ensure secure engagement and understanding of the sources that you refer to so that your knowledge and understanding is evident throughout.</w:t>
            </w:r>
          </w:p>
        </w:tc>
        <w:tc>
          <w:tcPr>
            <w:tcW w:w="3647" w:type="dxa"/>
            <w:tcBorders>
              <w:top w:val="single" w:sz="4" w:space="0" w:color="auto"/>
              <w:left w:val="single" w:sz="4" w:space="0" w:color="auto"/>
              <w:bottom w:val="single" w:sz="4" w:space="0" w:color="auto"/>
              <w:right w:val="single" w:sz="4" w:space="0" w:color="auto"/>
            </w:tcBorders>
          </w:tcPr>
          <w:p w14:paraId="0E186AA1" w14:textId="14A3FF50" w:rsidR="00755E37" w:rsidRDefault="004E308E">
            <w:pPr>
              <w:pStyle w:val="AssignBody"/>
            </w:pPr>
            <w:r>
              <w:t xml:space="preserve">I have been thorough with my reading and explanations of the literature throughout. </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65F17C2D" w:rsidR="00755E37" w:rsidRDefault="001F3E53">
            <w:pPr>
              <w:pStyle w:val="AssignBody"/>
            </w:pPr>
            <w:r w:rsidRPr="001F3E53">
              <w:t>Try to critically engage more with the literature.</w:t>
            </w:r>
          </w:p>
        </w:tc>
        <w:tc>
          <w:tcPr>
            <w:tcW w:w="3647" w:type="dxa"/>
            <w:tcBorders>
              <w:top w:val="single" w:sz="4" w:space="0" w:color="auto"/>
              <w:left w:val="single" w:sz="4" w:space="0" w:color="auto"/>
              <w:bottom w:val="single" w:sz="4" w:space="0" w:color="auto"/>
              <w:right w:val="single" w:sz="4" w:space="0" w:color="auto"/>
            </w:tcBorders>
          </w:tcPr>
          <w:p w14:paraId="38E46D89" w14:textId="1A364443" w:rsidR="00755E37" w:rsidRDefault="004E308E">
            <w:pPr>
              <w:pStyle w:val="AssignBody"/>
            </w:pPr>
            <w:r>
              <w:t xml:space="preserve">I have tried to write critically about a range of the literature and sources throughout the assignment. </w:t>
            </w: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6907C98" w14:textId="0CB9B64B" w:rsidR="00755E37" w:rsidRDefault="00755E37" w:rsidP="00755E37">
      <w:pPr>
        <w:pStyle w:val="AssignBody"/>
      </w:pPr>
    </w:p>
    <w:p w14:paraId="4B9318D6" w14:textId="728664EB" w:rsidR="00755E37" w:rsidRDefault="00755E37" w:rsidP="00755E37">
      <w:pPr>
        <w:pStyle w:val="AssignBody"/>
      </w:pPr>
    </w:p>
    <w:p w14:paraId="28DA88CE" w14:textId="77777777" w:rsidR="004E308E" w:rsidRPr="00755E37" w:rsidRDefault="004E308E" w:rsidP="00755E37">
      <w:pPr>
        <w:pStyle w:val="AssignBody"/>
      </w:pPr>
    </w:p>
    <w:p w14:paraId="13187360" w14:textId="7A626A98" w:rsidR="00CD1240" w:rsidRDefault="004E308E" w:rsidP="00CD1240">
      <w:pPr>
        <w:pStyle w:val="AssignSubHeader"/>
      </w:pPr>
      <w:r w:rsidRPr="004E308E">
        <w:lastRenderedPageBreak/>
        <w:t>Design, conduct and critically evaluate a close-to-practice research project (lesson study) focusing on the model of the transformative teacher on developing practice that has a positive impact on the learner.</w:t>
      </w:r>
      <w:r w:rsidR="005766DB">
        <w:t xml:space="preserve"> Word count: 49</w:t>
      </w:r>
      <w:r w:rsidR="00CD556E">
        <w:t>75</w:t>
      </w:r>
    </w:p>
    <w:p w14:paraId="36DF196B" w14:textId="77777777" w:rsidR="00CD556E" w:rsidRPr="00CD556E" w:rsidRDefault="00CD556E" w:rsidP="00CD556E">
      <w:pPr>
        <w:pStyle w:val="AssignBody"/>
      </w:pPr>
    </w:p>
    <w:p w14:paraId="016A07F2" w14:textId="2DE4D2F9" w:rsidR="00CD1240" w:rsidRDefault="005766DB" w:rsidP="00CD1240">
      <w:pPr>
        <w:pStyle w:val="AssignBody"/>
      </w:pPr>
      <w:r>
        <w:t xml:space="preserve">Research informed practice is becoming an ever more prevalent requirement for teachers in Wales. In the revised Professional Standards for Teaching and Leadership, the Welsh Government (2018) say that all teachers should engage with small scale research in order to inform and develop their practice. This is backed up </w:t>
      </w:r>
      <w:r w:rsidRPr="005766DB">
        <w:rPr>
          <w:rFonts w:cs="Arial"/>
        </w:rPr>
        <w:t>by Donald</w:t>
      </w:r>
      <w:bookmarkStart w:id="2" w:name="_GoBack"/>
      <w:bookmarkEnd w:id="2"/>
      <w:r w:rsidRPr="005766DB">
        <w:rPr>
          <w:rFonts w:cs="Arial"/>
        </w:rPr>
        <w:t>son (2015: 71),</w:t>
      </w:r>
      <w:r>
        <w:rPr>
          <w:rFonts w:ascii="Calibri" w:hAnsi="Calibri" w:cs="Calibri"/>
        </w:rPr>
        <w:t xml:space="preserve"> </w:t>
      </w:r>
      <w:r w:rsidRPr="005766DB">
        <w:rPr>
          <w:rFonts w:cs="Arial"/>
        </w:rPr>
        <w:t>who states that sound</w:t>
      </w:r>
      <w:r w:rsidRPr="00050FCB">
        <w:rPr>
          <w:rFonts w:ascii="Calibri" w:hAnsi="Calibri" w:cs="Calibri"/>
        </w:rPr>
        <w:t xml:space="preserve"> </w:t>
      </w:r>
      <w:r w:rsidRPr="00F931D4">
        <w:t>pedagogy</w:t>
      </w:r>
    </w:p>
    <w:p w14:paraId="7648F229" w14:textId="29376D8E" w:rsidR="00E611D9" w:rsidRDefault="005766DB" w:rsidP="00E611D9">
      <w:pPr>
        <w:pStyle w:val="AssignQuote"/>
      </w:pPr>
      <w:r w:rsidRPr="005766DB">
        <w:rPr>
          <w:iCs/>
        </w:rPr>
        <w:t>“…requires high-quality teachers with a sound understanding of the ‘why’ and ‘how’ of teaching as well as the ‘what’.”</w:t>
      </w:r>
    </w:p>
    <w:p w14:paraId="504DB293" w14:textId="4CF2F986" w:rsidR="005766DB" w:rsidRDefault="005766DB" w:rsidP="005766DB">
      <w:pPr>
        <w:pStyle w:val="AssignBody"/>
      </w:pPr>
      <w:r w:rsidRPr="005766DB">
        <w:t xml:space="preserve">Conducting research as a teacher informs your practice, allows you to develop your knowledge, confirm or change a hypothesis, and adds pupils’ opinions to all of this. </w:t>
      </w:r>
    </w:p>
    <w:p w14:paraId="205B5C7A" w14:textId="77777777" w:rsidR="00BB6CAF" w:rsidRPr="005766DB" w:rsidRDefault="00BB6CAF" w:rsidP="005766DB">
      <w:pPr>
        <w:pStyle w:val="AssignBody"/>
      </w:pPr>
    </w:p>
    <w:p w14:paraId="4FC885EC" w14:textId="1247B28B" w:rsidR="005766DB" w:rsidRDefault="005766DB" w:rsidP="005766DB">
      <w:pPr>
        <w:pStyle w:val="AssignBody"/>
        <w:rPr>
          <w:i/>
          <w:iCs/>
        </w:rPr>
      </w:pPr>
      <w:r w:rsidRPr="005766DB">
        <w:t xml:space="preserve">The issue that interested me was stretching high ability learners. In my first placement school, I had received a piece of feedback from my mentor on a top set Year 8 class I was teaching. I was told that I needed to look at my starter activities and if they were really stretching them enough, and to try and add extension tasks that improve the main body of work for the students who finish first. Within my placement school, one of their whole-school targets was to stretch and challenge their higher ability students with Global Grades of A’s and B’s. Upon discussions with my class in university, I discovered that another student teacher had received similar feedback for her top set Year 8 class, so we decided that this would become the focus for our research. Our research question was </w:t>
      </w:r>
      <w:r w:rsidRPr="005766DB">
        <w:rPr>
          <w:i/>
          <w:iCs/>
        </w:rPr>
        <w:t xml:space="preserve">How Can We Develop Pupils’ Views on The Effectiveness of English Extension Tasks for Those of a Higher Ability? </w:t>
      </w:r>
    </w:p>
    <w:p w14:paraId="63993A5D" w14:textId="77777777" w:rsidR="005766DB" w:rsidRPr="005766DB" w:rsidRDefault="005766DB" w:rsidP="005766DB">
      <w:pPr>
        <w:pStyle w:val="AssignBody"/>
      </w:pPr>
    </w:p>
    <w:p w14:paraId="5AC68460" w14:textId="77777777" w:rsidR="005766DB" w:rsidRPr="005766DB" w:rsidRDefault="005766DB" w:rsidP="005766DB">
      <w:pPr>
        <w:pStyle w:val="AssignBody"/>
      </w:pPr>
      <w:r w:rsidRPr="005766DB">
        <w:t xml:space="preserve">ESTYN (2018) define “more able and talented” students to be those who are more able across the curriculum and those who show a certain aptitude in a specific area. Diane Montgomery (2001) says that if the curriculum does not cognitively challenge our higher ability learners, then they will severely under-function. She states that differentiation for the more able and talented learners can increase their problem solving and creativity skills and give learners more autonomy. However, she suggests that this may not be currently or consistently the case. ESTYN’s previous report (2012) also alluded to this, stating that few schools in Wales were effectively providing for their MAT learners. </w:t>
      </w:r>
    </w:p>
    <w:p w14:paraId="0CD14852" w14:textId="77777777" w:rsidR="005766DB" w:rsidRPr="005766DB" w:rsidRDefault="005766DB" w:rsidP="005766DB">
      <w:pPr>
        <w:pStyle w:val="AssignBody"/>
        <w:rPr>
          <w:i/>
          <w:iCs/>
        </w:rPr>
      </w:pPr>
      <w:r w:rsidRPr="005766DB">
        <w:t xml:space="preserve">The current curriculum has received criticism from teachers for being a “one-size fits all” approach, and differentiation is often up to you as the class teacher to use your knowledge </w:t>
      </w:r>
      <w:r w:rsidRPr="005766DB">
        <w:lastRenderedPageBreak/>
        <w:t>of the students, their ability and the lesson content. When it comes to more able and talented learners, there seems to be a debate on what the role of the teacher should be with regards to their learning. With the new curriculum wanting to promote more independent learning, teachers would think that their “top set” classes would be the simplest to tackle that with. However, trying to challenge more able learners whilst still maintaining a degree of differentiation within that class can be more of a challenge than meets the eye, as I found out during this research project. When looking at extension tasks in a higher ability class, Montgomery (2001) suggests that the tasks should be directly related to the main learning activity and/or text. This is backed up by ESTYN (2018:6) who state that to effectively challenge your MAT learners, you should provide</w:t>
      </w:r>
      <w:r w:rsidRPr="005766DB">
        <w:rPr>
          <w:i/>
          <w:iCs/>
        </w:rPr>
        <w:t xml:space="preserve">: </w:t>
      </w:r>
    </w:p>
    <w:p w14:paraId="53D0256A" w14:textId="77777777" w:rsidR="005766DB" w:rsidRPr="005766DB" w:rsidRDefault="005766DB" w:rsidP="005766DB">
      <w:pPr>
        <w:pStyle w:val="AssignQuote"/>
      </w:pPr>
      <w:r w:rsidRPr="005766DB">
        <w:t xml:space="preserve"> “Stimulating and challenging learning experiences that promote pupils’ independence, problem-solving, decision-making, thinking and collaboration effectively …Flexible use of tasks that enable more able and talented pupils to deepen their knowledge and consolidate and extend their skills at an appropriate level”. </w:t>
      </w:r>
    </w:p>
    <w:p w14:paraId="7338331D" w14:textId="6A4FA236" w:rsidR="005766DB" w:rsidRPr="005766DB" w:rsidRDefault="005766DB" w:rsidP="005766DB">
      <w:pPr>
        <w:pStyle w:val="AssignBody"/>
      </w:pPr>
      <w:r w:rsidRPr="005766DB">
        <w:t xml:space="preserve">However, ESTYN (2018) also suggest that MAT learners still need the structured support. This links to </w:t>
      </w:r>
      <w:proofErr w:type="spellStart"/>
      <w:r w:rsidRPr="005766DB">
        <w:t>Blagg</w:t>
      </w:r>
      <w:proofErr w:type="spellEnd"/>
      <w:r w:rsidRPr="005766DB">
        <w:t xml:space="preserve"> and Lewis (1993) and their work on the Good Shepherd Theory. This theory suggests that the transfer of knowledge can only occur if it is aided by the teacher, when they push learners about how the learning is useful and relevant and when and where they might use it- the learning sticks with the learner. They state that when the teacher focuses on transfer as much as the initial learning, successful transfer of knowledge is more likely to take place, no matter the ability of your learners, but perhaps even more so with those of a higher ability. </w:t>
      </w:r>
    </w:p>
    <w:p w14:paraId="4E0DD70C" w14:textId="77777777" w:rsidR="005766DB" w:rsidRPr="005766DB" w:rsidRDefault="005766DB" w:rsidP="005766DB">
      <w:pPr>
        <w:pStyle w:val="AssignBody"/>
      </w:pPr>
      <w:r w:rsidRPr="005766DB">
        <w:t xml:space="preserve">To add to this, the constructivist Lev Vygotsky developed the concept of the Zone of Proximal Development (1978). The Zone of Proximal Development (ZPD) is defined as: </w:t>
      </w:r>
    </w:p>
    <w:p w14:paraId="03FFB66A" w14:textId="77777777" w:rsidR="005766DB" w:rsidRPr="005766DB" w:rsidRDefault="005766DB" w:rsidP="005766DB">
      <w:pPr>
        <w:pStyle w:val="AssignQuote"/>
      </w:pPr>
      <w:r w:rsidRPr="005766DB">
        <w:t>"the distance between the actual developmental level as determined by independent problem solving and the level of potential development as determined through problem-solving under adult guidance, or in collaboration with more capable peers" (Vygotsky, 1978: 86).</w:t>
      </w:r>
    </w:p>
    <w:p w14:paraId="0405A5D3" w14:textId="312C9BD2" w:rsidR="005766DB" w:rsidRDefault="005766DB" w:rsidP="005766DB">
      <w:pPr>
        <w:pStyle w:val="AssignBody"/>
      </w:pPr>
      <w:r w:rsidRPr="005766DB">
        <w:t xml:space="preserve">Vygotsky argues that the ZPD is where all students should be to maximise learning and retention, but that the appropriate assistance is imperative to help them achieve the learning task to the best of their ability. One of the factors that he says can aid a learner through the zone of proximal development is the idea of a more knowledgeable other (MKO). This refers to a person who has a higher or better understanding of the topic at hand, however, this does not always have to be the teacher. All these theories tie in with the suggestion that we should be stretching and challenging all learners, especially the more able and talented </w:t>
      </w:r>
      <w:r w:rsidRPr="005766DB">
        <w:lastRenderedPageBreak/>
        <w:t xml:space="preserve">ones. What occurred to me during my teaching practice is that the need for differentiation is very apparent even within a class that has been “set” on ability and the zone of proximal development can be very varied within that same class, so my extension tasks need to be differentiated, and some students, even in a top set, may not even make it on to the extension activities. </w:t>
      </w:r>
    </w:p>
    <w:p w14:paraId="0D7F8350" w14:textId="77777777" w:rsidR="005766DB" w:rsidRPr="005766DB" w:rsidRDefault="005766DB" w:rsidP="005766DB">
      <w:pPr>
        <w:pStyle w:val="AssignBody"/>
      </w:pPr>
    </w:p>
    <w:p w14:paraId="67B754A9" w14:textId="3025F0BE" w:rsidR="005766DB" w:rsidRDefault="005766DB" w:rsidP="005766DB">
      <w:pPr>
        <w:pStyle w:val="AssignBody"/>
      </w:pPr>
      <w:r w:rsidRPr="005766DB">
        <w:t xml:space="preserve">To contrast these theories, James Delisle (2015) quite bluntly states that differentiation, on any scale, simply does not work.  He argues that differentiation is so hard to effectively implement in the classroom, that it cannot be </w:t>
      </w:r>
      <w:r w:rsidR="00BB6CAF" w:rsidRPr="005766DB">
        <w:t>successful</w:t>
      </w:r>
      <w:r w:rsidRPr="005766DB">
        <w:t>. He attributes its failings to the mixture of different abilities within each class. He continues by asking what it is exactly that we should be differentiating? The lesson content/curriculum, the way we are teaching it, or both? Even though for the majority of the time, students are “set” and placed i</w:t>
      </w:r>
      <w:r w:rsidR="00176A56">
        <w:t>n</w:t>
      </w:r>
      <w:r w:rsidRPr="005766DB">
        <w:t>to classes with students of similar ability and predicted grades, within my placement I did see many classes where the range of ability within that one class could be somewhat tricky to manage, and therefore would inevitably impact on my job as a teacher and the students</w:t>
      </w:r>
      <w:r w:rsidR="00176A56">
        <w:t>’</w:t>
      </w:r>
      <w:r w:rsidRPr="005766DB">
        <w:t xml:space="preserve"> learning. The literature seems to resoundingly imply that differentiation is needed if we are to be striving to get the best out of </w:t>
      </w:r>
      <w:proofErr w:type="gramStart"/>
      <w:r w:rsidRPr="005766DB">
        <w:t>each and every</w:t>
      </w:r>
      <w:proofErr w:type="gramEnd"/>
      <w:r w:rsidRPr="005766DB">
        <w:t xml:space="preserve"> one of our students</w:t>
      </w:r>
      <w:r w:rsidR="00176A56">
        <w:t>, even Delisle agrees that teachers should differentiate and challenge their higher ability learners</w:t>
      </w:r>
      <w:r w:rsidRPr="005766DB">
        <w:t xml:space="preserve">. However, as often is the case, the practicality of these ideas and theories makes implementation a much more difficult task for classroom teachers who are already struggling with time allocations and heavy workloads. If a teacher is having to differentiate and offer extension activities for each class they teach and therefore increasing the planning, resource making and marking needs, they are being asked to take on even more work. The opinion that extension tasks should be directly related to the main learning does alleviate some of the workload, as they should be a literal extension of the work, not something altogether new and completely unrelated. So, where does the issue and responsibility of stretching the higher ability students lie? If classroom teachers are being faced with increased class-sizes, and within those classes a mix of abilities who should all be being guided through the zone of proximal development, is it up to the class teacher, the head of department, the school lead on more able and talented learning? From my experience and research, the answer seems to be unclear. </w:t>
      </w:r>
    </w:p>
    <w:p w14:paraId="19D44ADD" w14:textId="77777777" w:rsidR="005766DB" w:rsidRPr="005766DB" w:rsidRDefault="005766DB" w:rsidP="005766DB">
      <w:pPr>
        <w:pStyle w:val="AssignBody"/>
      </w:pPr>
    </w:p>
    <w:p w14:paraId="7F37BC65" w14:textId="527EDBD0" w:rsidR="005766DB" w:rsidRDefault="00176A56" w:rsidP="005766DB">
      <w:pPr>
        <w:pStyle w:val="AssignBody"/>
      </w:pPr>
      <w:r>
        <w:t>Moreover</w:t>
      </w:r>
      <w:r w:rsidR="005766DB" w:rsidRPr="005766DB">
        <w:t xml:space="preserve">, from my research and reading on more able and talented learners and differentiation, no one seems to be asking the students themselves what their views are, or how they feel it affects their learning. </w:t>
      </w:r>
    </w:p>
    <w:p w14:paraId="02C5B341" w14:textId="77777777" w:rsidR="005766DB" w:rsidRPr="005766DB" w:rsidRDefault="005766DB" w:rsidP="005766DB">
      <w:pPr>
        <w:pStyle w:val="AssignBody"/>
      </w:pPr>
    </w:p>
    <w:p w14:paraId="2F16242E" w14:textId="77777777" w:rsidR="007D215D" w:rsidRDefault="005766DB" w:rsidP="005766DB">
      <w:pPr>
        <w:pStyle w:val="AssignBody"/>
      </w:pPr>
      <w:r w:rsidRPr="005766DB">
        <w:t xml:space="preserve">The methodology chosen for this research was observational lesson study. Lesson study provides qualitative data, even though it doesn’t provide numerical or scientific data to form </w:t>
      </w:r>
      <w:r w:rsidRPr="005766DB">
        <w:lastRenderedPageBreak/>
        <w:t>the basis of the research as that is something that would be near impossible to gather in a classroom as there are so many factors beyond our control. As teachers, we are always naturally observing, especially with observation being a fundamental part of Assessment for Learning. We can observe students’ behaviour and physical actions, verbal behaviour, expressive behaviour, spatial relations and any temporal patterns. With regards to observations in classrooms, we can see the students in their natural context and observe live data as it happens. Observation can be inconspicuous and part of the normal classroom routine-</w:t>
      </w:r>
      <w:r w:rsidR="007D215D">
        <w:t xml:space="preserve"> </w:t>
      </w:r>
      <w:r w:rsidRPr="005766DB">
        <w:t xml:space="preserve">particularly for classes who have a student teacher as they are used to having someone observing the lesson. </w:t>
      </w:r>
    </w:p>
    <w:p w14:paraId="18436934" w14:textId="7B40CBCB" w:rsidR="005766DB" w:rsidRDefault="005766DB" w:rsidP="005766DB">
      <w:pPr>
        <w:pStyle w:val="AssignBody"/>
      </w:pPr>
      <w:r w:rsidRPr="005766DB">
        <w:t>There are three types of observation, structured, unstructured and semi-structured. Due to the nature of this research, it was a structured observation that we carried out as we had already decided on something specific to observe. Bell and Waters (2018) suggest that structured observations can be effective because you will have already identified the focus of your observation and what behaviours or outcomes you are looking for. Whereas previous observations during this first placement have been more unstructured, exploratory and open-ended, this observation had a very specific purpose. When observing my research partner’s lesson, my role was a non-participant, overt observer. Both myself and my research partner were introduced to the class, and the students had been told before the observed lesson that a colleague would be joining them to observe and possibly speak to a few students after the lesson. It was single observation of limited time (</w:t>
      </w:r>
      <w:r w:rsidR="008C1C29">
        <w:t>one</w:t>
      </w:r>
      <w:r w:rsidRPr="005766DB">
        <w:t xml:space="preserve">, 60-minute lesson) with a narrow focus. The specific purpose of the observation was only explained to the three students who made up the focus group to be interviewed after. </w:t>
      </w:r>
    </w:p>
    <w:p w14:paraId="7583743A" w14:textId="77777777" w:rsidR="005766DB" w:rsidRPr="005766DB" w:rsidRDefault="005766DB" w:rsidP="005766DB">
      <w:pPr>
        <w:pStyle w:val="AssignBody"/>
      </w:pPr>
    </w:p>
    <w:p w14:paraId="6D27A2C4" w14:textId="5C84B7EB" w:rsidR="005766DB" w:rsidRDefault="005766DB" w:rsidP="005766DB">
      <w:pPr>
        <w:pStyle w:val="AssignBody"/>
      </w:pPr>
      <w:r w:rsidRPr="005766DB">
        <w:t xml:space="preserve">In line with Dudley’s (2015) observation and discussion sheet, three students were chosen to be observed and interviewed after the lesson. The three students were chosen to represent higher, middle and lower ability within the subject. The data collected on the individuals was kept on observation sheets </w:t>
      </w:r>
      <w:r w:rsidRPr="005766DB">
        <w:rPr>
          <w:i/>
          <w:iCs/>
        </w:rPr>
        <w:t>(Appendices 1-4),</w:t>
      </w:r>
      <w:r w:rsidRPr="005766DB">
        <w:t xml:space="preserve"> based on the Gibbs (1988) model. The lesson was observed by the research partner, who took notes on the observation sheets throughout, studying three previously chosen students. Secondly, the other research method used was a semi-structured group interview with the pupils. This was used </w:t>
      </w:r>
      <w:proofErr w:type="gramStart"/>
      <w:r w:rsidRPr="005766DB">
        <w:t>in an attempt to</w:t>
      </w:r>
      <w:proofErr w:type="gramEnd"/>
      <w:r w:rsidRPr="005766DB">
        <w:t xml:space="preserve"> glean a greater understanding of extension tasks from the pupils’ perspective, and their opinion on the effectiveness of the activity, if any. During the interview, one person asked the students the questions, and the other person took notes. The student</w:t>
      </w:r>
      <w:r w:rsidR="0052701D">
        <w:t>s’</w:t>
      </w:r>
      <w:r w:rsidRPr="005766DB">
        <w:t xml:space="preserve"> reflections were recorded on a Focus Group Interview Questions sheet </w:t>
      </w:r>
      <w:r w:rsidRPr="005766DB">
        <w:rPr>
          <w:i/>
          <w:iCs/>
        </w:rPr>
        <w:t xml:space="preserve">(Appendices 5-10). </w:t>
      </w:r>
      <w:r w:rsidRPr="005766DB">
        <w:t xml:space="preserve">In keeping with confidentiality and anonymity of the students, they were referred to as Child A, B, C or H, M, L (depending on their ability). </w:t>
      </w:r>
    </w:p>
    <w:p w14:paraId="0746AE1C" w14:textId="77777777" w:rsidR="005766DB" w:rsidRPr="005766DB" w:rsidRDefault="005766DB" w:rsidP="005766DB">
      <w:pPr>
        <w:pStyle w:val="AssignBody"/>
      </w:pPr>
    </w:p>
    <w:p w14:paraId="249C1FDB" w14:textId="29064F5C" w:rsidR="005766DB" w:rsidRDefault="005766DB" w:rsidP="005766DB">
      <w:pPr>
        <w:pStyle w:val="AssignBody"/>
      </w:pPr>
      <w:r w:rsidRPr="005766DB">
        <w:lastRenderedPageBreak/>
        <w:t>This leads into the ethical considerations when undertaking research in a classroom. There is a code of conduct that educational researchers must follow, set out by the British Education Research Association (BERA), and there are also requirements from the Education Workforce Council in Wales. There are many factors to be carefully considered when planning and undertaking research in a classroom. You are dealing with young children (in my case, 32 13-14-year olds), so it was of the utmost important that we gained consent from both the student and their parent/carer. Within the UK, the term ‘child’ means anyone below the age of 18 years</w:t>
      </w:r>
      <w:r w:rsidRPr="005766DB">
        <w:rPr>
          <w:b/>
          <w:bCs/>
        </w:rPr>
        <w:t xml:space="preserve">. </w:t>
      </w:r>
      <w:r w:rsidRPr="005766DB">
        <w:t xml:space="preserve">The 1948 United Nations </w:t>
      </w:r>
      <w:r w:rsidRPr="005766DB">
        <w:rPr>
          <w:i/>
          <w:iCs/>
        </w:rPr>
        <w:t>Convention on Human Rights</w:t>
      </w:r>
      <w:r w:rsidRPr="005766DB">
        <w:t xml:space="preserve"> and the 1989 </w:t>
      </w:r>
      <w:r w:rsidRPr="005766DB">
        <w:rPr>
          <w:i/>
          <w:iCs/>
        </w:rPr>
        <w:t>Convention on the Rights of the Child</w:t>
      </w:r>
      <w:r w:rsidRPr="005766DB">
        <w:t xml:space="preserve"> (United Nations, 1989) gives children the right to have their wishes known, listened to and respected. Consent doesn’t just work on their actual age, but their level of understanding. We had to make sure that the students fully underst</w:t>
      </w:r>
      <w:r w:rsidR="004E1D22">
        <w:t>oo</w:t>
      </w:r>
      <w:r w:rsidRPr="005766DB">
        <w:t xml:space="preserve">d what we were doing, and what was being asked of them. I explained to all the students that they absolutely did not have to take part in the research or the lesson, and that they were free to withdraw their consent at any time, even if I had </w:t>
      </w:r>
      <w:r w:rsidR="00734DA9">
        <w:t xml:space="preserve">received </w:t>
      </w:r>
      <w:r w:rsidRPr="005766DB">
        <w:t>consent from their parents. A letter and consent form were created to send out to the parent/carers (Appendix 11</w:t>
      </w:r>
      <w:r w:rsidR="00734DA9">
        <w:t>)</w:t>
      </w:r>
      <w:r w:rsidRPr="005766DB">
        <w:t xml:space="preserve">, and this was also sent to the deputy headteacher and the headteacher of my placement school for their approval before I handed them to the students. As I was unsure how many students would consent to taking part in the study, I handed consent forms to all 32 students before deciding who would be the three </w:t>
      </w:r>
      <w:proofErr w:type="gramStart"/>
      <w:r w:rsidRPr="005766DB">
        <w:t>students</w:t>
      </w:r>
      <w:proofErr w:type="gramEnd"/>
      <w:r w:rsidR="0006353E">
        <w:t xml:space="preserve"> </w:t>
      </w:r>
      <w:r w:rsidRPr="005766DB">
        <w:t xml:space="preserve">I chose for the focus group. As part of the University’s Research Ethics Code of Practice, we completed our Ethics Form that was sent to the University’s board for ethical approval. My form was returned to me with a conditional approval, once I had made the adjustments required, my form was approved. </w:t>
      </w:r>
    </w:p>
    <w:p w14:paraId="13B7F7C1" w14:textId="77777777" w:rsidR="005766DB" w:rsidRPr="005766DB" w:rsidRDefault="005766DB" w:rsidP="005766DB">
      <w:pPr>
        <w:pStyle w:val="AssignBody"/>
      </w:pPr>
    </w:p>
    <w:p w14:paraId="147EE8B5" w14:textId="0EF2DB41" w:rsidR="005766DB" w:rsidRPr="005766DB" w:rsidRDefault="005766DB" w:rsidP="005766DB">
      <w:pPr>
        <w:pStyle w:val="AssignBody"/>
      </w:pPr>
      <w:r w:rsidRPr="005766DB">
        <w:t>The first lesson observation took place in a very rural secondary school in a top set year 8 class of 28 students. The lesson goal was that every pupil completes a comprehensive plan for a newspaper article based on a historical character. The starter activity was to recap their prior knowledge on the key information of the event they were writing their newspaper article on, reminding the students of the previous lesson</w:t>
      </w:r>
      <w:r w:rsidR="00B91478">
        <w:t>’</w:t>
      </w:r>
      <w:r w:rsidRPr="005766DB">
        <w:t xml:space="preserve">s work, and the components of an article that they had analysed and annotated in the previous lesson. This was very effective as not only did it recap prior learning, but it linked directly into what the objective for the lesson was. The main task was to complete their plan for their newspaper article. Once the students had finished, their extension task was to complete a brainstorm for an article but from the opposing point of view, considering how people on the opposite side of the argument would feel. From my general observation, what struck me first is that the extension task was </w:t>
      </w:r>
      <w:proofErr w:type="gramStart"/>
      <w:r w:rsidRPr="005766DB">
        <w:t>definitely needed</w:t>
      </w:r>
      <w:proofErr w:type="gramEnd"/>
      <w:r w:rsidRPr="005766DB">
        <w:t xml:space="preserve">- some students had finished the main task with half an hour of the lesson left. My initial thoughts were that the extension task didn’t really directly link to the main body </w:t>
      </w:r>
      <w:r w:rsidRPr="005766DB">
        <w:lastRenderedPageBreak/>
        <w:t xml:space="preserve">of the lesson, and I wondered if it would </w:t>
      </w:r>
      <w:proofErr w:type="gramStart"/>
      <w:r w:rsidRPr="005766DB">
        <w:t>actually improve</w:t>
      </w:r>
      <w:proofErr w:type="gramEnd"/>
      <w:r w:rsidRPr="005766DB">
        <w:t xml:space="preserve"> or develop the students’ article when it came to them writing it. </w:t>
      </w:r>
    </w:p>
    <w:p w14:paraId="63B21A8E" w14:textId="0EB75F4C" w:rsidR="005766DB" w:rsidRDefault="005766DB" w:rsidP="005766DB">
      <w:pPr>
        <w:pStyle w:val="AssignBody"/>
      </w:pPr>
      <w:r w:rsidRPr="005766DB">
        <w:t>The three students identified by my research partner were also of a high, medium and low ability within the class. Their responses are noted on Appendi</w:t>
      </w:r>
      <w:r w:rsidR="0017138E">
        <w:t>ces 8-10</w:t>
      </w:r>
      <w:r w:rsidRPr="005766DB">
        <w:t xml:space="preserve">. When asked about their progress in the subject in general, two students felt it was good, and the third said they thought it was “alright”, but that there was a lot of work that had been recapped and they didn’t find that useful. The students were asked if they enjoyed the extension tasks in the lessons, one student replied saying that it gave them something extra to do, one student said it actually gives them a better understanding of the work and the final student said they didn’t enjoy them as its extra work and its unfair that not all the students have to do it. All three students said that they didn’t find the extension tasks challenging, but they all agreed that </w:t>
      </w:r>
      <w:proofErr w:type="gramStart"/>
      <w:r w:rsidRPr="005766DB">
        <w:t>on the whole</w:t>
      </w:r>
      <w:proofErr w:type="gramEnd"/>
      <w:r w:rsidRPr="005766DB">
        <w:t xml:space="preserve"> they aided their understanding of the work. In response to asking how the extension tasks could be improved, one student said that the tasks were too similar, and another student stated that they wanted the tasks to “stretch their brain more”. One student said that extension tasks could be disadvantaging some pupils and making them feel bad if they aren’t able to complete them. </w:t>
      </w:r>
    </w:p>
    <w:p w14:paraId="3B9CD08E" w14:textId="77777777" w:rsidR="005766DB" w:rsidRPr="005766DB" w:rsidRDefault="005766DB" w:rsidP="005766DB">
      <w:pPr>
        <w:pStyle w:val="AssignBody"/>
      </w:pPr>
    </w:p>
    <w:p w14:paraId="42B19945" w14:textId="38BC3BDC" w:rsidR="005766DB" w:rsidRDefault="005766DB" w:rsidP="005766DB">
      <w:pPr>
        <w:pStyle w:val="AssignBody"/>
      </w:pPr>
      <w:r w:rsidRPr="005766DB">
        <w:t xml:space="preserve">For the second lesson study, which was mine, my </w:t>
      </w:r>
      <w:r w:rsidR="00294108">
        <w:t>l</w:t>
      </w:r>
      <w:r w:rsidRPr="005766DB">
        <w:t xml:space="preserve">earning </w:t>
      </w:r>
      <w:r w:rsidR="00294108">
        <w:t>o</w:t>
      </w:r>
      <w:r w:rsidRPr="005766DB">
        <w:t xml:space="preserve">bjective for the lesson was for the students to consider form, audience and purpose of the writing. My lesson goal, linking with the research question, was to see if the extension tasks </w:t>
      </w:r>
      <w:proofErr w:type="gramStart"/>
      <w:r w:rsidRPr="005766DB">
        <w:t>actually improved</w:t>
      </w:r>
      <w:proofErr w:type="gramEnd"/>
      <w:r w:rsidRPr="005766DB">
        <w:t xml:space="preserve"> the students writing, and then to ascertain their views on extension tasks in the focus group interview after the lesson. The lesson was towards the end of a scheme of work on video gaming and </w:t>
      </w:r>
      <w:r w:rsidR="00BA6C96">
        <w:t>the</w:t>
      </w:r>
      <w:r w:rsidRPr="005766DB">
        <w:t xml:space="preserve"> effects on teenagers. For their starter activity, the students had 3 minutes to write on their mini whiteboards as many reasons why teenagers should spend less time playing video games. This encouraged students to recap all the prior knowledge from articles and various texts that we had been studying over the last several lessons. Their extension task was to then, on the other side of the whiteboard, write ways that we could reduce the amount of time teenagers spend playing video games. This starter activity worked well, it focused and engaged the students and really got them applying their prior knowledge. The extension activity developed their answer and helped solidify their knowledge. However, even though the use of the whiteboards had a good impact in that it encouraged students to work quickly and efficiently, and showing their answers to me provided me with a good way of assessing, with the nature of the whiteboards, the students wiped their answers off immediately. The main task was that they had to draft an email response to a friend, offering advice on how to break their gaming addiction. They had to use information from an infographic and the previous lessons learning to construct the email, identify the form, audience and purpose and write the email appropriately. The extension task for this was that the students then had </w:t>
      </w:r>
      <w:r w:rsidRPr="005766DB">
        <w:lastRenderedPageBreak/>
        <w:t>to highlight any words or language within their email that identified the form, audience and purpose of their writing, and using a punctuation pyramid shown on the board, add in some additional, more sophisticated punctuation (Appendix</w:t>
      </w:r>
      <w:r>
        <w:t xml:space="preserve"> 12</w:t>
      </w:r>
      <w:r w:rsidRPr="005766DB">
        <w:t>). This extension task was probably far more effective than the starter one. It engaged the students in their learning, making them think critically and reflectively about their work. The additional punctuation was something that didn’t take them long and didn’t seem like a “big” task to the students, but that is the type of thing that can help them improve their work and move them up an assessment level. For the focus group, I chose three students of low, medium and high ability within the top set class. I did not make this decision alone, I waited to see who gave me consent, and from that list of students I sat down with my mentor and she advised me. During the settler activity of the lesson (which was 5 minutes of silent reading) I quietly and subtly asked the three students if they still felt comfortable to take part in the interview afterwards. The lesson was the one before lunch, so I explained they would not be kept long, and I didn’t want to pull them out of another staff members lesson. The questions asked and the responses recorded are as per Appendi</w:t>
      </w:r>
      <w:r>
        <w:t>ces 5-7</w:t>
      </w:r>
      <w:r w:rsidRPr="005766DB">
        <w:t xml:space="preserve">. </w:t>
      </w:r>
    </w:p>
    <w:p w14:paraId="41B3A9D1" w14:textId="77777777" w:rsidR="005766DB" w:rsidRPr="005766DB" w:rsidRDefault="005766DB" w:rsidP="005766DB">
      <w:pPr>
        <w:pStyle w:val="AssignBody"/>
      </w:pPr>
    </w:p>
    <w:p w14:paraId="3251C42F" w14:textId="248688E6" w:rsidR="005766DB" w:rsidRDefault="005766DB" w:rsidP="005766DB">
      <w:pPr>
        <w:pStyle w:val="AssignBody"/>
      </w:pPr>
      <w:r w:rsidRPr="005766DB">
        <w:t xml:space="preserve">From the responses of the focus group, the results of this lesson observation seemed as follows: the students all felt like they were making good progress in English in general, the students all said they enjoyed extension tasks, as they were an extra bit of work to do and saved you just sitting there “bored”. When asked if they thought the extension tasks were challenging, they all said yes, with one student adding that because each topic is new, the extension tasks push you all the time and give you more practice at the skills needed in English. However, when asked if they felt extension tasks help improve their understanding of work completed in the lesson, one student said yes, one student said half and half- it depends on the task and the final student agreed but said sometimes the tasks can be repetitive. The focus group were asked how they thought extension tasks could be improved and made more engaging. One student said that the thesaurus challenge (where students have to use a thesaurus to find a more sophisticated alternative for 5-10 words in their writing) didn’t really work, it was boring and most students don’t actually do it, and another student said they prefer extension tasks that develop their writing (perhaps like the one used in the first lesson study by my research partner). One of the final questions for the focus group was did they think that having an extension task put any students at a disadvantage. Similar to the responses of the other focus group, one student said they felt like it puts pressure on students and might make them worry if they don’t manage to complete the extension (this student happened to be the lower ability child), whilst another student actually said they felt like they could be counter-productive because it makes students rush, therefore their initial answers might not be as good. A possible limitation from my focus </w:t>
      </w:r>
      <w:r w:rsidRPr="005766DB">
        <w:lastRenderedPageBreak/>
        <w:t xml:space="preserve">group was that the higher ability student was often the first to give an answer, with the other two students simply agreeing with what the first child said which raises questions about the validity of the other two students’ answers. </w:t>
      </w:r>
    </w:p>
    <w:p w14:paraId="583EAE74" w14:textId="77777777" w:rsidR="005766DB" w:rsidRPr="005766DB" w:rsidRDefault="005766DB" w:rsidP="005766DB">
      <w:pPr>
        <w:pStyle w:val="AssignBody"/>
      </w:pPr>
    </w:p>
    <w:p w14:paraId="05E009EE" w14:textId="514AB89E" w:rsidR="005766DB" w:rsidRDefault="005766DB" w:rsidP="005766DB">
      <w:pPr>
        <w:pStyle w:val="AssignBody"/>
      </w:pPr>
      <w:r w:rsidRPr="005766DB">
        <w:t>Upon discussion with my research partner after the two observations, we both had similar feelings. It must be noted that we were both tasked with observing a class that we were unfamiliar with. When we were observing the students, we did not know if that was normal behaviour, engagement or level of work completed, or if it was changed because there was an observer in the room. Although in both interviews we stressed that the students were to be completely honest with us, there is always a chance that they were not, as they didn’t want to say the truth in front of the peers or offend the teacher perhaps. It was noted in my partners observation notes (Appendix</w:t>
      </w:r>
      <w:r w:rsidR="002C189B">
        <w:t xml:space="preserve"> 1</w:t>
      </w:r>
      <w:r w:rsidRPr="005766DB">
        <w:t xml:space="preserve">) that completing a task and moving on to the extension doesn’t necessarily show understanding. Our initial question for this research project was more centred on the students’ actual work, and if the extension task genuinely developed and improved their work. However, with feedback from our ethics form and proposal, we amended this to be more about the students’ views on extension tasks. </w:t>
      </w:r>
    </w:p>
    <w:p w14:paraId="3A995C9E" w14:textId="77777777" w:rsidR="00234E8E" w:rsidRPr="005766DB" w:rsidRDefault="00234E8E" w:rsidP="005766DB">
      <w:pPr>
        <w:pStyle w:val="AssignBody"/>
      </w:pPr>
    </w:p>
    <w:p w14:paraId="7EE9B48B" w14:textId="77777777" w:rsidR="005766DB" w:rsidRPr="005766DB" w:rsidRDefault="005766DB" w:rsidP="005766DB">
      <w:pPr>
        <w:pStyle w:val="AssignBody"/>
      </w:pPr>
      <w:r w:rsidRPr="005766DB">
        <w:t xml:space="preserve">The Department of Education (2009:3) states that lesson study </w:t>
      </w:r>
    </w:p>
    <w:p w14:paraId="66C02477" w14:textId="77777777" w:rsidR="005766DB" w:rsidRPr="005766DB" w:rsidRDefault="005766DB" w:rsidP="005766DB">
      <w:pPr>
        <w:pStyle w:val="AssignQuote"/>
      </w:pPr>
      <w:r w:rsidRPr="005766DB">
        <w:t>“has the potential to drive forward focused improvement in teaching and learning… and improvements in pupil outcomes.”</w:t>
      </w:r>
    </w:p>
    <w:p w14:paraId="7443DFB0" w14:textId="77B77C3E" w:rsidR="005766DB" w:rsidRDefault="005766DB" w:rsidP="005766DB">
      <w:pPr>
        <w:pStyle w:val="AssignBody"/>
      </w:pPr>
      <w:r w:rsidRPr="005766DB">
        <w:t xml:space="preserve">What they also say is that the interviews of the pupil focus group should occur at the earliest possible opportunity, which is what both myself and my research partner did. We arranged it so both our lesson observations would be the session before lunch, so the students could stay behind and be interviewed immediately after. However, what they also said, was that we should capture the students’ exact words. I don’t feel like this is something that either of us did, as we were rushed making notes, and if perhaps we did note down the exact words, I know this was not a conscious decision of mine. They expand on this by also saying that the teacher-to-teacher discussion should take place within 36 hours of the lesson study, which it did. </w:t>
      </w:r>
    </w:p>
    <w:p w14:paraId="55264A23" w14:textId="77777777" w:rsidR="005766DB" w:rsidRPr="005766DB" w:rsidRDefault="005766DB" w:rsidP="005766DB">
      <w:pPr>
        <w:pStyle w:val="AssignBody"/>
      </w:pPr>
    </w:p>
    <w:p w14:paraId="6AE969CE" w14:textId="2EE4847A" w:rsidR="005766DB" w:rsidRDefault="005766DB" w:rsidP="005766DB">
      <w:pPr>
        <w:pStyle w:val="AssignBody"/>
      </w:pPr>
      <w:r w:rsidRPr="005766DB">
        <w:t xml:space="preserve">A </w:t>
      </w:r>
      <w:r w:rsidR="00FD36A1">
        <w:t>significant</w:t>
      </w:r>
      <w:r w:rsidRPr="005766DB">
        <w:t xml:space="preserve"> issue that could occur </w:t>
      </w:r>
      <w:r w:rsidR="00FD36A1">
        <w:t>and impact the</w:t>
      </w:r>
      <w:r w:rsidRPr="005766DB">
        <w:t xml:space="preserve"> lesson study is the Hawthorne Effect. </w:t>
      </w:r>
      <w:proofErr w:type="spellStart"/>
      <w:r w:rsidRPr="005766DB">
        <w:t>Landsberger</w:t>
      </w:r>
      <w:proofErr w:type="spellEnd"/>
      <w:r w:rsidRPr="005766DB">
        <w:t xml:space="preserve"> (1958) argued that human productivity and motivation increases and changes purely due to observation occurring. To translate this into the classroom, it could well be argued that the students could change their behaviour, their work pace and subsequently the standard of their work when there is an unfamiliar, external observer present in the room. Therefore, how reliable does this make the data collected during the study? The students may have been more focused, or more likely to get distracted by the presence of an </w:t>
      </w:r>
      <w:r w:rsidRPr="005766DB">
        <w:lastRenderedPageBreak/>
        <w:t xml:space="preserve">observer. For example, one of the focus group students I observed in the first lesson study kept turning around to look at me as I was watching the class. He therefore was very aware of my presence, and his behaviour and work may have been changed as a result of this. </w:t>
      </w:r>
    </w:p>
    <w:p w14:paraId="0FBAFD36" w14:textId="77777777" w:rsidR="00393944" w:rsidRPr="005766DB" w:rsidRDefault="00393944" w:rsidP="005766DB">
      <w:pPr>
        <w:pStyle w:val="AssignBody"/>
      </w:pPr>
    </w:p>
    <w:p w14:paraId="178D023E" w14:textId="77777777" w:rsidR="005766DB" w:rsidRPr="005766DB" w:rsidRDefault="005766DB" w:rsidP="005766DB">
      <w:pPr>
        <w:pStyle w:val="AssignBody"/>
      </w:pPr>
      <w:r w:rsidRPr="005766DB">
        <w:t xml:space="preserve">John Dewey stated: </w:t>
      </w:r>
    </w:p>
    <w:p w14:paraId="179BC87C" w14:textId="4FC9915F" w:rsidR="005766DB" w:rsidRPr="005766DB" w:rsidRDefault="005766DB" w:rsidP="005766DB">
      <w:pPr>
        <w:pStyle w:val="AssignQuote"/>
      </w:pPr>
      <w:r>
        <w:t>“</w:t>
      </w:r>
      <w:r w:rsidRPr="005766DB">
        <w:t xml:space="preserve">Observation alone is not enough. We </w:t>
      </w:r>
      <w:proofErr w:type="gramStart"/>
      <w:r w:rsidRPr="005766DB">
        <w:t>have to</w:t>
      </w:r>
      <w:proofErr w:type="gramEnd"/>
      <w:r w:rsidRPr="005766DB">
        <w:t xml:space="preserve"> understand the significance of what we see, hear, and touch. This significance consists of the consequences that will result when what is seen is acted upon</w:t>
      </w:r>
      <w:r>
        <w:t>”</w:t>
      </w:r>
      <w:r w:rsidRPr="005766DB">
        <w:t xml:space="preserve"> (1938:68). </w:t>
      </w:r>
    </w:p>
    <w:p w14:paraId="4E670D38" w14:textId="02DAC6CD" w:rsidR="005766DB" w:rsidRDefault="005766DB" w:rsidP="005766DB">
      <w:pPr>
        <w:pStyle w:val="AssignBody"/>
      </w:pPr>
      <w:r w:rsidRPr="005766DB">
        <w:t xml:space="preserve">The time and the effort that goes in to conducting educational research and carrying out a lesson study would be redundant if we didn’t do anything with the data that we collected, and if we didn’t use this to inform or develop our knowledge and practice. However, other research suggests that this is exactly the issue when it comes to educational research. </w:t>
      </w:r>
      <w:proofErr w:type="spellStart"/>
      <w:r w:rsidRPr="005766DB">
        <w:t>Broekkamp</w:t>
      </w:r>
      <w:proofErr w:type="spellEnd"/>
      <w:r w:rsidRPr="005766DB">
        <w:t>, Hein and van Hoult-Wolters (2007</w:t>
      </w:r>
      <w:r w:rsidRPr="005766DB">
        <w:rPr>
          <w:i/>
          <w:iCs/>
        </w:rPr>
        <w:t xml:space="preserve">) </w:t>
      </w:r>
      <w:r w:rsidRPr="005766DB">
        <w:t xml:space="preserve">suggest that educational research lacks thorough and robust evidence, and that there is a significant gap between theory and research, and </w:t>
      </w:r>
      <w:proofErr w:type="gramStart"/>
      <w:r w:rsidRPr="005766DB">
        <w:t>actually applying</w:t>
      </w:r>
      <w:proofErr w:type="gramEnd"/>
      <w:r w:rsidRPr="005766DB">
        <w:t xml:space="preserve"> it in practice. Therefore, it is imperative that we use the outcome of this research to inform our future practice.</w:t>
      </w:r>
    </w:p>
    <w:p w14:paraId="1E095F6C" w14:textId="77777777" w:rsidR="005766DB" w:rsidRPr="005766DB" w:rsidRDefault="005766DB" w:rsidP="005766DB">
      <w:pPr>
        <w:pStyle w:val="AssignBody"/>
      </w:pPr>
    </w:p>
    <w:p w14:paraId="627304D1" w14:textId="18E46FF7" w:rsidR="005766DB" w:rsidRPr="005766DB" w:rsidRDefault="005766DB" w:rsidP="005766DB">
      <w:pPr>
        <w:pStyle w:val="AssignBody"/>
      </w:pPr>
      <w:r w:rsidRPr="005766DB">
        <w:t>To critically evaluate and reflect on my lesson study, I must look at both the strengths and limitations of my chose</w:t>
      </w:r>
      <w:r w:rsidR="00223C54">
        <w:t>n</w:t>
      </w:r>
      <w:r w:rsidRPr="005766DB">
        <w:t xml:space="preserve"> methods. Whilst having a non-participant observer in the classroom may have increased the Hawthorne effect, another method, for example the use of video recording, may have reduced the Hawthorn effect but a greater scale of analysis would be needed for observing the video after the lesson, therefore making it a less practical, more time-consuming method. </w:t>
      </w:r>
    </w:p>
    <w:p w14:paraId="718CC035" w14:textId="689E6782" w:rsidR="005766DB" w:rsidRDefault="005766DB" w:rsidP="005766DB">
      <w:pPr>
        <w:pStyle w:val="AssignBody"/>
      </w:pPr>
      <w:r w:rsidRPr="005766DB">
        <w:t xml:space="preserve">Dewey (1991) suggests that we as observers could fall into the trap of stereotypical, or ‘lazy’ thinking. Perhaps because the both classes were top set and of higher ability, we presumed that they would be capable of completing the initial task and the extension task and the students shouldn’t have a problem with extra work. </w:t>
      </w:r>
    </w:p>
    <w:p w14:paraId="1FF5DCB1" w14:textId="77777777" w:rsidR="005766DB" w:rsidRPr="005766DB" w:rsidRDefault="005766DB" w:rsidP="005766DB">
      <w:pPr>
        <w:pStyle w:val="AssignBody"/>
      </w:pPr>
    </w:p>
    <w:p w14:paraId="3FB69BE1" w14:textId="77777777" w:rsidR="005766DB" w:rsidRPr="005766DB" w:rsidRDefault="005766DB" w:rsidP="005766DB">
      <w:pPr>
        <w:pStyle w:val="AssignBody"/>
      </w:pPr>
      <w:r w:rsidRPr="005766DB">
        <w:t xml:space="preserve">A limitation of observational research is that the observer can only really observe behaviour, physical patterns and any tangible data produced (for example, the completed work). You do not learn about motives, attitudes or intentions, which could be problematic when the research question is focusing on the students’ views on extension tasks. </w:t>
      </w:r>
    </w:p>
    <w:p w14:paraId="5B86CC7F" w14:textId="36202C72" w:rsidR="005766DB" w:rsidRDefault="005766DB" w:rsidP="005766DB">
      <w:pPr>
        <w:pStyle w:val="AssignBody"/>
      </w:pPr>
      <w:r w:rsidRPr="005766DB">
        <w:t xml:space="preserve">Another limitation may be that the interpretation of data. This could be due to observer expectations and bias. Since neither observer knew the class, it could be suggested that this eliminated an element of bias. However, we both went into this project with a certain set of expectations on what we would find, and that perhaps could have influenced our feelings </w:t>
      </w:r>
      <w:r w:rsidRPr="005766DB">
        <w:lastRenderedPageBreak/>
        <w:t xml:space="preserve">towards what we observed. This could be linked to congruity theory. Osgood and Tannenbaum (1955) suggest that if you understand something or someone to be good, you are more likely to focus on any behaviours or characteristics that confirm your initial opinion. We both felt that extension tasks were an effective teaching method, we were both English subject teachers, which could perhaps have swayed our opinions on the research. The fact that there were two of us conducting this research project helped reduce the issue of interpretation, as we were able to discuss in </w:t>
      </w:r>
      <w:proofErr w:type="gramStart"/>
      <w:r w:rsidRPr="005766DB">
        <w:t>great detail</w:t>
      </w:r>
      <w:proofErr w:type="gramEnd"/>
      <w:r w:rsidRPr="005766DB">
        <w:t xml:space="preserve"> after each lesson and share our knowledge of the class and students, for example. </w:t>
      </w:r>
    </w:p>
    <w:p w14:paraId="0B55E975" w14:textId="77777777" w:rsidR="005766DB" w:rsidRPr="005766DB" w:rsidRDefault="005766DB" w:rsidP="005766DB">
      <w:pPr>
        <w:pStyle w:val="AssignBody"/>
      </w:pPr>
    </w:p>
    <w:p w14:paraId="5D600218" w14:textId="77777777" w:rsidR="005766DB" w:rsidRPr="005766DB" w:rsidRDefault="005766DB" w:rsidP="005766DB">
      <w:pPr>
        <w:pStyle w:val="AssignBody"/>
      </w:pPr>
      <w:r w:rsidRPr="005766DB">
        <w:t xml:space="preserve">The focus group interview approach can avoid some of the issues associated with the survey approach. For example, the use of open-ended questions for the students to answer, as opposed to multiple choice questions on a survey. With the interview also being conducted in person, it allows for a far greater opportunity for detailed explanations from the students. </w:t>
      </w:r>
    </w:p>
    <w:p w14:paraId="473D4A61" w14:textId="77777777" w:rsidR="005766DB" w:rsidRPr="005766DB" w:rsidRDefault="005766DB" w:rsidP="005766DB">
      <w:pPr>
        <w:pStyle w:val="AssignBody"/>
      </w:pPr>
      <w:r w:rsidRPr="005766DB">
        <w:t xml:space="preserve">A further issue we came across was the lack of research and literature specific to extension tasks. I did not pilot any of my methods, if perhaps I did, I could have avoided some of these issues. However, one of the most interesting and beneficial aspects I found of this project was speaking to the students after the class. In my next school experience, this is something I would really like to engage with deeper. Receiving the students’ feedback on a </w:t>
      </w:r>
      <w:proofErr w:type="gramStart"/>
      <w:r w:rsidRPr="005766DB">
        <w:t>particular aspect</w:t>
      </w:r>
      <w:proofErr w:type="gramEnd"/>
      <w:r w:rsidRPr="005766DB">
        <w:t xml:space="preserve"> of my practice was really valuable, and engaging with pupil voice, even on a small scale like this, is something I think could really help inform and develop my practice. </w:t>
      </w:r>
    </w:p>
    <w:p w14:paraId="155B4827" w14:textId="0CF524F9" w:rsidR="005766DB" w:rsidRPr="005766DB" w:rsidRDefault="005766DB" w:rsidP="005766DB">
      <w:pPr>
        <w:pStyle w:val="AssignBody"/>
      </w:pPr>
      <w:r w:rsidRPr="005766DB">
        <w:t>If I were to do this study or this lesson again, I would consider doing another similar lesson without the extension tasks and comparing the work between them both to ascertain if the work the higher ability students are producing is genuinely improved by the use of extension tasks. I also think my research question needed to be clearer and incorporate the</w:t>
      </w:r>
      <w:r w:rsidR="00552C59">
        <w:t xml:space="preserve"> standard of the</w:t>
      </w:r>
      <w:r w:rsidRPr="005766DB">
        <w:t xml:space="preserve"> work produced at the end of the lesson, not just what the students’ views on extension tasks are. Both my research partner and I would </w:t>
      </w:r>
      <w:r w:rsidR="00552C59">
        <w:t xml:space="preserve">like to </w:t>
      </w:r>
      <w:r w:rsidRPr="005766DB">
        <w:t xml:space="preserve">observe the class for a few lessons beforehand in future, to see if this would help or hinder the expectations or observations of the class. I would also like to conduct research with a partner from a different subject. Perhaps this would enable a different viewpoint and expectation of the research and class content and possibly eliminate some risk of congruity theory. I would also possibly conduct the focus group interviews one at a time instead of all three students together, as sometimes they would all just agree with the first response given and not actually think and offer their own. </w:t>
      </w:r>
    </w:p>
    <w:p w14:paraId="69EBBCA2" w14:textId="77777777" w:rsidR="005766DB" w:rsidRPr="005766DB" w:rsidRDefault="005766DB" w:rsidP="005766DB">
      <w:pPr>
        <w:pStyle w:val="AssignBody"/>
      </w:pPr>
      <w:r w:rsidRPr="005766DB">
        <w:t xml:space="preserve">I believe that if I conducted this same research project in a different school, or with a different class, I may get similar results. I think the representative sample of both focus groups were as accurate as they could be. The conclusion seems to be that students realise </w:t>
      </w:r>
      <w:r w:rsidRPr="005766DB">
        <w:lastRenderedPageBreak/>
        <w:t xml:space="preserve">that extension tasks can develop their work and understanding, some students just see it as unfair extra work, and that all students prefer it to be something different, stimulating and engaging. However, making each extension task different, creative and engaging for each lesson, in each topic, for each class would be a big task for a teacher. </w:t>
      </w:r>
    </w:p>
    <w:p w14:paraId="13B08319" w14:textId="77777777" w:rsidR="005766DB" w:rsidRPr="005766DB" w:rsidRDefault="005766DB" w:rsidP="005766DB">
      <w:pPr>
        <w:pStyle w:val="AssignBody"/>
      </w:pPr>
    </w:p>
    <w:p w14:paraId="75A20D4D" w14:textId="77777777" w:rsidR="005766DB" w:rsidRPr="005766DB" w:rsidRDefault="005766DB" w:rsidP="005766DB">
      <w:pPr>
        <w:pStyle w:val="AssignBody"/>
      </w:pPr>
    </w:p>
    <w:p w14:paraId="64E53E27" w14:textId="77777777" w:rsidR="005766DB" w:rsidRPr="005766DB" w:rsidRDefault="005766DB" w:rsidP="005766DB">
      <w:pPr>
        <w:pStyle w:val="AssignBody"/>
      </w:pPr>
    </w:p>
    <w:p w14:paraId="498E4FAF" w14:textId="77777777" w:rsidR="005766DB" w:rsidRPr="005766DB" w:rsidRDefault="005766DB" w:rsidP="005766DB">
      <w:pPr>
        <w:pStyle w:val="AssignBody"/>
      </w:pPr>
    </w:p>
    <w:p w14:paraId="7393CD87" w14:textId="77777777" w:rsidR="005766DB" w:rsidRPr="005766DB" w:rsidRDefault="005766DB" w:rsidP="005766DB">
      <w:pPr>
        <w:pStyle w:val="AssignBody"/>
      </w:pPr>
    </w:p>
    <w:p w14:paraId="0840B5E6" w14:textId="77777777" w:rsidR="005766DB" w:rsidRPr="005766DB" w:rsidRDefault="005766DB" w:rsidP="005766DB">
      <w:pPr>
        <w:pStyle w:val="AssignBody"/>
      </w:pPr>
    </w:p>
    <w:p w14:paraId="358EE3CA" w14:textId="77777777" w:rsidR="005766DB" w:rsidRPr="005766DB" w:rsidRDefault="005766DB" w:rsidP="005766DB">
      <w:pPr>
        <w:pStyle w:val="AssignBody"/>
      </w:pPr>
    </w:p>
    <w:p w14:paraId="45C58ECE" w14:textId="77777777" w:rsidR="005766DB" w:rsidRPr="005766DB" w:rsidRDefault="005766DB" w:rsidP="005766DB">
      <w:pPr>
        <w:pStyle w:val="AssignBody"/>
      </w:pPr>
    </w:p>
    <w:p w14:paraId="4704472F" w14:textId="77777777" w:rsidR="005766DB" w:rsidRPr="005766DB" w:rsidRDefault="005766DB" w:rsidP="005766DB">
      <w:pPr>
        <w:pStyle w:val="AssignBody"/>
      </w:pPr>
    </w:p>
    <w:p w14:paraId="0A2BA175" w14:textId="77777777" w:rsidR="005766DB" w:rsidRPr="005766DB" w:rsidRDefault="005766DB" w:rsidP="005766DB">
      <w:pPr>
        <w:pStyle w:val="AssignBody"/>
      </w:pPr>
    </w:p>
    <w:p w14:paraId="46DDAEA4" w14:textId="77777777" w:rsidR="005766DB" w:rsidRPr="005766DB" w:rsidRDefault="005766DB" w:rsidP="005766DB">
      <w:pPr>
        <w:pStyle w:val="AssignBody"/>
      </w:pPr>
    </w:p>
    <w:p w14:paraId="418198B4" w14:textId="77777777" w:rsidR="005766DB" w:rsidRPr="005766DB" w:rsidRDefault="005766DB" w:rsidP="005766DB">
      <w:pPr>
        <w:pStyle w:val="AssignBody"/>
      </w:pPr>
    </w:p>
    <w:p w14:paraId="23CC040A" w14:textId="77777777" w:rsidR="005766DB" w:rsidRPr="005766DB" w:rsidRDefault="005766DB" w:rsidP="005766DB">
      <w:pPr>
        <w:pStyle w:val="AssignBody"/>
      </w:pPr>
    </w:p>
    <w:p w14:paraId="64C3B485" w14:textId="77777777" w:rsidR="005766DB" w:rsidRPr="005766DB" w:rsidRDefault="005766DB" w:rsidP="005766DB">
      <w:pPr>
        <w:pStyle w:val="AssignBody"/>
      </w:pPr>
    </w:p>
    <w:p w14:paraId="42F137B2" w14:textId="77777777" w:rsidR="005766DB" w:rsidRPr="005766DB" w:rsidRDefault="005766DB" w:rsidP="005766DB">
      <w:pPr>
        <w:pStyle w:val="AssignBody"/>
      </w:pPr>
    </w:p>
    <w:p w14:paraId="3AF2784A" w14:textId="77777777" w:rsidR="005766DB" w:rsidRPr="005766DB" w:rsidRDefault="005766DB" w:rsidP="005766DB">
      <w:pPr>
        <w:pStyle w:val="AssignBody"/>
      </w:pPr>
    </w:p>
    <w:p w14:paraId="02FD7372" w14:textId="77777777" w:rsidR="005766DB" w:rsidRPr="005766DB" w:rsidRDefault="005766DB" w:rsidP="005766DB">
      <w:pPr>
        <w:pStyle w:val="AssignBody"/>
      </w:pPr>
    </w:p>
    <w:p w14:paraId="5042979B" w14:textId="77777777" w:rsidR="005766DB" w:rsidRPr="005766DB" w:rsidRDefault="005766DB" w:rsidP="005766DB">
      <w:pPr>
        <w:pStyle w:val="AssignBody"/>
      </w:pPr>
    </w:p>
    <w:p w14:paraId="25BF022F" w14:textId="77777777" w:rsidR="005766DB" w:rsidRPr="005766DB" w:rsidRDefault="005766DB" w:rsidP="005766DB">
      <w:pPr>
        <w:pStyle w:val="AssignBody"/>
      </w:pPr>
    </w:p>
    <w:p w14:paraId="2BC38CA2" w14:textId="77777777" w:rsidR="005766DB" w:rsidRPr="005766DB" w:rsidRDefault="005766DB" w:rsidP="005766DB">
      <w:pPr>
        <w:pStyle w:val="AssignBody"/>
      </w:pPr>
    </w:p>
    <w:p w14:paraId="07F6E83D" w14:textId="77777777" w:rsidR="005766DB" w:rsidRPr="005766DB" w:rsidRDefault="005766DB" w:rsidP="005766DB">
      <w:pPr>
        <w:pStyle w:val="AssignBody"/>
      </w:pPr>
    </w:p>
    <w:p w14:paraId="26382748" w14:textId="77777777" w:rsidR="005766DB" w:rsidRPr="005766DB" w:rsidRDefault="005766DB" w:rsidP="005766DB">
      <w:pPr>
        <w:pStyle w:val="AssignBody"/>
      </w:pPr>
    </w:p>
    <w:p w14:paraId="5347B4B2" w14:textId="79E9F163" w:rsidR="005766DB" w:rsidRDefault="005766DB" w:rsidP="005766DB">
      <w:pPr>
        <w:pStyle w:val="AssignBody"/>
      </w:pPr>
    </w:p>
    <w:p w14:paraId="1EDE5289" w14:textId="52111714" w:rsidR="005766DB" w:rsidRDefault="005766DB" w:rsidP="005766DB">
      <w:pPr>
        <w:pStyle w:val="AssignBody"/>
      </w:pPr>
    </w:p>
    <w:p w14:paraId="74AF34C7" w14:textId="0088A052" w:rsidR="005766DB" w:rsidRDefault="005766DB" w:rsidP="005766DB">
      <w:pPr>
        <w:pStyle w:val="AssignBody"/>
      </w:pPr>
    </w:p>
    <w:p w14:paraId="147B1E2B" w14:textId="524109D3" w:rsidR="005766DB" w:rsidRDefault="005766DB" w:rsidP="005766DB">
      <w:pPr>
        <w:pStyle w:val="AssignBody"/>
      </w:pPr>
    </w:p>
    <w:p w14:paraId="2422BD75" w14:textId="63CAEC8C" w:rsidR="005766DB" w:rsidRDefault="005766DB" w:rsidP="005766DB">
      <w:pPr>
        <w:pStyle w:val="AssignBody"/>
      </w:pPr>
    </w:p>
    <w:p w14:paraId="7AE195CA" w14:textId="3B3C6BE8" w:rsidR="005766DB" w:rsidRDefault="005766DB" w:rsidP="005766DB">
      <w:pPr>
        <w:pStyle w:val="AssignBody"/>
      </w:pPr>
    </w:p>
    <w:p w14:paraId="18047122" w14:textId="7D74F49F" w:rsidR="005766DB" w:rsidRDefault="005766DB" w:rsidP="005766DB">
      <w:pPr>
        <w:pStyle w:val="AssignBody"/>
      </w:pPr>
    </w:p>
    <w:p w14:paraId="0AD97EB6" w14:textId="54DEC4D6" w:rsidR="005766DB" w:rsidRDefault="005766DB" w:rsidP="005766DB">
      <w:pPr>
        <w:pStyle w:val="AssignBody"/>
      </w:pPr>
    </w:p>
    <w:p w14:paraId="013232D8" w14:textId="7DD52790" w:rsidR="005766DB" w:rsidRDefault="005766DB" w:rsidP="005766DB">
      <w:pPr>
        <w:pStyle w:val="AssignBody"/>
      </w:pPr>
    </w:p>
    <w:p w14:paraId="755BA7C3" w14:textId="583FD129" w:rsidR="005766DB" w:rsidRDefault="005766DB" w:rsidP="005766DB">
      <w:pPr>
        <w:pStyle w:val="AssignBody"/>
      </w:pPr>
    </w:p>
    <w:p w14:paraId="00EBEBB5" w14:textId="77777777" w:rsidR="005766DB" w:rsidRPr="005766DB" w:rsidRDefault="005766DB" w:rsidP="005766DB">
      <w:pPr>
        <w:pStyle w:val="AssignBody"/>
      </w:pPr>
    </w:p>
    <w:p w14:paraId="75BE2677" w14:textId="77777777" w:rsidR="005766DB" w:rsidRPr="005766DB" w:rsidRDefault="005766DB" w:rsidP="005766DB">
      <w:pPr>
        <w:pStyle w:val="AssignBody"/>
        <w:jc w:val="center"/>
        <w:rPr>
          <w:b/>
          <w:bCs/>
          <w:u w:val="single"/>
        </w:rPr>
      </w:pPr>
      <w:r w:rsidRPr="005766DB">
        <w:rPr>
          <w:b/>
          <w:bCs/>
          <w:u w:val="single"/>
        </w:rPr>
        <w:lastRenderedPageBreak/>
        <w:t>References:</w:t>
      </w:r>
    </w:p>
    <w:p w14:paraId="1AD6876A" w14:textId="77777777" w:rsidR="005766DB" w:rsidRPr="005766DB" w:rsidRDefault="005766DB" w:rsidP="005766DB">
      <w:pPr>
        <w:pStyle w:val="AssignBody"/>
        <w:numPr>
          <w:ilvl w:val="0"/>
          <w:numId w:val="1"/>
        </w:numPr>
      </w:pPr>
      <w:r w:rsidRPr="005766DB">
        <w:t>Bell, J. &amp; Waters, S. (2018) Doing your Research Project, 7th edition. London: Open University Press</w:t>
      </w:r>
    </w:p>
    <w:p w14:paraId="3315A6FB" w14:textId="77777777" w:rsidR="005766DB" w:rsidRPr="005766DB" w:rsidRDefault="005766DB" w:rsidP="005766DB">
      <w:pPr>
        <w:pStyle w:val="AssignBody"/>
        <w:numPr>
          <w:ilvl w:val="0"/>
          <w:numId w:val="1"/>
        </w:numPr>
      </w:pPr>
      <w:proofErr w:type="spellStart"/>
      <w:r w:rsidRPr="005766DB">
        <w:t>Blagg</w:t>
      </w:r>
      <w:proofErr w:type="spellEnd"/>
      <w:r w:rsidRPr="005766DB">
        <w:t>, N. and Lewis, L., 1993. Effective learning: A Report of Six Funded Projects. Sheffield: Department for Employment.</w:t>
      </w:r>
    </w:p>
    <w:p w14:paraId="60B3AADF" w14:textId="77777777" w:rsidR="005766DB" w:rsidRPr="005766DB" w:rsidRDefault="005766DB" w:rsidP="005766DB">
      <w:pPr>
        <w:pStyle w:val="AssignBody"/>
        <w:numPr>
          <w:ilvl w:val="0"/>
          <w:numId w:val="1"/>
        </w:numPr>
      </w:pPr>
      <w:r w:rsidRPr="005766DB">
        <w:t xml:space="preserve">British Educational Research Association, 2018. Ethical guidelines for educational research (4th </w:t>
      </w:r>
      <w:proofErr w:type="spellStart"/>
      <w:proofErr w:type="gramStart"/>
      <w:r w:rsidRPr="005766DB">
        <w:t>edn</w:t>
      </w:r>
      <w:proofErr w:type="spellEnd"/>
      <w:r w:rsidRPr="005766DB">
        <w:t>)(</w:t>
      </w:r>
      <w:proofErr w:type="gramEnd"/>
      <w:r w:rsidRPr="005766DB">
        <w:t>London, BERA).</w:t>
      </w:r>
    </w:p>
    <w:p w14:paraId="67AF15FC" w14:textId="77777777" w:rsidR="005766DB" w:rsidRPr="005766DB" w:rsidRDefault="005766DB" w:rsidP="005766DB">
      <w:pPr>
        <w:pStyle w:val="AssignBody"/>
        <w:numPr>
          <w:ilvl w:val="0"/>
          <w:numId w:val="1"/>
        </w:numPr>
      </w:pPr>
      <w:proofErr w:type="spellStart"/>
      <w:r w:rsidRPr="005766DB">
        <w:t>Broekkamp</w:t>
      </w:r>
      <w:proofErr w:type="spellEnd"/>
      <w:r w:rsidRPr="005766DB">
        <w:t>, Hein and van Hoult-Wolters, Bernadette (2007) 'The gap between educational research and practice: A literature review, symposium, and questionnaire', Educational Research and Evaluation</w:t>
      </w:r>
    </w:p>
    <w:p w14:paraId="42EB50BE" w14:textId="77777777" w:rsidR="005766DB" w:rsidRPr="005766DB" w:rsidRDefault="005766DB" w:rsidP="005766DB">
      <w:pPr>
        <w:pStyle w:val="AssignBody"/>
        <w:numPr>
          <w:ilvl w:val="0"/>
          <w:numId w:val="1"/>
        </w:numPr>
      </w:pPr>
      <w:r w:rsidRPr="005766DB">
        <w:t>Bruner, J.S., 1990. Acts of meaning (Vol. 3). Harvard university press.</w:t>
      </w:r>
    </w:p>
    <w:p w14:paraId="58856DF3" w14:textId="77777777" w:rsidR="005766DB" w:rsidRPr="005766DB" w:rsidRDefault="005766DB" w:rsidP="005766DB">
      <w:pPr>
        <w:pStyle w:val="AssignBody"/>
        <w:numPr>
          <w:ilvl w:val="0"/>
          <w:numId w:val="1"/>
        </w:numPr>
      </w:pPr>
      <w:proofErr w:type="spellStart"/>
      <w:r w:rsidRPr="005766DB">
        <w:t>Cajkler</w:t>
      </w:r>
      <w:proofErr w:type="spellEnd"/>
      <w:r w:rsidRPr="005766DB">
        <w:t>, W., Wood, P., Norton, J., Pedder, D. &amp; Xu, H. (2015) Teacher perspectives about lesson study in secondary school departments: a collaborative vehicle for professional learning and practice development, Research Papers in Education, Vol.30, Issue 2.</w:t>
      </w:r>
    </w:p>
    <w:p w14:paraId="11D7F6D2" w14:textId="77777777" w:rsidR="005766DB" w:rsidRPr="005766DB" w:rsidRDefault="005766DB" w:rsidP="005766DB">
      <w:pPr>
        <w:pStyle w:val="AssignBody"/>
        <w:numPr>
          <w:ilvl w:val="0"/>
          <w:numId w:val="1"/>
        </w:numPr>
      </w:pPr>
      <w:r w:rsidRPr="005766DB">
        <w:t>Cohen, L., Manion, L. &amp; Morrison, K. (2018) Research Methods in Education, 8th edition.  Oxford: Routledge</w:t>
      </w:r>
    </w:p>
    <w:p w14:paraId="25248D37" w14:textId="77777777" w:rsidR="005766DB" w:rsidRPr="005766DB" w:rsidRDefault="005766DB" w:rsidP="005766DB">
      <w:pPr>
        <w:pStyle w:val="AssignBody"/>
        <w:numPr>
          <w:ilvl w:val="0"/>
          <w:numId w:val="1"/>
        </w:numPr>
      </w:pPr>
      <w:r w:rsidRPr="005766DB">
        <w:t>Delisle, J.R., 2015. Differentiation doesn’t work. Education Week, 34(15), pp.28-36.</w:t>
      </w:r>
    </w:p>
    <w:p w14:paraId="064A2FEE" w14:textId="77777777" w:rsidR="005766DB" w:rsidRPr="005766DB" w:rsidRDefault="005766DB" w:rsidP="005766DB">
      <w:pPr>
        <w:pStyle w:val="AssignBody"/>
        <w:numPr>
          <w:ilvl w:val="0"/>
          <w:numId w:val="1"/>
        </w:numPr>
      </w:pPr>
      <w:r w:rsidRPr="005766DB">
        <w:t xml:space="preserve">Department for Education, 2009. Improving Subject Pedagogy through Lesson Study: Handbook for Leading Teacher in Mathematics and English. Department for Children, Schools and Families. </w:t>
      </w:r>
    </w:p>
    <w:p w14:paraId="671D72BC" w14:textId="77777777" w:rsidR="005766DB" w:rsidRPr="005766DB" w:rsidRDefault="005766DB" w:rsidP="005766DB">
      <w:pPr>
        <w:pStyle w:val="AssignBody"/>
        <w:numPr>
          <w:ilvl w:val="0"/>
          <w:numId w:val="1"/>
        </w:numPr>
      </w:pPr>
      <w:r w:rsidRPr="005766DB">
        <w:t xml:space="preserve">Dewey, J., 1997. Experience and education. 1938. New York: First Touchstone Edition. </w:t>
      </w:r>
    </w:p>
    <w:p w14:paraId="6FC775C1" w14:textId="77777777" w:rsidR="005766DB" w:rsidRPr="005766DB" w:rsidRDefault="005766DB" w:rsidP="005766DB">
      <w:pPr>
        <w:pStyle w:val="AssignBody"/>
        <w:numPr>
          <w:ilvl w:val="0"/>
          <w:numId w:val="1"/>
        </w:numPr>
      </w:pPr>
      <w:r w:rsidRPr="005766DB">
        <w:t>Dudley, P. ed., 2014. Lesson study: Professional learning for our time. Routledge.</w:t>
      </w:r>
    </w:p>
    <w:p w14:paraId="51FD56B0" w14:textId="77777777" w:rsidR="005766DB" w:rsidRPr="005766DB" w:rsidRDefault="005766DB" w:rsidP="005766DB">
      <w:pPr>
        <w:pStyle w:val="AssignBody"/>
        <w:numPr>
          <w:ilvl w:val="0"/>
          <w:numId w:val="1"/>
        </w:numPr>
      </w:pPr>
      <w:r w:rsidRPr="005766DB">
        <w:t xml:space="preserve">ESTYN (2018) Supporting MAT pupils. Welsh Government. </w:t>
      </w:r>
    </w:p>
    <w:p w14:paraId="7EF3753A" w14:textId="77777777" w:rsidR="005766DB" w:rsidRPr="005766DB" w:rsidRDefault="005766DB" w:rsidP="005766DB">
      <w:pPr>
        <w:pStyle w:val="AssignBody"/>
        <w:numPr>
          <w:ilvl w:val="0"/>
          <w:numId w:val="1"/>
        </w:numPr>
      </w:pPr>
      <w:r w:rsidRPr="005766DB">
        <w:t xml:space="preserve">EWC (2019), Code of Professional Conduct and Practice for Registrants with the Education Workforce Council, Education Workforce Council </w:t>
      </w:r>
    </w:p>
    <w:p w14:paraId="5CE5235C" w14:textId="77777777" w:rsidR="005766DB" w:rsidRPr="005766DB" w:rsidRDefault="005766DB" w:rsidP="005766DB">
      <w:pPr>
        <w:pStyle w:val="AssignBody"/>
        <w:numPr>
          <w:ilvl w:val="0"/>
          <w:numId w:val="1"/>
        </w:numPr>
      </w:pPr>
      <w:r w:rsidRPr="005766DB">
        <w:t>Montgomery, D., 2001. Teaching the more able: an update. Gifted Education International, 15(3), pp.262-280.</w:t>
      </w:r>
    </w:p>
    <w:p w14:paraId="5D8A72D6" w14:textId="77777777" w:rsidR="005766DB" w:rsidRPr="005766DB" w:rsidRDefault="005766DB" w:rsidP="005766DB">
      <w:pPr>
        <w:pStyle w:val="AssignBody"/>
        <w:numPr>
          <w:ilvl w:val="0"/>
          <w:numId w:val="1"/>
        </w:numPr>
      </w:pPr>
      <w:r w:rsidRPr="005766DB">
        <w:t xml:space="preserve">Osgood, C.E. and Tannenbaum, P.H., 1955. The principle of congruity in the prediction of attitude change. Psychological review, 62(1). </w:t>
      </w:r>
    </w:p>
    <w:p w14:paraId="23646398" w14:textId="77777777" w:rsidR="005766DB" w:rsidRPr="005766DB" w:rsidRDefault="005766DB" w:rsidP="005766DB">
      <w:pPr>
        <w:pStyle w:val="AssignBody"/>
        <w:numPr>
          <w:ilvl w:val="0"/>
          <w:numId w:val="1"/>
        </w:numPr>
      </w:pPr>
      <w:proofErr w:type="spellStart"/>
      <w:r w:rsidRPr="005766DB">
        <w:t>Unicef</w:t>
      </w:r>
      <w:proofErr w:type="spellEnd"/>
      <w:r w:rsidRPr="005766DB">
        <w:t xml:space="preserve">, 1989. The United Nations Convention on the Rights of the Child (UNCRC). </w:t>
      </w:r>
    </w:p>
    <w:p w14:paraId="5D4D8E9E" w14:textId="77777777" w:rsidR="005766DB" w:rsidRPr="005766DB" w:rsidRDefault="005766DB" w:rsidP="005766DB">
      <w:pPr>
        <w:pStyle w:val="AssignBody"/>
        <w:numPr>
          <w:ilvl w:val="0"/>
          <w:numId w:val="1"/>
        </w:numPr>
      </w:pPr>
      <w:r w:rsidRPr="005766DB">
        <w:t xml:space="preserve">UWTSD, (2020) Research Ethics and Integrity Code of Practice </w:t>
      </w:r>
    </w:p>
    <w:p w14:paraId="0365196C" w14:textId="77777777" w:rsidR="005766DB" w:rsidRPr="005766DB" w:rsidRDefault="005766DB" w:rsidP="005766DB">
      <w:pPr>
        <w:pStyle w:val="AssignBody"/>
        <w:numPr>
          <w:ilvl w:val="0"/>
          <w:numId w:val="1"/>
        </w:numPr>
      </w:pPr>
      <w:r w:rsidRPr="005766DB">
        <w:t xml:space="preserve">Vygotsky, L.S., 1978. Mind in society (M. Cole, V. John-Steiner, S. Scribner, &amp; E. </w:t>
      </w:r>
      <w:proofErr w:type="spellStart"/>
      <w:r w:rsidRPr="005766DB">
        <w:t>Souberman</w:t>
      </w:r>
      <w:proofErr w:type="spellEnd"/>
      <w:r w:rsidRPr="005766DB">
        <w:t>, Eds.).</w:t>
      </w:r>
    </w:p>
    <w:p w14:paraId="588CE56D" w14:textId="77777777" w:rsidR="005766DB" w:rsidRPr="005766DB" w:rsidRDefault="005766DB" w:rsidP="005766DB">
      <w:pPr>
        <w:pStyle w:val="AssignBody"/>
        <w:numPr>
          <w:ilvl w:val="0"/>
          <w:numId w:val="1"/>
        </w:numPr>
      </w:pPr>
      <w:r w:rsidRPr="005766DB">
        <w:t>Welsh Government (2018) Professional standards for teaching and leadership</w:t>
      </w:r>
    </w:p>
    <w:p w14:paraId="0D2F6EA6" w14:textId="4E729DF4" w:rsidR="00E611D9" w:rsidRPr="00E611D9" w:rsidRDefault="00E611D9" w:rsidP="00E611D9">
      <w:pPr>
        <w:pStyle w:val="AssignBody"/>
      </w:pPr>
    </w:p>
    <w:sectPr w:rsidR="00E611D9"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E79EE" w14:textId="77777777" w:rsidR="006A21C3" w:rsidRDefault="006A21C3" w:rsidP="00E611D9">
      <w:pPr>
        <w:spacing w:after="0" w:line="240" w:lineRule="auto"/>
      </w:pPr>
      <w:r>
        <w:separator/>
      </w:r>
    </w:p>
  </w:endnote>
  <w:endnote w:type="continuationSeparator" w:id="0">
    <w:p w14:paraId="01A814A4" w14:textId="77777777" w:rsidR="006A21C3" w:rsidRDefault="006A21C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1F3E53" w:rsidRDefault="001F3E53">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1F3E53" w:rsidRDefault="001F3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9A5B5" w14:textId="77777777" w:rsidR="006A21C3" w:rsidRDefault="006A21C3" w:rsidP="00E611D9">
      <w:pPr>
        <w:spacing w:after="0" w:line="240" w:lineRule="auto"/>
      </w:pPr>
      <w:r>
        <w:separator/>
      </w:r>
    </w:p>
  </w:footnote>
  <w:footnote w:type="continuationSeparator" w:id="0">
    <w:p w14:paraId="2A7D0082" w14:textId="77777777" w:rsidR="006A21C3" w:rsidRDefault="006A21C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1F3E53" w:rsidRDefault="001F3E53">
    <w:pPr>
      <w:pStyle w:val="Header"/>
    </w:pPr>
    <w:r>
      <w:t>ECAD7004/C</w:t>
    </w:r>
  </w:p>
  <w:p w14:paraId="31028CA5" w14:textId="60CD5227" w:rsidR="001F3E53" w:rsidRDefault="001F3E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41A65"/>
    <w:multiLevelType w:val="hybridMultilevel"/>
    <w:tmpl w:val="ACA00194"/>
    <w:lvl w:ilvl="0" w:tplc="75EEA7A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6353E"/>
    <w:rsid w:val="000C2BAA"/>
    <w:rsid w:val="0017138E"/>
    <w:rsid w:val="00176A56"/>
    <w:rsid w:val="001F3E53"/>
    <w:rsid w:val="002229F0"/>
    <w:rsid w:val="00223C54"/>
    <w:rsid w:val="00234E8E"/>
    <w:rsid w:val="00294108"/>
    <w:rsid w:val="002C189B"/>
    <w:rsid w:val="00393944"/>
    <w:rsid w:val="004E1D22"/>
    <w:rsid w:val="004E308E"/>
    <w:rsid w:val="0052701D"/>
    <w:rsid w:val="00552C59"/>
    <w:rsid w:val="005766DB"/>
    <w:rsid w:val="006419C3"/>
    <w:rsid w:val="006A21C3"/>
    <w:rsid w:val="006B5861"/>
    <w:rsid w:val="00734DA9"/>
    <w:rsid w:val="00755E37"/>
    <w:rsid w:val="007D215D"/>
    <w:rsid w:val="00817F7A"/>
    <w:rsid w:val="00876512"/>
    <w:rsid w:val="008C1C29"/>
    <w:rsid w:val="00B457F0"/>
    <w:rsid w:val="00B91478"/>
    <w:rsid w:val="00BA6C96"/>
    <w:rsid w:val="00BB6CAF"/>
    <w:rsid w:val="00BC651E"/>
    <w:rsid w:val="00CD1240"/>
    <w:rsid w:val="00CD556E"/>
    <w:rsid w:val="00D638DF"/>
    <w:rsid w:val="00D83A40"/>
    <w:rsid w:val="00E611D9"/>
    <w:rsid w:val="00FD3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4964</Words>
  <Characters>28295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Georgia Theodoulou</cp:lastModifiedBy>
  <cp:revision>20</cp:revision>
  <dcterms:created xsi:type="dcterms:W3CDTF">2020-02-23T17:11:00Z</dcterms:created>
  <dcterms:modified xsi:type="dcterms:W3CDTF">2020-02-23T17:28:00Z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