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8A520" w14:textId="77777777" w:rsidR="00BB46C0" w:rsidRDefault="00BB46C0" w:rsidP="00BB46C0">
      <w:pPr>
        <w:pStyle w:val="BodyText"/>
        <w:ind w:left="200"/>
        <w:rPr>
          <w:rFonts w:ascii="Times New Roman"/>
          <w:sz w:val="20"/>
        </w:rPr>
      </w:pPr>
      <w:r>
        <w:rPr>
          <w:rFonts w:ascii="Times New Roman"/>
          <w:noProof/>
          <w:sz w:val="20"/>
        </w:rPr>
        <w:drawing>
          <wp:inline distT="0" distB="0" distL="0" distR="0" wp14:anchorId="11BCDD78" wp14:editId="02EE36D6">
            <wp:extent cx="2066925" cy="825858"/>
            <wp:effectExtent l="0" t="0" r="0" b="0"/>
            <wp:docPr id="1" name="image1.jpeg"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085521" cy="833288"/>
                    </a:xfrm>
                    <a:prstGeom prst="rect">
                      <a:avLst/>
                    </a:prstGeom>
                  </pic:spPr>
                </pic:pic>
              </a:graphicData>
            </a:graphic>
          </wp:inline>
        </w:drawing>
      </w:r>
    </w:p>
    <w:p w14:paraId="33337B0B" w14:textId="77777777" w:rsidR="00BB46C0" w:rsidRDefault="00BB46C0" w:rsidP="00BB46C0">
      <w:pPr>
        <w:pStyle w:val="BodyText"/>
        <w:rPr>
          <w:rFonts w:ascii="Times New Roman"/>
          <w:sz w:val="20"/>
        </w:rPr>
      </w:pPr>
    </w:p>
    <w:p w14:paraId="5904143C" w14:textId="77777777" w:rsidR="00BB46C0" w:rsidRDefault="00BB46C0" w:rsidP="00BB46C0">
      <w:pPr>
        <w:pStyle w:val="BodyText"/>
        <w:rPr>
          <w:rFonts w:ascii="Times New Roman"/>
          <w:sz w:val="28"/>
        </w:rPr>
      </w:pPr>
    </w:p>
    <w:tbl>
      <w:tblPr>
        <w:tblW w:w="0" w:type="auto"/>
        <w:tblInd w:w="115" w:type="dxa"/>
        <w:tblLayout w:type="fixed"/>
        <w:tblCellMar>
          <w:left w:w="0" w:type="dxa"/>
          <w:right w:w="0" w:type="dxa"/>
        </w:tblCellMar>
        <w:tblLook w:val="01E0" w:firstRow="1" w:lastRow="1" w:firstColumn="1" w:lastColumn="1" w:noHBand="0" w:noVBand="0"/>
      </w:tblPr>
      <w:tblGrid>
        <w:gridCol w:w="4641"/>
        <w:gridCol w:w="4618"/>
      </w:tblGrid>
      <w:tr w:rsidR="00BB46C0" w14:paraId="67681DCC" w14:textId="77777777" w:rsidTr="00AF2698">
        <w:trPr>
          <w:trHeight w:val="390"/>
        </w:trPr>
        <w:tc>
          <w:tcPr>
            <w:tcW w:w="4641" w:type="dxa"/>
          </w:tcPr>
          <w:p w14:paraId="0C892754" w14:textId="77777777" w:rsidR="00BB46C0" w:rsidRDefault="00BB46C0" w:rsidP="00AF2698">
            <w:pPr>
              <w:pStyle w:val="TableParagraph"/>
              <w:spacing w:line="266" w:lineRule="exact"/>
              <w:ind w:left="200"/>
              <w:rPr>
                <w:b/>
                <w:sz w:val="24"/>
              </w:rPr>
            </w:pPr>
            <w:r>
              <w:rPr>
                <w:b/>
                <w:sz w:val="24"/>
              </w:rPr>
              <w:t>LOCATION:</w:t>
            </w:r>
            <w:r>
              <w:rPr>
                <w:b/>
                <w:spacing w:val="-2"/>
                <w:sz w:val="24"/>
              </w:rPr>
              <w:t xml:space="preserve"> </w:t>
            </w:r>
            <w:r>
              <w:rPr>
                <w:b/>
                <w:sz w:val="24"/>
              </w:rPr>
              <w:t>LONDON</w:t>
            </w:r>
          </w:p>
        </w:tc>
        <w:tc>
          <w:tcPr>
            <w:tcW w:w="4618" w:type="dxa"/>
          </w:tcPr>
          <w:p w14:paraId="04B679B7" w14:textId="77777777" w:rsidR="00BB46C0" w:rsidRDefault="00BB46C0" w:rsidP="00AF2698">
            <w:pPr>
              <w:pStyle w:val="TableParagraph"/>
              <w:spacing w:line="266" w:lineRule="exact"/>
              <w:ind w:right="199"/>
              <w:jc w:val="right"/>
              <w:rPr>
                <w:b/>
                <w:sz w:val="24"/>
              </w:rPr>
            </w:pPr>
            <w:r>
              <w:rPr>
                <w:b/>
                <w:sz w:val="24"/>
              </w:rPr>
              <w:t>LLEOLIAD:</w:t>
            </w:r>
            <w:r>
              <w:rPr>
                <w:b/>
                <w:spacing w:val="56"/>
                <w:sz w:val="24"/>
              </w:rPr>
              <w:t xml:space="preserve"> </w:t>
            </w:r>
            <w:r>
              <w:rPr>
                <w:b/>
                <w:sz w:val="24"/>
              </w:rPr>
              <w:t>LLUNDAIN</w:t>
            </w:r>
          </w:p>
        </w:tc>
      </w:tr>
      <w:tr w:rsidR="00BB46C0" w14:paraId="72B1044F" w14:textId="77777777" w:rsidTr="00AF2698">
        <w:trPr>
          <w:trHeight w:val="529"/>
        </w:trPr>
        <w:tc>
          <w:tcPr>
            <w:tcW w:w="4641" w:type="dxa"/>
          </w:tcPr>
          <w:p w14:paraId="204BFD6B" w14:textId="77777777" w:rsidR="00BB46C0" w:rsidRDefault="00BB46C0" w:rsidP="00AF2698">
            <w:pPr>
              <w:pStyle w:val="TableParagraph"/>
              <w:spacing w:before="115"/>
              <w:ind w:left="200"/>
              <w:rPr>
                <w:b/>
                <w:sz w:val="24"/>
              </w:rPr>
            </w:pPr>
            <w:r>
              <w:rPr>
                <w:b/>
                <w:sz w:val="24"/>
              </w:rPr>
              <w:t>LEVEL</w:t>
            </w:r>
            <w:r>
              <w:rPr>
                <w:b/>
                <w:spacing w:val="1"/>
                <w:sz w:val="24"/>
              </w:rPr>
              <w:t xml:space="preserve"> </w:t>
            </w:r>
            <w:r>
              <w:rPr>
                <w:b/>
                <w:sz w:val="24"/>
              </w:rPr>
              <w:t>4</w:t>
            </w:r>
          </w:p>
        </w:tc>
        <w:tc>
          <w:tcPr>
            <w:tcW w:w="4618" w:type="dxa"/>
          </w:tcPr>
          <w:p w14:paraId="1E45B156" w14:textId="77777777" w:rsidR="00BB46C0" w:rsidRDefault="00BB46C0" w:rsidP="00AF2698">
            <w:pPr>
              <w:pStyle w:val="TableParagraph"/>
              <w:spacing w:before="115"/>
              <w:ind w:right="197"/>
              <w:jc w:val="right"/>
              <w:rPr>
                <w:b/>
                <w:sz w:val="24"/>
              </w:rPr>
            </w:pPr>
            <w:r>
              <w:rPr>
                <w:b/>
                <w:sz w:val="24"/>
              </w:rPr>
              <w:t>LEFEL</w:t>
            </w:r>
            <w:r>
              <w:rPr>
                <w:b/>
                <w:spacing w:val="1"/>
                <w:sz w:val="24"/>
              </w:rPr>
              <w:t xml:space="preserve"> </w:t>
            </w:r>
            <w:r>
              <w:rPr>
                <w:b/>
                <w:sz w:val="24"/>
              </w:rPr>
              <w:t>4</w:t>
            </w:r>
          </w:p>
        </w:tc>
      </w:tr>
      <w:tr w:rsidR="00BB46C0" w14:paraId="30E09645" w14:textId="77777777" w:rsidTr="00AF2698">
        <w:trPr>
          <w:trHeight w:val="422"/>
        </w:trPr>
        <w:tc>
          <w:tcPr>
            <w:tcW w:w="4641" w:type="dxa"/>
          </w:tcPr>
          <w:p w14:paraId="0BFF4343" w14:textId="77777777" w:rsidR="00BB46C0" w:rsidRDefault="00BB46C0" w:rsidP="00AF2698">
            <w:pPr>
              <w:pStyle w:val="TableParagraph"/>
              <w:spacing w:before="128" w:line="274" w:lineRule="exact"/>
              <w:ind w:left="200"/>
              <w:rPr>
                <w:b/>
                <w:sz w:val="24"/>
              </w:rPr>
            </w:pPr>
            <w:r>
              <w:rPr>
                <w:b/>
                <w:sz w:val="24"/>
              </w:rPr>
              <w:t>EXAMINATION</w:t>
            </w:r>
            <w:r>
              <w:rPr>
                <w:b/>
                <w:spacing w:val="-2"/>
                <w:sz w:val="24"/>
              </w:rPr>
              <w:t xml:space="preserve"> </w:t>
            </w:r>
            <w:r>
              <w:rPr>
                <w:b/>
                <w:sz w:val="24"/>
              </w:rPr>
              <w:t>PERIOD</w:t>
            </w:r>
          </w:p>
        </w:tc>
        <w:tc>
          <w:tcPr>
            <w:tcW w:w="4618" w:type="dxa"/>
          </w:tcPr>
          <w:p w14:paraId="5AC41EDB" w14:textId="77777777" w:rsidR="00BB46C0" w:rsidRDefault="00BB46C0" w:rsidP="00AF2698">
            <w:pPr>
              <w:pStyle w:val="TableParagraph"/>
              <w:spacing w:before="128" w:line="274" w:lineRule="exact"/>
              <w:ind w:right="199"/>
              <w:jc w:val="right"/>
              <w:rPr>
                <w:b/>
                <w:sz w:val="24"/>
              </w:rPr>
            </w:pPr>
            <w:r>
              <w:rPr>
                <w:b/>
                <w:sz w:val="24"/>
              </w:rPr>
              <w:t>CYFNOD</w:t>
            </w:r>
            <w:r>
              <w:rPr>
                <w:b/>
                <w:spacing w:val="-2"/>
                <w:sz w:val="24"/>
              </w:rPr>
              <w:t xml:space="preserve"> </w:t>
            </w:r>
            <w:r>
              <w:rPr>
                <w:b/>
                <w:sz w:val="24"/>
              </w:rPr>
              <w:t>ARHOLIADAU</w:t>
            </w:r>
          </w:p>
        </w:tc>
      </w:tr>
      <w:tr w:rsidR="00BB46C0" w14:paraId="319A1FC6" w14:textId="77777777" w:rsidTr="00AF2698">
        <w:trPr>
          <w:trHeight w:val="284"/>
        </w:trPr>
        <w:tc>
          <w:tcPr>
            <w:tcW w:w="4641" w:type="dxa"/>
          </w:tcPr>
          <w:p w14:paraId="32F19F52" w14:textId="77777777" w:rsidR="00BB46C0" w:rsidRDefault="00BB46C0" w:rsidP="00AF2698">
            <w:pPr>
              <w:pStyle w:val="TableParagraph"/>
              <w:spacing w:before="8" w:line="256" w:lineRule="exact"/>
              <w:ind w:left="200"/>
              <w:rPr>
                <w:b/>
                <w:sz w:val="24"/>
              </w:rPr>
            </w:pPr>
            <w:r>
              <w:rPr>
                <w:b/>
                <w:sz w:val="24"/>
              </w:rPr>
              <w:t>JUNE</w:t>
            </w:r>
            <w:r>
              <w:rPr>
                <w:b/>
                <w:spacing w:val="-1"/>
                <w:sz w:val="24"/>
              </w:rPr>
              <w:t xml:space="preserve"> </w:t>
            </w:r>
            <w:r>
              <w:rPr>
                <w:b/>
                <w:sz w:val="24"/>
              </w:rPr>
              <w:t>2021 TERM</w:t>
            </w:r>
          </w:p>
        </w:tc>
        <w:tc>
          <w:tcPr>
            <w:tcW w:w="4618" w:type="dxa"/>
          </w:tcPr>
          <w:p w14:paraId="7A79E6DA" w14:textId="77777777" w:rsidR="00BB46C0" w:rsidRDefault="00BB46C0" w:rsidP="00AF2698">
            <w:pPr>
              <w:pStyle w:val="TableParagraph"/>
              <w:spacing w:before="8" w:line="256" w:lineRule="exact"/>
              <w:ind w:right="199"/>
              <w:jc w:val="right"/>
              <w:rPr>
                <w:b/>
                <w:sz w:val="24"/>
              </w:rPr>
            </w:pPr>
            <w:r>
              <w:rPr>
                <w:b/>
                <w:sz w:val="24"/>
              </w:rPr>
              <w:t>MEHEFIN</w:t>
            </w:r>
            <w:r>
              <w:rPr>
                <w:b/>
                <w:spacing w:val="-1"/>
                <w:sz w:val="24"/>
              </w:rPr>
              <w:t xml:space="preserve"> </w:t>
            </w:r>
            <w:r>
              <w:rPr>
                <w:b/>
                <w:sz w:val="24"/>
              </w:rPr>
              <w:t>2021</w:t>
            </w:r>
            <w:r>
              <w:rPr>
                <w:b/>
                <w:spacing w:val="-1"/>
                <w:sz w:val="24"/>
              </w:rPr>
              <w:t xml:space="preserve"> </w:t>
            </w:r>
            <w:r>
              <w:rPr>
                <w:b/>
                <w:sz w:val="24"/>
              </w:rPr>
              <w:t>TYMOR</w:t>
            </w:r>
          </w:p>
        </w:tc>
      </w:tr>
    </w:tbl>
    <w:p w14:paraId="00C1BC09" w14:textId="77777777" w:rsidR="00BB46C0" w:rsidRDefault="00BB46C0" w:rsidP="00BB46C0">
      <w:pPr>
        <w:pStyle w:val="BodyText"/>
        <w:rPr>
          <w:rFonts w:ascii="Times New Roman"/>
          <w:sz w:val="20"/>
        </w:rPr>
      </w:pPr>
    </w:p>
    <w:p w14:paraId="2357553A" w14:textId="77777777" w:rsidR="00BB46C0" w:rsidRDefault="00BB46C0" w:rsidP="00BB46C0">
      <w:pPr>
        <w:pStyle w:val="BodyText"/>
        <w:rPr>
          <w:rFonts w:ascii="Times New Roman"/>
          <w:sz w:val="20"/>
        </w:rPr>
      </w:pPr>
    </w:p>
    <w:p w14:paraId="686D4F23" w14:textId="77777777" w:rsidR="00BB46C0" w:rsidRDefault="00BB46C0" w:rsidP="00BB46C0">
      <w:pPr>
        <w:pStyle w:val="BodyText"/>
        <w:spacing w:before="3"/>
        <w:rPr>
          <w:rFonts w:ascii="Times New Roman"/>
          <w:sz w:val="27"/>
        </w:rPr>
      </w:pPr>
    </w:p>
    <w:p w14:paraId="4481D87B" w14:textId="77777777" w:rsidR="00BB46C0" w:rsidRDefault="00BB46C0" w:rsidP="00BB46C0">
      <w:pPr>
        <w:pStyle w:val="Heading1"/>
        <w:spacing w:before="90"/>
        <w:ind w:left="3169" w:right="3204" w:hanging="10"/>
      </w:pPr>
      <w:r>
        <w:t>MODULE CODE: LCBB4001</w:t>
      </w:r>
      <w:r>
        <w:rPr>
          <w:spacing w:val="-57"/>
        </w:rPr>
        <w:t xml:space="preserve"> </w:t>
      </w:r>
      <w:r>
        <w:t>COD Y MODWL:</w:t>
      </w:r>
      <w:r>
        <w:rPr>
          <w:spacing w:val="-1"/>
        </w:rPr>
        <w:t xml:space="preserve"> </w:t>
      </w:r>
      <w:r>
        <w:t>LCBB4001</w:t>
      </w:r>
    </w:p>
    <w:p w14:paraId="445AB1E9" w14:textId="77777777" w:rsidR="00BB46C0" w:rsidRDefault="00BB46C0" w:rsidP="00BB46C0">
      <w:pPr>
        <w:spacing w:line="448" w:lineRule="auto"/>
        <w:ind w:left="200" w:right="2881" w:firstLine="2635"/>
        <w:rPr>
          <w:rFonts w:ascii="Times New Roman"/>
          <w:b/>
          <w:sz w:val="24"/>
        </w:rPr>
      </w:pPr>
      <w:r>
        <w:rPr>
          <w:rFonts w:ascii="Times New Roman"/>
          <w:b/>
          <w:sz w:val="24"/>
        </w:rPr>
        <w:t>ACCOUNTING FUNDAMENTALS</w:t>
      </w:r>
      <w:r>
        <w:rPr>
          <w:rFonts w:ascii="Times New Roman"/>
          <w:b/>
          <w:spacing w:val="-57"/>
          <w:sz w:val="24"/>
        </w:rPr>
        <w:t xml:space="preserve"> </w:t>
      </w:r>
      <w:r>
        <w:rPr>
          <w:rFonts w:ascii="Times New Roman"/>
          <w:b/>
          <w:sz w:val="24"/>
        </w:rPr>
        <w:t>TIME:</w:t>
      </w:r>
      <w:r>
        <w:rPr>
          <w:rFonts w:ascii="Times New Roman"/>
          <w:b/>
          <w:spacing w:val="58"/>
          <w:sz w:val="24"/>
        </w:rPr>
        <w:t xml:space="preserve"> </w:t>
      </w:r>
      <w:r>
        <w:rPr>
          <w:rFonts w:ascii="Times New Roman"/>
          <w:b/>
          <w:sz w:val="24"/>
        </w:rPr>
        <w:t>9:00AM</w:t>
      </w:r>
      <w:r>
        <w:rPr>
          <w:rFonts w:ascii="Times New Roman"/>
          <w:b/>
          <w:spacing w:val="-1"/>
          <w:sz w:val="24"/>
        </w:rPr>
        <w:t xml:space="preserve"> </w:t>
      </w:r>
      <w:r>
        <w:rPr>
          <w:rFonts w:ascii="Times New Roman"/>
          <w:b/>
          <w:sz w:val="24"/>
        </w:rPr>
        <w:t>TO 4:00PM</w:t>
      </w:r>
    </w:p>
    <w:p w14:paraId="66681F91" w14:textId="77777777" w:rsidR="00BB46C0" w:rsidRDefault="00BB46C0" w:rsidP="00BB46C0">
      <w:pPr>
        <w:pStyle w:val="BodyText"/>
        <w:rPr>
          <w:rFonts w:ascii="Times New Roman"/>
          <w:b/>
          <w:sz w:val="26"/>
        </w:rPr>
      </w:pPr>
    </w:p>
    <w:p w14:paraId="438FFB68" w14:textId="77777777" w:rsidR="00BB46C0" w:rsidRDefault="00BB46C0" w:rsidP="00BB46C0">
      <w:pPr>
        <w:pStyle w:val="BodyText"/>
        <w:rPr>
          <w:rFonts w:ascii="Times New Roman"/>
          <w:b/>
          <w:sz w:val="26"/>
        </w:rPr>
      </w:pPr>
    </w:p>
    <w:p w14:paraId="05AC96AF" w14:textId="77777777" w:rsidR="00BB46C0" w:rsidRDefault="00BB46C0" w:rsidP="00BB46C0">
      <w:pPr>
        <w:pStyle w:val="BodyText"/>
        <w:tabs>
          <w:tab w:val="left" w:pos="2360"/>
          <w:tab w:val="left" w:pos="6736"/>
        </w:tabs>
        <w:spacing w:before="230"/>
        <w:ind w:left="200"/>
        <w:rPr>
          <w:rFonts w:ascii="Times New Roman"/>
        </w:rPr>
      </w:pPr>
      <w:r>
        <w:rPr>
          <w:rFonts w:ascii="Times New Roman"/>
        </w:rPr>
        <w:t>Name</w:t>
      </w:r>
      <w:r>
        <w:rPr>
          <w:rFonts w:ascii="Times New Roman"/>
        </w:rPr>
        <w:tab/>
        <w:t>:</w:t>
      </w:r>
      <w:r>
        <w:rPr>
          <w:rFonts w:ascii="Times New Roman"/>
          <w:spacing w:val="1"/>
        </w:rPr>
        <w:t xml:space="preserve"> </w:t>
      </w:r>
      <w:r>
        <w:rPr>
          <w:rFonts w:ascii="Times New Roman"/>
          <w:u w:val="single"/>
        </w:rPr>
        <w:t xml:space="preserve"> Valentina Georgieva Pencheva</w:t>
      </w:r>
      <w:r>
        <w:rPr>
          <w:rFonts w:ascii="Times New Roman"/>
          <w:u w:val="single"/>
        </w:rPr>
        <w:tab/>
      </w:r>
      <w:r>
        <w:rPr>
          <w:rFonts w:ascii="Times New Roman"/>
          <w:u w:val="single"/>
        </w:rPr>
        <w:tab/>
      </w:r>
    </w:p>
    <w:p w14:paraId="491D5924" w14:textId="77777777" w:rsidR="00BB46C0" w:rsidRDefault="00BB46C0" w:rsidP="00BB46C0">
      <w:pPr>
        <w:pStyle w:val="BodyText"/>
        <w:spacing w:before="2"/>
        <w:rPr>
          <w:rFonts w:ascii="Times New Roman"/>
          <w:sz w:val="16"/>
        </w:rPr>
      </w:pPr>
    </w:p>
    <w:p w14:paraId="05F1A24F" w14:textId="77777777" w:rsidR="00BB46C0" w:rsidRDefault="00BB46C0" w:rsidP="00BB46C0">
      <w:pPr>
        <w:pStyle w:val="BodyText"/>
        <w:tabs>
          <w:tab w:val="left" w:pos="2360"/>
          <w:tab w:val="left" w:pos="6736"/>
        </w:tabs>
        <w:spacing w:before="90"/>
        <w:ind w:left="200"/>
        <w:rPr>
          <w:rFonts w:ascii="Times New Roman"/>
        </w:rPr>
      </w:pPr>
      <w:r>
        <w:rPr>
          <w:rFonts w:ascii="Times New Roman"/>
        </w:rPr>
        <w:t>Student</w:t>
      </w:r>
      <w:r>
        <w:rPr>
          <w:rFonts w:ascii="Times New Roman"/>
          <w:spacing w:val="-2"/>
        </w:rPr>
        <w:t xml:space="preserve"> </w:t>
      </w:r>
      <w:r>
        <w:rPr>
          <w:rFonts w:ascii="Times New Roman"/>
        </w:rPr>
        <w:t>ID</w:t>
      </w:r>
      <w:r>
        <w:rPr>
          <w:rFonts w:ascii="Times New Roman"/>
        </w:rPr>
        <w:tab/>
        <w:t>:</w:t>
      </w:r>
      <w:r>
        <w:rPr>
          <w:rFonts w:ascii="Times New Roman"/>
          <w:spacing w:val="1"/>
        </w:rPr>
        <w:t xml:space="preserve"> </w:t>
      </w:r>
      <w:r>
        <w:rPr>
          <w:rFonts w:ascii="Times New Roman"/>
          <w:u w:val="single"/>
        </w:rPr>
        <w:t xml:space="preserve"> 2023164</w:t>
      </w:r>
      <w:r>
        <w:rPr>
          <w:rFonts w:ascii="Times New Roman"/>
          <w:u w:val="single"/>
        </w:rPr>
        <w:tab/>
      </w:r>
    </w:p>
    <w:p w14:paraId="21EC5737" w14:textId="77777777" w:rsidR="00BB46C0" w:rsidRDefault="00BB46C0" w:rsidP="00BB46C0">
      <w:pPr>
        <w:pStyle w:val="BodyText"/>
        <w:spacing w:before="2"/>
        <w:rPr>
          <w:rFonts w:ascii="Times New Roman"/>
          <w:sz w:val="16"/>
        </w:rPr>
      </w:pPr>
    </w:p>
    <w:p w14:paraId="02DA9A66" w14:textId="77777777" w:rsidR="00BB46C0" w:rsidRDefault="00BB46C0" w:rsidP="00BB46C0">
      <w:pPr>
        <w:pStyle w:val="BodyText"/>
        <w:tabs>
          <w:tab w:val="left" w:pos="2360"/>
          <w:tab w:val="left" w:pos="6736"/>
        </w:tabs>
        <w:spacing w:before="90"/>
        <w:ind w:left="200"/>
        <w:rPr>
          <w:rFonts w:ascii="Times New Roman"/>
        </w:rPr>
      </w:pPr>
      <w:r>
        <w:rPr>
          <w:rFonts w:ascii="Times New Roman"/>
        </w:rPr>
        <w:t>Date</w:t>
      </w:r>
      <w:r>
        <w:rPr>
          <w:rFonts w:ascii="Times New Roman"/>
          <w:spacing w:val="-1"/>
        </w:rPr>
        <w:t xml:space="preserve"> </w:t>
      </w:r>
      <w:r>
        <w:rPr>
          <w:rFonts w:ascii="Times New Roman"/>
        </w:rPr>
        <w:t>&amp; Time</w:t>
      </w:r>
      <w:r>
        <w:rPr>
          <w:rFonts w:ascii="Times New Roman"/>
        </w:rPr>
        <w:tab/>
        <w:t>:</w:t>
      </w:r>
      <w:r>
        <w:rPr>
          <w:rFonts w:ascii="Times New Roman"/>
          <w:spacing w:val="1"/>
        </w:rPr>
        <w:t xml:space="preserve"> </w:t>
      </w:r>
      <w:r>
        <w:rPr>
          <w:rFonts w:ascii="Times New Roman"/>
          <w:u w:val="single"/>
        </w:rPr>
        <w:t xml:space="preserve"> 27.08.2021 09:00 AM to 4:00PM</w:t>
      </w:r>
      <w:r>
        <w:rPr>
          <w:rFonts w:ascii="Times New Roman"/>
          <w:u w:val="single"/>
        </w:rPr>
        <w:tab/>
      </w:r>
    </w:p>
    <w:p w14:paraId="1761DE20" w14:textId="77777777" w:rsidR="00BB46C0" w:rsidRDefault="00BB46C0" w:rsidP="00BB46C0">
      <w:pPr>
        <w:rPr>
          <w:rFonts w:ascii="Times New Roman"/>
        </w:rPr>
        <w:sectPr w:rsidR="00BB46C0" w:rsidSect="00BB46C0">
          <w:pgSz w:w="11910" w:h="16840"/>
          <w:pgMar w:top="1420" w:right="1180" w:bottom="280" w:left="1240" w:header="720" w:footer="720" w:gutter="0"/>
          <w:cols w:space="720"/>
        </w:sectPr>
      </w:pPr>
    </w:p>
    <w:p w14:paraId="20932568" w14:textId="77777777" w:rsidR="00BB46C0" w:rsidRDefault="00BB46C0" w:rsidP="00BB46C0">
      <w:pPr>
        <w:pStyle w:val="Heading1"/>
        <w:spacing w:before="82"/>
        <w:rPr>
          <w:rFonts w:ascii="Arial"/>
        </w:rPr>
      </w:pPr>
      <w:r>
        <w:rPr>
          <w:rFonts w:ascii="Arial"/>
        </w:rPr>
        <w:lastRenderedPageBreak/>
        <w:t>QUESTION 1</w:t>
      </w:r>
    </w:p>
    <w:p w14:paraId="480EBE9A" w14:textId="77777777" w:rsidR="00BB46C0" w:rsidRDefault="00BB46C0" w:rsidP="00BB46C0">
      <w:pPr>
        <w:pStyle w:val="BodyText"/>
        <w:rPr>
          <w:b/>
          <w:sz w:val="26"/>
        </w:rPr>
      </w:pPr>
    </w:p>
    <w:p w14:paraId="78B30025" w14:textId="77777777" w:rsidR="00BB46C0" w:rsidRDefault="00BB46C0" w:rsidP="00BB46C0">
      <w:pPr>
        <w:pStyle w:val="BodyText"/>
        <w:spacing w:before="8"/>
        <w:rPr>
          <w:b/>
          <w:sz w:val="29"/>
        </w:rPr>
      </w:pPr>
    </w:p>
    <w:p w14:paraId="0619825B" w14:textId="77777777" w:rsidR="00BB46C0" w:rsidRDefault="00BB46C0" w:rsidP="00BB46C0">
      <w:pPr>
        <w:pStyle w:val="BodyText"/>
        <w:spacing w:before="1" w:line="259" w:lineRule="auto"/>
        <w:ind w:left="920" w:right="492"/>
      </w:pPr>
      <w:r>
        <w:t>Kerrigan Ltd makes and sells product A. The current selling price is £11 and</w:t>
      </w:r>
      <w:r>
        <w:rPr>
          <w:spacing w:val="-65"/>
        </w:rPr>
        <w:t xml:space="preserve"> </w:t>
      </w:r>
      <w:r>
        <w:t>the</w:t>
      </w:r>
      <w:r>
        <w:rPr>
          <w:spacing w:val="-2"/>
        </w:rPr>
        <w:t xml:space="preserve"> </w:t>
      </w:r>
      <w:r>
        <w:t>total</w:t>
      </w:r>
      <w:r>
        <w:rPr>
          <w:spacing w:val="-3"/>
        </w:rPr>
        <w:t xml:space="preserve"> </w:t>
      </w:r>
      <w:r>
        <w:t>of</w:t>
      </w:r>
      <w:r>
        <w:rPr>
          <w:spacing w:val="-2"/>
        </w:rPr>
        <w:t xml:space="preserve"> </w:t>
      </w:r>
      <w:r>
        <w:t>variable</w:t>
      </w:r>
      <w:r>
        <w:rPr>
          <w:spacing w:val="-1"/>
        </w:rPr>
        <w:t xml:space="preserve"> </w:t>
      </w:r>
      <w:r>
        <w:t>costs</w:t>
      </w:r>
      <w:r>
        <w:rPr>
          <w:spacing w:val="-1"/>
        </w:rPr>
        <w:t xml:space="preserve"> </w:t>
      </w:r>
      <w:r>
        <w:t>per</w:t>
      </w:r>
      <w:r>
        <w:rPr>
          <w:spacing w:val="-1"/>
        </w:rPr>
        <w:t xml:space="preserve"> </w:t>
      </w:r>
      <w:r>
        <w:t>unit</w:t>
      </w:r>
      <w:r>
        <w:rPr>
          <w:spacing w:val="-1"/>
        </w:rPr>
        <w:t xml:space="preserve"> </w:t>
      </w:r>
      <w:r>
        <w:t>is</w:t>
      </w:r>
      <w:r>
        <w:rPr>
          <w:spacing w:val="-1"/>
        </w:rPr>
        <w:t xml:space="preserve"> </w:t>
      </w:r>
      <w:r>
        <w:t>£6.</w:t>
      </w:r>
      <w:r>
        <w:rPr>
          <w:spacing w:val="4"/>
        </w:rPr>
        <w:t xml:space="preserve"> </w:t>
      </w:r>
      <w:r>
        <w:t>The</w:t>
      </w:r>
      <w:r>
        <w:rPr>
          <w:spacing w:val="-1"/>
        </w:rPr>
        <w:t xml:space="preserve"> </w:t>
      </w:r>
      <w:r>
        <w:t>fixed costs</w:t>
      </w:r>
      <w:r>
        <w:rPr>
          <w:spacing w:val="-3"/>
        </w:rPr>
        <w:t xml:space="preserve"> </w:t>
      </w:r>
      <w:r>
        <w:t>of</w:t>
      </w:r>
      <w:r>
        <w:rPr>
          <w:spacing w:val="-3"/>
        </w:rPr>
        <w:t xml:space="preserve"> </w:t>
      </w:r>
      <w:r>
        <w:t>production</w:t>
      </w:r>
      <w:r>
        <w:rPr>
          <w:spacing w:val="-1"/>
        </w:rPr>
        <w:t xml:space="preserve"> </w:t>
      </w:r>
      <w:r>
        <w:t>are</w:t>
      </w:r>
    </w:p>
    <w:p w14:paraId="1BAA9ABA" w14:textId="77777777" w:rsidR="00BB46C0" w:rsidRDefault="00BB46C0" w:rsidP="00BB46C0">
      <w:pPr>
        <w:pStyle w:val="BodyText"/>
        <w:spacing w:line="275" w:lineRule="exact"/>
        <w:ind w:left="920"/>
      </w:pPr>
      <w:r>
        <w:t>£350,000</w:t>
      </w:r>
      <w:r>
        <w:rPr>
          <w:spacing w:val="-2"/>
        </w:rPr>
        <w:t xml:space="preserve"> </w:t>
      </w:r>
      <w:r>
        <w:t>and</w:t>
      </w:r>
      <w:r>
        <w:rPr>
          <w:spacing w:val="-3"/>
        </w:rPr>
        <w:t xml:space="preserve"> </w:t>
      </w:r>
      <w:r>
        <w:t>the</w:t>
      </w:r>
      <w:r>
        <w:rPr>
          <w:spacing w:val="-4"/>
        </w:rPr>
        <w:t xml:space="preserve"> </w:t>
      </w:r>
      <w:r>
        <w:t>company</w:t>
      </w:r>
      <w:r>
        <w:rPr>
          <w:spacing w:val="-1"/>
        </w:rPr>
        <w:t xml:space="preserve"> </w:t>
      </w:r>
      <w:r>
        <w:t>currently</w:t>
      </w:r>
      <w:r>
        <w:rPr>
          <w:spacing w:val="-2"/>
        </w:rPr>
        <w:t xml:space="preserve"> </w:t>
      </w:r>
      <w:r>
        <w:t>sells</w:t>
      </w:r>
      <w:r>
        <w:rPr>
          <w:spacing w:val="-3"/>
        </w:rPr>
        <w:t xml:space="preserve"> </w:t>
      </w:r>
      <w:r>
        <w:t>75,000</w:t>
      </w:r>
      <w:r>
        <w:rPr>
          <w:spacing w:val="-4"/>
        </w:rPr>
        <w:t xml:space="preserve"> </w:t>
      </w:r>
      <w:r>
        <w:t>units.</w:t>
      </w:r>
    </w:p>
    <w:p w14:paraId="7AFE97DA" w14:textId="77777777" w:rsidR="00BB46C0" w:rsidRDefault="00BB46C0" w:rsidP="00BB46C0">
      <w:pPr>
        <w:pStyle w:val="BodyText"/>
        <w:rPr>
          <w:sz w:val="26"/>
        </w:rPr>
      </w:pPr>
    </w:p>
    <w:p w14:paraId="14146E93" w14:textId="77777777" w:rsidR="00BB46C0" w:rsidRDefault="00BB46C0" w:rsidP="00BB46C0">
      <w:pPr>
        <w:pStyle w:val="BodyText"/>
        <w:spacing w:before="5"/>
        <w:rPr>
          <w:sz w:val="29"/>
        </w:rPr>
      </w:pPr>
    </w:p>
    <w:p w14:paraId="6EE2B1ED" w14:textId="77777777" w:rsidR="00BB46C0" w:rsidRDefault="00BB46C0" w:rsidP="00BB46C0">
      <w:pPr>
        <w:pStyle w:val="Heading2"/>
        <w:spacing w:before="1"/>
        <w:ind w:left="920"/>
      </w:pPr>
      <w:r>
        <w:t>Required:</w:t>
      </w:r>
    </w:p>
    <w:p w14:paraId="09D0B79A" w14:textId="77777777" w:rsidR="00BB46C0" w:rsidRDefault="00BB46C0" w:rsidP="00BB46C0">
      <w:pPr>
        <w:pStyle w:val="BodyText"/>
        <w:rPr>
          <w:b/>
          <w:sz w:val="26"/>
        </w:rPr>
      </w:pPr>
    </w:p>
    <w:p w14:paraId="27205501" w14:textId="77777777" w:rsidR="00BB46C0" w:rsidRDefault="00BB46C0" w:rsidP="00BB46C0">
      <w:pPr>
        <w:pStyle w:val="BodyText"/>
        <w:spacing w:before="8"/>
        <w:rPr>
          <w:b/>
          <w:sz w:val="29"/>
        </w:rPr>
      </w:pPr>
    </w:p>
    <w:p w14:paraId="1E69DAD6" w14:textId="77777777" w:rsidR="00BB46C0" w:rsidRDefault="00BB46C0" w:rsidP="00BB46C0">
      <w:pPr>
        <w:pStyle w:val="ListParagraph"/>
        <w:widowControl w:val="0"/>
        <w:numPr>
          <w:ilvl w:val="0"/>
          <w:numId w:val="4"/>
        </w:numPr>
        <w:tabs>
          <w:tab w:val="left" w:pos="1773"/>
          <w:tab w:val="left" w:pos="8232"/>
        </w:tabs>
        <w:autoSpaceDE w:val="0"/>
        <w:autoSpaceDN w:val="0"/>
        <w:spacing w:after="0" w:line="240" w:lineRule="auto"/>
        <w:ind w:right="588"/>
        <w:contextualSpacing w:val="0"/>
        <w:rPr>
          <w:b/>
          <w:sz w:val="24"/>
        </w:rPr>
      </w:pPr>
      <w:r>
        <w:rPr>
          <w:sz w:val="24"/>
        </w:rPr>
        <w:t>Calculate the break-even point (in units and revenues) of product A</w:t>
      </w:r>
      <w:r>
        <w:rPr>
          <w:spacing w:val="-64"/>
          <w:sz w:val="24"/>
        </w:rPr>
        <w:t xml:space="preserve"> </w:t>
      </w:r>
      <w:r>
        <w:rPr>
          <w:sz w:val="24"/>
        </w:rPr>
        <w:t>for</w:t>
      </w:r>
      <w:r>
        <w:rPr>
          <w:spacing w:val="-1"/>
          <w:sz w:val="24"/>
        </w:rPr>
        <w:t xml:space="preserve"> </w:t>
      </w:r>
      <w:r>
        <w:rPr>
          <w:sz w:val="24"/>
        </w:rPr>
        <w:t>Kerrigan</w:t>
      </w:r>
      <w:r>
        <w:rPr>
          <w:spacing w:val="-2"/>
          <w:sz w:val="24"/>
        </w:rPr>
        <w:t xml:space="preserve"> </w:t>
      </w:r>
      <w:r>
        <w:rPr>
          <w:sz w:val="24"/>
        </w:rPr>
        <w:t>Ltd.</w:t>
      </w:r>
      <w:r>
        <w:rPr>
          <w:sz w:val="24"/>
        </w:rPr>
        <w:tab/>
      </w:r>
      <w:r>
        <w:rPr>
          <w:b/>
          <w:sz w:val="24"/>
        </w:rPr>
        <w:t>[10</w:t>
      </w:r>
    </w:p>
    <w:p w14:paraId="5DFD048E" w14:textId="77777777" w:rsidR="00BB46C0" w:rsidRDefault="00BB46C0" w:rsidP="00BB46C0">
      <w:pPr>
        <w:pStyle w:val="Heading2"/>
        <w:spacing w:before="1"/>
      </w:pPr>
      <w:r>
        <w:t>marks]</w:t>
      </w:r>
    </w:p>
    <w:p w14:paraId="4EA499FF" w14:textId="77777777" w:rsidR="00BB46C0" w:rsidRDefault="00BB46C0" w:rsidP="00BB46C0">
      <w:pPr>
        <w:pStyle w:val="BodyText"/>
        <w:rPr>
          <w:b/>
          <w:sz w:val="26"/>
        </w:rPr>
      </w:pPr>
    </w:p>
    <w:p w14:paraId="1BB4A062" w14:textId="77777777" w:rsidR="00BB46C0" w:rsidRDefault="00BB46C0" w:rsidP="00BB46C0">
      <w:pPr>
        <w:pStyle w:val="ListParagraph"/>
        <w:widowControl w:val="0"/>
        <w:numPr>
          <w:ilvl w:val="0"/>
          <w:numId w:val="4"/>
        </w:numPr>
        <w:tabs>
          <w:tab w:val="left" w:pos="1773"/>
          <w:tab w:val="left" w:pos="8004"/>
        </w:tabs>
        <w:autoSpaceDE w:val="0"/>
        <w:autoSpaceDN w:val="0"/>
        <w:spacing w:before="157" w:after="0" w:line="240" w:lineRule="auto"/>
        <w:ind w:hanging="361"/>
        <w:contextualSpacing w:val="0"/>
        <w:rPr>
          <w:b/>
          <w:sz w:val="24"/>
        </w:rPr>
      </w:pPr>
      <w:r>
        <w:rPr>
          <w:sz w:val="24"/>
        </w:rPr>
        <w:t>Calculate</w:t>
      </w:r>
      <w:r>
        <w:rPr>
          <w:spacing w:val="-3"/>
          <w:sz w:val="24"/>
        </w:rPr>
        <w:t xml:space="preserve"> </w:t>
      </w:r>
      <w:r>
        <w:rPr>
          <w:sz w:val="24"/>
        </w:rPr>
        <w:t>the</w:t>
      </w:r>
      <w:r>
        <w:rPr>
          <w:spacing w:val="-2"/>
          <w:sz w:val="24"/>
        </w:rPr>
        <w:t xml:space="preserve"> </w:t>
      </w:r>
      <w:r>
        <w:rPr>
          <w:sz w:val="24"/>
        </w:rPr>
        <w:t>profit</w:t>
      </w:r>
      <w:r>
        <w:rPr>
          <w:spacing w:val="-2"/>
          <w:sz w:val="24"/>
        </w:rPr>
        <w:t xml:space="preserve"> </w:t>
      </w:r>
      <w:r>
        <w:rPr>
          <w:sz w:val="24"/>
        </w:rPr>
        <w:t>made</w:t>
      </w:r>
      <w:r>
        <w:rPr>
          <w:spacing w:val="-1"/>
          <w:sz w:val="24"/>
        </w:rPr>
        <w:t xml:space="preserve"> </w:t>
      </w:r>
      <w:r>
        <w:rPr>
          <w:sz w:val="24"/>
        </w:rPr>
        <w:t>on sales</w:t>
      </w:r>
      <w:r>
        <w:rPr>
          <w:spacing w:val="-2"/>
          <w:sz w:val="24"/>
        </w:rPr>
        <w:t xml:space="preserve"> </w:t>
      </w:r>
      <w:r>
        <w:rPr>
          <w:sz w:val="24"/>
        </w:rPr>
        <w:t>of</w:t>
      </w:r>
      <w:r>
        <w:rPr>
          <w:spacing w:val="-2"/>
          <w:sz w:val="24"/>
        </w:rPr>
        <w:t xml:space="preserve"> </w:t>
      </w:r>
      <w:r>
        <w:rPr>
          <w:sz w:val="24"/>
        </w:rPr>
        <w:t>75,000</w:t>
      </w:r>
      <w:r>
        <w:rPr>
          <w:spacing w:val="-3"/>
          <w:sz w:val="24"/>
        </w:rPr>
        <w:t xml:space="preserve"> </w:t>
      </w:r>
      <w:r>
        <w:rPr>
          <w:sz w:val="24"/>
        </w:rPr>
        <w:t>units.</w:t>
      </w:r>
      <w:r>
        <w:rPr>
          <w:sz w:val="24"/>
        </w:rPr>
        <w:tab/>
      </w:r>
      <w:r>
        <w:rPr>
          <w:b/>
          <w:sz w:val="24"/>
        </w:rPr>
        <w:t>[10</w:t>
      </w:r>
      <w:r>
        <w:rPr>
          <w:b/>
          <w:spacing w:val="-3"/>
          <w:sz w:val="24"/>
        </w:rPr>
        <w:t xml:space="preserve"> </w:t>
      </w:r>
      <w:r>
        <w:rPr>
          <w:b/>
          <w:sz w:val="24"/>
        </w:rPr>
        <w:t>marks]</w:t>
      </w:r>
    </w:p>
    <w:p w14:paraId="7B7993C8" w14:textId="77777777" w:rsidR="00BB46C0" w:rsidRDefault="00BB46C0" w:rsidP="00BB46C0">
      <w:pPr>
        <w:pStyle w:val="BodyText"/>
        <w:rPr>
          <w:b/>
          <w:sz w:val="26"/>
        </w:rPr>
      </w:pPr>
    </w:p>
    <w:p w14:paraId="02276B1A" w14:textId="77777777" w:rsidR="00BB46C0" w:rsidRDefault="00BB46C0" w:rsidP="00BB46C0">
      <w:pPr>
        <w:pStyle w:val="BodyText"/>
        <w:rPr>
          <w:b/>
          <w:sz w:val="26"/>
        </w:rPr>
      </w:pPr>
    </w:p>
    <w:p w14:paraId="3D447945" w14:textId="77777777" w:rsidR="00BB46C0" w:rsidRDefault="00BB46C0" w:rsidP="00BB46C0">
      <w:pPr>
        <w:pStyle w:val="BodyText"/>
        <w:spacing w:before="8"/>
        <w:rPr>
          <w:b/>
          <w:sz w:val="27"/>
        </w:rPr>
      </w:pPr>
    </w:p>
    <w:p w14:paraId="06ED2816" w14:textId="77777777" w:rsidR="00BB46C0" w:rsidRDefault="00BB46C0" w:rsidP="00BB46C0">
      <w:pPr>
        <w:pStyle w:val="ListParagraph"/>
        <w:widowControl w:val="0"/>
        <w:numPr>
          <w:ilvl w:val="0"/>
          <w:numId w:val="4"/>
        </w:numPr>
        <w:tabs>
          <w:tab w:val="left" w:pos="1773"/>
          <w:tab w:val="left" w:pos="8004"/>
        </w:tabs>
        <w:autoSpaceDE w:val="0"/>
        <w:autoSpaceDN w:val="0"/>
        <w:spacing w:after="0" w:line="240" w:lineRule="auto"/>
        <w:ind w:right="280"/>
        <w:contextualSpacing w:val="0"/>
        <w:rPr>
          <w:b/>
          <w:sz w:val="24"/>
        </w:rPr>
      </w:pPr>
      <w:r>
        <w:rPr>
          <w:sz w:val="24"/>
        </w:rPr>
        <w:t>The company will make an advertising campaign costs £10,000 and</w:t>
      </w:r>
      <w:r>
        <w:rPr>
          <w:spacing w:val="1"/>
          <w:sz w:val="24"/>
        </w:rPr>
        <w:t xml:space="preserve"> </w:t>
      </w:r>
      <w:r>
        <w:rPr>
          <w:sz w:val="24"/>
        </w:rPr>
        <w:t>will</w:t>
      </w:r>
      <w:r>
        <w:rPr>
          <w:spacing w:val="5"/>
          <w:sz w:val="24"/>
        </w:rPr>
        <w:t xml:space="preserve"> </w:t>
      </w:r>
      <w:r>
        <w:rPr>
          <w:sz w:val="24"/>
        </w:rPr>
        <w:t>improve</w:t>
      </w:r>
      <w:r>
        <w:rPr>
          <w:spacing w:val="8"/>
          <w:sz w:val="24"/>
        </w:rPr>
        <w:t xml:space="preserve"> </w:t>
      </w:r>
      <w:r>
        <w:rPr>
          <w:sz w:val="24"/>
        </w:rPr>
        <w:t>the</w:t>
      </w:r>
      <w:r>
        <w:rPr>
          <w:spacing w:val="6"/>
          <w:sz w:val="24"/>
        </w:rPr>
        <w:t xml:space="preserve"> </w:t>
      </w:r>
      <w:r>
        <w:rPr>
          <w:sz w:val="24"/>
        </w:rPr>
        <w:t>product</w:t>
      </w:r>
      <w:r>
        <w:rPr>
          <w:spacing w:val="7"/>
          <w:sz w:val="24"/>
        </w:rPr>
        <w:t xml:space="preserve"> </w:t>
      </w:r>
      <w:r>
        <w:rPr>
          <w:sz w:val="24"/>
        </w:rPr>
        <w:t>specifications,</w:t>
      </w:r>
      <w:r>
        <w:rPr>
          <w:spacing w:val="5"/>
          <w:sz w:val="24"/>
        </w:rPr>
        <w:t xml:space="preserve"> </w:t>
      </w:r>
      <w:r>
        <w:rPr>
          <w:sz w:val="24"/>
        </w:rPr>
        <w:t>which</w:t>
      </w:r>
      <w:r>
        <w:rPr>
          <w:spacing w:val="4"/>
          <w:sz w:val="24"/>
        </w:rPr>
        <w:t xml:space="preserve"> </w:t>
      </w:r>
      <w:r>
        <w:rPr>
          <w:sz w:val="24"/>
        </w:rPr>
        <w:t>will</w:t>
      </w:r>
      <w:r>
        <w:rPr>
          <w:spacing w:val="6"/>
          <w:sz w:val="24"/>
        </w:rPr>
        <w:t xml:space="preserve"> </w:t>
      </w:r>
      <w:r>
        <w:rPr>
          <w:sz w:val="24"/>
        </w:rPr>
        <w:t>increase</w:t>
      </w:r>
      <w:r>
        <w:rPr>
          <w:spacing w:val="7"/>
          <w:sz w:val="24"/>
        </w:rPr>
        <w:t xml:space="preserve"> </w:t>
      </w:r>
      <w:r>
        <w:rPr>
          <w:sz w:val="24"/>
        </w:rPr>
        <w:t>the</w:t>
      </w:r>
      <w:r>
        <w:rPr>
          <w:spacing w:val="1"/>
          <w:sz w:val="24"/>
        </w:rPr>
        <w:t xml:space="preserve"> </w:t>
      </w:r>
      <w:r>
        <w:rPr>
          <w:sz w:val="24"/>
        </w:rPr>
        <w:t>variable cost per unit by £1. This is expected to allow the company to</w:t>
      </w:r>
      <w:r>
        <w:rPr>
          <w:spacing w:val="1"/>
          <w:sz w:val="24"/>
        </w:rPr>
        <w:t xml:space="preserve"> </w:t>
      </w:r>
      <w:r>
        <w:rPr>
          <w:sz w:val="24"/>
        </w:rPr>
        <w:t>increase the selling price to £13 and the sales is expected to be</w:t>
      </w:r>
      <w:r>
        <w:rPr>
          <w:spacing w:val="1"/>
          <w:sz w:val="24"/>
        </w:rPr>
        <w:t xml:space="preserve"> </w:t>
      </w:r>
      <w:r>
        <w:rPr>
          <w:sz w:val="24"/>
        </w:rPr>
        <w:t>80,000 unites.</w:t>
      </w:r>
      <w:r>
        <w:rPr>
          <w:spacing w:val="66"/>
          <w:sz w:val="24"/>
        </w:rPr>
        <w:t xml:space="preserve"> </w:t>
      </w:r>
      <w:r>
        <w:rPr>
          <w:sz w:val="24"/>
        </w:rPr>
        <w:t>Calculate the new profit figure for the improved</w:t>
      </w:r>
      <w:r>
        <w:rPr>
          <w:spacing w:val="1"/>
          <w:sz w:val="24"/>
        </w:rPr>
        <w:t xml:space="preserve"> </w:t>
      </w:r>
      <w:r>
        <w:rPr>
          <w:sz w:val="24"/>
        </w:rPr>
        <w:t>product.</w:t>
      </w:r>
      <w:r>
        <w:rPr>
          <w:sz w:val="24"/>
        </w:rPr>
        <w:tab/>
      </w:r>
      <w:r>
        <w:rPr>
          <w:b/>
          <w:sz w:val="24"/>
        </w:rPr>
        <w:t>[15</w:t>
      </w:r>
      <w:r>
        <w:rPr>
          <w:b/>
          <w:spacing w:val="-14"/>
          <w:sz w:val="24"/>
        </w:rPr>
        <w:t xml:space="preserve"> </w:t>
      </w:r>
      <w:r>
        <w:rPr>
          <w:b/>
          <w:sz w:val="24"/>
        </w:rPr>
        <w:t>marks]</w:t>
      </w:r>
    </w:p>
    <w:p w14:paraId="53277A34" w14:textId="77777777" w:rsidR="00BB46C0" w:rsidRDefault="00BB46C0" w:rsidP="00BB46C0">
      <w:pPr>
        <w:pStyle w:val="BodyText"/>
        <w:rPr>
          <w:b/>
          <w:sz w:val="26"/>
        </w:rPr>
      </w:pPr>
    </w:p>
    <w:p w14:paraId="2C880F28" w14:textId="77777777" w:rsidR="00BB46C0" w:rsidRDefault="00BB46C0" w:rsidP="00BB46C0">
      <w:pPr>
        <w:pStyle w:val="ListParagraph"/>
        <w:widowControl w:val="0"/>
        <w:numPr>
          <w:ilvl w:val="0"/>
          <w:numId w:val="4"/>
        </w:numPr>
        <w:tabs>
          <w:tab w:val="left" w:pos="1773"/>
          <w:tab w:val="left" w:pos="8018"/>
        </w:tabs>
        <w:autoSpaceDE w:val="0"/>
        <w:autoSpaceDN w:val="0"/>
        <w:spacing w:before="160" w:after="0" w:line="240" w:lineRule="auto"/>
        <w:ind w:hanging="361"/>
        <w:contextualSpacing w:val="0"/>
        <w:rPr>
          <w:b/>
          <w:sz w:val="24"/>
        </w:rPr>
      </w:pPr>
      <w:r>
        <w:rPr>
          <w:sz w:val="24"/>
        </w:rPr>
        <w:t>Discuss</w:t>
      </w:r>
      <w:r>
        <w:rPr>
          <w:spacing w:val="-2"/>
          <w:sz w:val="24"/>
        </w:rPr>
        <w:t xml:space="preserve"> </w:t>
      </w:r>
      <w:r>
        <w:rPr>
          <w:sz w:val="24"/>
        </w:rPr>
        <w:t>the</w:t>
      </w:r>
      <w:r>
        <w:rPr>
          <w:spacing w:val="-1"/>
          <w:sz w:val="24"/>
        </w:rPr>
        <w:t xml:space="preserve"> </w:t>
      </w:r>
      <w:r>
        <w:rPr>
          <w:sz w:val="24"/>
        </w:rPr>
        <w:t>limitations</w:t>
      </w:r>
      <w:r>
        <w:rPr>
          <w:spacing w:val="-3"/>
          <w:sz w:val="24"/>
        </w:rPr>
        <w:t xml:space="preserve"> </w:t>
      </w:r>
      <w:r>
        <w:rPr>
          <w:sz w:val="24"/>
        </w:rPr>
        <w:t>of</w:t>
      </w:r>
      <w:r>
        <w:rPr>
          <w:spacing w:val="-1"/>
          <w:sz w:val="24"/>
        </w:rPr>
        <w:t xml:space="preserve"> </w:t>
      </w:r>
      <w:r>
        <w:rPr>
          <w:sz w:val="24"/>
        </w:rPr>
        <w:t>break-even</w:t>
      </w:r>
      <w:r>
        <w:rPr>
          <w:spacing w:val="-4"/>
          <w:sz w:val="24"/>
        </w:rPr>
        <w:t xml:space="preserve"> </w:t>
      </w:r>
      <w:r>
        <w:rPr>
          <w:sz w:val="24"/>
        </w:rPr>
        <w:t>analysis.</w:t>
      </w:r>
      <w:r>
        <w:rPr>
          <w:sz w:val="24"/>
        </w:rPr>
        <w:tab/>
      </w:r>
      <w:r>
        <w:rPr>
          <w:b/>
          <w:sz w:val="24"/>
        </w:rPr>
        <w:t>[15</w:t>
      </w:r>
      <w:r>
        <w:rPr>
          <w:b/>
          <w:spacing w:val="-1"/>
          <w:sz w:val="24"/>
        </w:rPr>
        <w:t xml:space="preserve"> </w:t>
      </w:r>
      <w:r>
        <w:rPr>
          <w:b/>
          <w:sz w:val="24"/>
        </w:rPr>
        <w:t>marks]</w:t>
      </w:r>
    </w:p>
    <w:p w14:paraId="7ABA4B71" w14:textId="77777777" w:rsidR="00BB46C0" w:rsidRDefault="00BB46C0" w:rsidP="00BB46C0">
      <w:pPr>
        <w:pStyle w:val="BodyText"/>
        <w:rPr>
          <w:b/>
          <w:sz w:val="26"/>
        </w:rPr>
      </w:pPr>
    </w:p>
    <w:p w14:paraId="57ED2D0E" w14:textId="77777777" w:rsidR="00BB46C0" w:rsidRDefault="00BB46C0" w:rsidP="00BB46C0">
      <w:pPr>
        <w:pStyle w:val="BodyText"/>
        <w:rPr>
          <w:b/>
          <w:sz w:val="26"/>
        </w:rPr>
      </w:pPr>
    </w:p>
    <w:p w14:paraId="40E6476E" w14:textId="77777777" w:rsidR="00BB46C0" w:rsidRDefault="00BB46C0" w:rsidP="00BB46C0">
      <w:pPr>
        <w:pStyle w:val="BodyText"/>
        <w:spacing w:before="6"/>
        <w:rPr>
          <w:b/>
          <w:sz w:val="27"/>
        </w:rPr>
      </w:pPr>
    </w:p>
    <w:p w14:paraId="5D4F1C87" w14:textId="77777777" w:rsidR="00BB46C0" w:rsidRDefault="00BB46C0" w:rsidP="00BB46C0">
      <w:pPr>
        <w:pStyle w:val="Heading1"/>
        <w:rPr>
          <w:rFonts w:ascii="Arial"/>
        </w:rPr>
      </w:pPr>
      <w:r>
        <w:rPr>
          <w:rFonts w:ascii="Arial"/>
        </w:rPr>
        <w:t>QUESTION 2</w:t>
      </w:r>
    </w:p>
    <w:p w14:paraId="3F065184" w14:textId="77777777" w:rsidR="00BB46C0" w:rsidRDefault="00BB46C0" w:rsidP="00BB46C0">
      <w:pPr>
        <w:pStyle w:val="BodyText"/>
        <w:rPr>
          <w:b/>
          <w:sz w:val="26"/>
        </w:rPr>
      </w:pPr>
    </w:p>
    <w:p w14:paraId="7072130F" w14:textId="77777777" w:rsidR="00BB46C0" w:rsidRDefault="00BB46C0" w:rsidP="00BB46C0">
      <w:pPr>
        <w:pStyle w:val="BodyText"/>
        <w:spacing w:before="8"/>
        <w:rPr>
          <w:b/>
          <w:sz w:val="29"/>
        </w:rPr>
      </w:pPr>
    </w:p>
    <w:p w14:paraId="63522C0B" w14:textId="77777777" w:rsidR="00BB46C0" w:rsidRDefault="00BB46C0" w:rsidP="00BB46C0">
      <w:pPr>
        <w:pStyle w:val="ListParagraph"/>
        <w:widowControl w:val="0"/>
        <w:numPr>
          <w:ilvl w:val="0"/>
          <w:numId w:val="3"/>
        </w:numPr>
        <w:tabs>
          <w:tab w:val="left" w:pos="1773"/>
        </w:tabs>
        <w:autoSpaceDE w:val="0"/>
        <w:autoSpaceDN w:val="0"/>
        <w:spacing w:after="0" w:line="240" w:lineRule="auto"/>
        <w:ind w:right="313"/>
        <w:contextualSpacing w:val="0"/>
        <w:rPr>
          <w:sz w:val="24"/>
        </w:rPr>
      </w:pPr>
      <w:r>
        <w:rPr>
          <w:sz w:val="24"/>
        </w:rPr>
        <w:t>Discuss</w:t>
      </w:r>
      <w:r>
        <w:rPr>
          <w:spacing w:val="-3"/>
          <w:sz w:val="24"/>
        </w:rPr>
        <w:t xml:space="preserve"> </w:t>
      </w:r>
      <w:r>
        <w:rPr>
          <w:sz w:val="24"/>
        </w:rPr>
        <w:t>the</w:t>
      </w:r>
      <w:r>
        <w:rPr>
          <w:spacing w:val="-3"/>
          <w:sz w:val="24"/>
        </w:rPr>
        <w:t xml:space="preserve"> </w:t>
      </w:r>
      <w:r>
        <w:rPr>
          <w:sz w:val="24"/>
        </w:rPr>
        <w:t>importance</w:t>
      </w:r>
      <w:r>
        <w:rPr>
          <w:spacing w:val="-2"/>
          <w:sz w:val="24"/>
        </w:rPr>
        <w:t xml:space="preserve"> </w:t>
      </w:r>
      <w:r>
        <w:rPr>
          <w:sz w:val="24"/>
        </w:rPr>
        <w:t>of</w:t>
      </w:r>
      <w:r>
        <w:rPr>
          <w:spacing w:val="-5"/>
          <w:sz w:val="24"/>
        </w:rPr>
        <w:t xml:space="preserve"> </w:t>
      </w:r>
      <w:r>
        <w:rPr>
          <w:sz w:val="24"/>
        </w:rPr>
        <w:t>management</w:t>
      </w:r>
      <w:r>
        <w:rPr>
          <w:spacing w:val="-2"/>
          <w:sz w:val="24"/>
        </w:rPr>
        <w:t xml:space="preserve"> </w:t>
      </w:r>
      <w:r>
        <w:rPr>
          <w:sz w:val="24"/>
        </w:rPr>
        <w:t>accounting,</w:t>
      </w:r>
      <w:r>
        <w:rPr>
          <w:spacing w:val="-3"/>
          <w:sz w:val="24"/>
        </w:rPr>
        <w:t xml:space="preserve"> </w:t>
      </w:r>
      <w:r>
        <w:rPr>
          <w:sz w:val="24"/>
        </w:rPr>
        <w:t>and</w:t>
      </w:r>
      <w:r>
        <w:rPr>
          <w:spacing w:val="-4"/>
          <w:sz w:val="24"/>
        </w:rPr>
        <w:t xml:space="preserve"> </w:t>
      </w:r>
      <w:r>
        <w:rPr>
          <w:sz w:val="24"/>
        </w:rPr>
        <w:t>how</w:t>
      </w:r>
      <w:r>
        <w:rPr>
          <w:spacing w:val="-3"/>
          <w:sz w:val="24"/>
        </w:rPr>
        <w:t xml:space="preserve"> </w:t>
      </w:r>
      <w:r>
        <w:rPr>
          <w:sz w:val="24"/>
        </w:rPr>
        <w:t>it</w:t>
      </w:r>
      <w:r>
        <w:rPr>
          <w:spacing w:val="-4"/>
          <w:sz w:val="24"/>
        </w:rPr>
        <w:t xml:space="preserve"> </w:t>
      </w:r>
      <w:r>
        <w:rPr>
          <w:sz w:val="24"/>
        </w:rPr>
        <w:t>differs</w:t>
      </w:r>
      <w:r>
        <w:rPr>
          <w:spacing w:val="-64"/>
          <w:sz w:val="24"/>
        </w:rPr>
        <w:t xml:space="preserve"> </w:t>
      </w:r>
      <w:r>
        <w:rPr>
          <w:sz w:val="24"/>
        </w:rPr>
        <w:t>from what financial</w:t>
      </w:r>
      <w:r>
        <w:rPr>
          <w:spacing w:val="-2"/>
          <w:sz w:val="24"/>
        </w:rPr>
        <w:t xml:space="preserve"> </w:t>
      </w:r>
      <w:r>
        <w:rPr>
          <w:sz w:val="24"/>
        </w:rPr>
        <w:t>accounting</w:t>
      </w:r>
      <w:r>
        <w:rPr>
          <w:spacing w:val="-1"/>
          <w:sz w:val="24"/>
        </w:rPr>
        <w:t xml:space="preserve"> </w:t>
      </w:r>
      <w:r>
        <w:rPr>
          <w:sz w:val="24"/>
        </w:rPr>
        <w:t>provides.</w:t>
      </w:r>
    </w:p>
    <w:p w14:paraId="62709D1A" w14:textId="77777777" w:rsidR="00BB46C0" w:rsidRDefault="00BB46C0" w:rsidP="00BB46C0">
      <w:pPr>
        <w:pStyle w:val="Heading2"/>
      </w:pPr>
      <w:r>
        <w:t>[25</w:t>
      </w:r>
      <w:r>
        <w:rPr>
          <w:spacing w:val="-2"/>
        </w:rPr>
        <w:t xml:space="preserve"> </w:t>
      </w:r>
      <w:r>
        <w:t>marks]</w:t>
      </w:r>
    </w:p>
    <w:p w14:paraId="1547D8FF" w14:textId="77777777" w:rsidR="00BB46C0" w:rsidRDefault="00BB46C0" w:rsidP="00BB46C0">
      <w:pPr>
        <w:pStyle w:val="BodyText"/>
        <w:rPr>
          <w:b/>
          <w:sz w:val="26"/>
        </w:rPr>
      </w:pPr>
    </w:p>
    <w:p w14:paraId="005C6D5B" w14:textId="77777777" w:rsidR="00BB46C0" w:rsidRDefault="00BB46C0" w:rsidP="00BB46C0">
      <w:pPr>
        <w:pStyle w:val="ListParagraph"/>
        <w:widowControl w:val="0"/>
        <w:numPr>
          <w:ilvl w:val="0"/>
          <w:numId w:val="3"/>
        </w:numPr>
        <w:tabs>
          <w:tab w:val="left" w:pos="1773"/>
        </w:tabs>
        <w:autoSpaceDE w:val="0"/>
        <w:autoSpaceDN w:val="0"/>
        <w:spacing w:before="158" w:after="0" w:line="240" w:lineRule="auto"/>
        <w:ind w:right="465"/>
        <w:contextualSpacing w:val="0"/>
        <w:rPr>
          <w:sz w:val="24"/>
        </w:rPr>
      </w:pPr>
      <w:r>
        <w:rPr>
          <w:sz w:val="24"/>
        </w:rPr>
        <w:t>Discuss three techniques by which the management accountant can</w:t>
      </w:r>
      <w:r>
        <w:rPr>
          <w:spacing w:val="-64"/>
          <w:sz w:val="24"/>
        </w:rPr>
        <w:t xml:space="preserve"> </w:t>
      </w:r>
      <w:r>
        <w:rPr>
          <w:sz w:val="24"/>
        </w:rPr>
        <w:t>achieve</w:t>
      </w:r>
      <w:r>
        <w:rPr>
          <w:spacing w:val="-2"/>
          <w:sz w:val="24"/>
        </w:rPr>
        <w:t xml:space="preserve"> </w:t>
      </w:r>
      <w:r>
        <w:rPr>
          <w:sz w:val="24"/>
        </w:rPr>
        <w:t>the</w:t>
      </w:r>
      <w:r>
        <w:rPr>
          <w:spacing w:val="-2"/>
          <w:sz w:val="24"/>
        </w:rPr>
        <w:t xml:space="preserve"> </w:t>
      </w:r>
      <w:r>
        <w:rPr>
          <w:sz w:val="24"/>
        </w:rPr>
        <w:t>objectives</w:t>
      </w:r>
      <w:r>
        <w:rPr>
          <w:spacing w:val="-2"/>
          <w:sz w:val="24"/>
        </w:rPr>
        <w:t xml:space="preserve"> </w:t>
      </w:r>
      <w:r>
        <w:rPr>
          <w:sz w:val="24"/>
        </w:rPr>
        <w:t>of</w:t>
      </w:r>
      <w:r>
        <w:rPr>
          <w:spacing w:val="-3"/>
          <w:sz w:val="24"/>
        </w:rPr>
        <w:t xml:space="preserve"> </w:t>
      </w:r>
      <w:r>
        <w:rPr>
          <w:sz w:val="24"/>
        </w:rPr>
        <w:t>management</w:t>
      </w:r>
      <w:r>
        <w:rPr>
          <w:spacing w:val="-2"/>
          <w:sz w:val="24"/>
        </w:rPr>
        <w:t xml:space="preserve"> </w:t>
      </w:r>
      <w:r>
        <w:rPr>
          <w:sz w:val="24"/>
        </w:rPr>
        <w:t>accounting.</w:t>
      </w:r>
    </w:p>
    <w:p w14:paraId="4744EF5B" w14:textId="6D1D8C8E" w:rsidR="008437C7" w:rsidRPr="00BB46C0" w:rsidRDefault="00BB46C0" w:rsidP="00BB46C0">
      <w:pPr>
        <w:ind w:left="1772"/>
        <w:rPr>
          <w:b/>
          <w:sz w:val="24"/>
        </w:rPr>
      </w:pPr>
      <w:r>
        <w:rPr>
          <w:b/>
          <w:sz w:val="24"/>
        </w:rPr>
        <w:t>[25</w:t>
      </w:r>
      <w:r>
        <w:rPr>
          <w:b/>
          <w:spacing w:val="-2"/>
          <w:sz w:val="24"/>
        </w:rPr>
        <w:t xml:space="preserve"> </w:t>
      </w:r>
      <w:r>
        <w:rPr>
          <w:b/>
          <w:sz w:val="24"/>
        </w:rPr>
        <w:t>marks]</w:t>
      </w:r>
    </w:p>
    <w:p w14:paraId="3A9F61CE" w14:textId="77777777" w:rsidR="00EF6C03" w:rsidRPr="008437C7" w:rsidRDefault="00EF6C03" w:rsidP="008437C7">
      <w:pPr>
        <w:spacing w:line="360" w:lineRule="auto"/>
        <w:jc w:val="both"/>
        <w:rPr>
          <w:rFonts w:ascii="Times New Roman" w:hAnsi="Times New Roman" w:cs="Times New Roman"/>
          <w:b/>
          <w:bCs/>
          <w:i/>
          <w:iCs/>
          <w:sz w:val="24"/>
          <w:szCs w:val="24"/>
          <w:u w:val="single"/>
        </w:rPr>
      </w:pPr>
      <w:r w:rsidRPr="008437C7">
        <w:rPr>
          <w:rFonts w:ascii="Times New Roman" w:hAnsi="Times New Roman" w:cs="Times New Roman"/>
          <w:b/>
          <w:bCs/>
          <w:i/>
          <w:iCs/>
          <w:sz w:val="24"/>
          <w:szCs w:val="24"/>
          <w:u w:val="single"/>
        </w:rPr>
        <w:lastRenderedPageBreak/>
        <w:t>Question 1</w:t>
      </w:r>
    </w:p>
    <w:p w14:paraId="0F77FD52" w14:textId="77777777" w:rsidR="008437C7" w:rsidRDefault="008437C7" w:rsidP="008437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information is provided in the case of </w:t>
      </w:r>
      <w:r w:rsidRPr="008437C7">
        <w:rPr>
          <w:rFonts w:ascii="Times New Roman" w:hAnsi="Times New Roman" w:cs="Times New Roman"/>
          <w:sz w:val="24"/>
          <w:szCs w:val="24"/>
          <w:lang w:val="en-US"/>
        </w:rPr>
        <w:t>Kerrigan Ltd</w:t>
      </w:r>
      <w:r>
        <w:rPr>
          <w:rFonts w:ascii="Times New Roman" w:hAnsi="Times New Roman" w:cs="Times New Roman"/>
          <w:sz w:val="24"/>
          <w:szCs w:val="24"/>
          <w:lang w:val="en-US"/>
        </w:rPr>
        <w:t>.:</w:t>
      </w:r>
    </w:p>
    <w:p w14:paraId="093DF255" w14:textId="77777777" w:rsidR="00AA17B4" w:rsidRPr="008437C7" w:rsidRDefault="00745521"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Current price = £11</w:t>
      </w:r>
    </w:p>
    <w:p w14:paraId="28865B8E" w14:textId="77777777" w:rsidR="00745521" w:rsidRPr="008437C7" w:rsidRDefault="008437C7" w:rsidP="008437C7">
      <w:pPr>
        <w:spacing w:line="360" w:lineRule="auto"/>
        <w:jc w:val="both"/>
        <w:rPr>
          <w:rFonts w:ascii="Times New Roman" w:hAnsi="Times New Roman" w:cs="Times New Roman"/>
          <w:sz w:val="24"/>
          <w:szCs w:val="24"/>
        </w:rPr>
      </w:pPr>
      <w:r>
        <w:rPr>
          <w:rFonts w:ascii="Times New Roman" w:hAnsi="Times New Roman" w:cs="Times New Roman"/>
          <w:sz w:val="24"/>
          <w:szCs w:val="24"/>
        </w:rPr>
        <w:t>Total variable costs (</w:t>
      </w:r>
      <w:r w:rsidR="00745521" w:rsidRPr="008437C7">
        <w:rPr>
          <w:rFonts w:ascii="Times New Roman" w:hAnsi="Times New Roman" w:cs="Times New Roman"/>
          <w:sz w:val="24"/>
          <w:szCs w:val="24"/>
        </w:rPr>
        <w:t>TVC</w:t>
      </w:r>
      <w:r>
        <w:rPr>
          <w:rFonts w:ascii="Times New Roman" w:hAnsi="Times New Roman" w:cs="Times New Roman"/>
          <w:sz w:val="24"/>
          <w:szCs w:val="24"/>
        </w:rPr>
        <w:t>)</w:t>
      </w:r>
      <w:r w:rsidR="00745521" w:rsidRPr="008437C7">
        <w:rPr>
          <w:rFonts w:ascii="Times New Roman" w:hAnsi="Times New Roman" w:cs="Times New Roman"/>
          <w:sz w:val="24"/>
          <w:szCs w:val="24"/>
        </w:rPr>
        <w:t xml:space="preserve"> per unit = £6</w:t>
      </w:r>
    </w:p>
    <w:p w14:paraId="457324A9" w14:textId="77777777" w:rsidR="00745521" w:rsidRPr="008437C7" w:rsidRDefault="008437C7" w:rsidP="008437C7">
      <w:pPr>
        <w:spacing w:line="360" w:lineRule="auto"/>
        <w:jc w:val="both"/>
        <w:rPr>
          <w:rFonts w:ascii="Times New Roman" w:hAnsi="Times New Roman" w:cs="Times New Roman"/>
          <w:sz w:val="24"/>
          <w:szCs w:val="24"/>
        </w:rPr>
      </w:pPr>
      <w:r>
        <w:rPr>
          <w:rFonts w:ascii="Times New Roman" w:hAnsi="Times New Roman" w:cs="Times New Roman"/>
          <w:sz w:val="24"/>
          <w:szCs w:val="24"/>
        </w:rPr>
        <w:t>Fixed costs (</w:t>
      </w:r>
      <w:r w:rsidR="00745521" w:rsidRPr="008437C7">
        <w:rPr>
          <w:rFonts w:ascii="Times New Roman" w:hAnsi="Times New Roman" w:cs="Times New Roman"/>
          <w:sz w:val="24"/>
          <w:szCs w:val="24"/>
        </w:rPr>
        <w:t>FC</w:t>
      </w:r>
      <w:r>
        <w:rPr>
          <w:rFonts w:ascii="Times New Roman" w:hAnsi="Times New Roman" w:cs="Times New Roman"/>
          <w:sz w:val="24"/>
          <w:szCs w:val="24"/>
        </w:rPr>
        <w:t>)</w:t>
      </w:r>
      <w:r w:rsidR="00745521" w:rsidRPr="008437C7">
        <w:rPr>
          <w:rFonts w:ascii="Times New Roman" w:hAnsi="Times New Roman" w:cs="Times New Roman"/>
          <w:sz w:val="24"/>
          <w:szCs w:val="24"/>
        </w:rPr>
        <w:t xml:space="preserve"> = £350,000</w:t>
      </w:r>
    </w:p>
    <w:p w14:paraId="6D524B92" w14:textId="77777777" w:rsidR="00745521" w:rsidRPr="008437C7" w:rsidRDefault="00745521"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Sales = 75,000 units</w:t>
      </w:r>
    </w:p>
    <w:p w14:paraId="092A1AA0" w14:textId="77777777" w:rsidR="00745521" w:rsidRPr="008437C7" w:rsidRDefault="008437C7" w:rsidP="008437C7">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the information, the following calculations are performed:</w:t>
      </w:r>
    </w:p>
    <w:p w14:paraId="2F4C25E5" w14:textId="77777777" w:rsidR="008437C7" w:rsidRDefault="008437C7" w:rsidP="008437C7">
      <w:pPr>
        <w:pStyle w:val="ListParagraph"/>
        <w:numPr>
          <w:ilvl w:val="0"/>
          <w:numId w:val="1"/>
        </w:numPr>
        <w:spacing w:line="360" w:lineRule="auto"/>
        <w:jc w:val="both"/>
        <w:rPr>
          <w:rFonts w:ascii="Times New Roman" w:hAnsi="Times New Roman" w:cs="Times New Roman"/>
          <w:sz w:val="24"/>
          <w:szCs w:val="24"/>
        </w:rPr>
      </w:pPr>
    </w:p>
    <w:p w14:paraId="17569DC2" w14:textId="77777777" w:rsidR="00745521" w:rsidRPr="008437C7" w:rsidRDefault="008437C7" w:rsidP="008437C7">
      <w:pPr>
        <w:spacing w:line="360" w:lineRule="auto"/>
        <w:jc w:val="both"/>
        <w:rPr>
          <w:rFonts w:ascii="Times New Roman" w:hAnsi="Times New Roman" w:cs="Times New Roman"/>
          <w:sz w:val="24"/>
          <w:szCs w:val="24"/>
        </w:rPr>
      </w:pPr>
      <w:r>
        <w:rPr>
          <w:rFonts w:ascii="Times New Roman" w:hAnsi="Times New Roman" w:cs="Times New Roman"/>
          <w:sz w:val="24"/>
          <w:szCs w:val="24"/>
        </w:rPr>
        <w:t>Break-even (</w:t>
      </w:r>
      <w:r w:rsidR="00745521" w:rsidRPr="008437C7">
        <w:rPr>
          <w:rFonts w:ascii="Times New Roman" w:hAnsi="Times New Roman" w:cs="Times New Roman"/>
          <w:sz w:val="24"/>
          <w:szCs w:val="24"/>
        </w:rPr>
        <w:t>BE</w:t>
      </w:r>
      <w:r>
        <w:rPr>
          <w:rFonts w:ascii="Times New Roman" w:hAnsi="Times New Roman" w:cs="Times New Roman"/>
          <w:sz w:val="24"/>
          <w:szCs w:val="24"/>
        </w:rPr>
        <w:t>)</w:t>
      </w:r>
      <w:r w:rsidR="00745521" w:rsidRPr="008437C7">
        <w:rPr>
          <w:rFonts w:ascii="Times New Roman" w:hAnsi="Times New Roman" w:cs="Times New Roman"/>
          <w:sz w:val="24"/>
          <w:szCs w:val="24"/>
        </w:rPr>
        <w:t xml:space="preserve"> = FC / (p – </w:t>
      </w:r>
      <w:r w:rsidR="00F34F5D" w:rsidRPr="008437C7">
        <w:rPr>
          <w:rFonts w:ascii="Times New Roman" w:hAnsi="Times New Roman" w:cs="Times New Roman"/>
          <w:sz w:val="24"/>
          <w:szCs w:val="24"/>
        </w:rPr>
        <w:t>VC</w:t>
      </w:r>
      <w:r w:rsidR="00745521" w:rsidRPr="008437C7">
        <w:rPr>
          <w:rFonts w:ascii="Times New Roman" w:hAnsi="Times New Roman" w:cs="Times New Roman"/>
          <w:sz w:val="24"/>
          <w:szCs w:val="24"/>
        </w:rPr>
        <w:t xml:space="preserve"> per unit)</w:t>
      </w:r>
    </w:p>
    <w:p w14:paraId="70EECD9A" w14:textId="77777777" w:rsidR="00745521" w:rsidRPr="008437C7" w:rsidRDefault="00745521"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 xml:space="preserve">BE = £350,000 / (£11 - £6) = </w:t>
      </w:r>
      <w:r w:rsidRPr="008437C7">
        <w:rPr>
          <w:rFonts w:ascii="Times New Roman" w:hAnsi="Times New Roman" w:cs="Times New Roman"/>
          <w:b/>
          <w:bCs/>
          <w:sz w:val="24"/>
          <w:szCs w:val="24"/>
        </w:rPr>
        <w:t>70,000 units</w:t>
      </w:r>
    </w:p>
    <w:p w14:paraId="14527AA5" w14:textId="77777777" w:rsidR="00745521" w:rsidRPr="008437C7" w:rsidRDefault="00745521"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 xml:space="preserve">BE revenue = 70,000 units X £11 = </w:t>
      </w:r>
      <w:r w:rsidRPr="008437C7">
        <w:rPr>
          <w:rFonts w:ascii="Times New Roman" w:hAnsi="Times New Roman" w:cs="Times New Roman"/>
          <w:b/>
          <w:bCs/>
          <w:sz w:val="24"/>
          <w:szCs w:val="24"/>
        </w:rPr>
        <w:t>£770,000</w:t>
      </w:r>
    </w:p>
    <w:p w14:paraId="3B37BC6C" w14:textId="77777777" w:rsidR="008437C7" w:rsidRDefault="008437C7" w:rsidP="008437C7">
      <w:pPr>
        <w:pStyle w:val="ListParagraph"/>
        <w:numPr>
          <w:ilvl w:val="0"/>
          <w:numId w:val="1"/>
        </w:numPr>
        <w:spacing w:line="360" w:lineRule="auto"/>
        <w:jc w:val="both"/>
        <w:rPr>
          <w:rFonts w:ascii="Times New Roman" w:hAnsi="Times New Roman" w:cs="Times New Roman"/>
          <w:sz w:val="24"/>
          <w:szCs w:val="24"/>
        </w:rPr>
      </w:pPr>
    </w:p>
    <w:p w14:paraId="644442B7" w14:textId="77777777" w:rsidR="00745521" w:rsidRPr="008437C7" w:rsidRDefault="00745521"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Profit = TR – TC</w:t>
      </w:r>
    </w:p>
    <w:p w14:paraId="29C04B43" w14:textId="77777777" w:rsidR="00745521" w:rsidRPr="008437C7" w:rsidRDefault="00745521"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 xml:space="preserve">Profit = (75,000 X £11) - £350,000 – (75,000 X £6) = </w:t>
      </w:r>
    </w:p>
    <w:p w14:paraId="51140894" w14:textId="77777777" w:rsidR="00745521" w:rsidRPr="008437C7" w:rsidRDefault="00745521" w:rsidP="008437C7">
      <w:pPr>
        <w:pStyle w:val="ListParagraph"/>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 xml:space="preserve">= £825,000 - £350,000 - £450,000 = </w:t>
      </w:r>
      <w:r w:rsidRPr="008437C7">
        <w:rPr>
          <w:rFonts w:ascii="Times New Roman" w:hAnsi="Times New Roman" w:cs="Times New Roman"/>
          <w:b/>
          <w:bCs/>
          <w:sz w:val="24"/>
          <w:szCs w:val="24"/>
        </w:rPr>
        <w:t>£25,000</w:t>
      </w:r>
    </w:p>
    <w:p w14:paraId="0899FB4C" w14:textId="77777777" w:rsidR="00745521" w:rsidRPr="008437C7" w:rsidRDefault="00745521" w:rsidP="008437C7">
      <w:pPr>
        <w:pStyle w:val="ListParagraph"/>
        <w:spacing w:line="360" w:lineRule="auto"/>
        <w:jc w:val="both"/>
        <w:rPr>
          <w:rFonts w:ascii="Times New Roman" w:hAnsi="Times New Roman" w:cs="Times New Roman"/>
          <w:sz w:val="24"/>
          <w:szCs w:val="24"/>
        </w:rPr>
      </w:pPr>
    </w:p>
    <w:p w14:paraId="164A4ACF" w14:textId="77777777" w:rsidR="008437C7" w:rsidRDefault="008437C7" w:rsidP="008437C7">
      <w:pPr>
        <w:pStyle w:val="ListParagraph"/>
        <w:numPr>
          <w:ilvl w:val="0"/>
          <w:numId w:val="1"/>
        </w:numPr>
        <w:spacing w:line="360" w:lineRule="auto"/>
        <w:jc w:val="both"/>
        <w:rPr>
          <w:rFonts w:ascii="Times New Roman" w:hAnsi="Times New Roman" w:cs="Times New Roman"/>
          <w:sz w:val="24"/>
          <w:szCs w:val="24"/>
        </w:rPr>
      </w:pPr>
    </w:p>
    <w:p w14:paraId="3B24A384" w14:textId="77777777" w:rsidR="008437C7" w:rsidRDefault="008437C7" w:rsidP="008437C7">
      <w:pPr>
        <w:spacing w:line="360" w:lineRule="auto"/>
        <w:jc w:val="both"/>
        <w:rPr>
          <w:rFonts w:ascii="Times New Roman" w:hAnsi="Times New Roman" w:cs="Times New Roman"/>
          <w:sz w:val="24"/>
          <w:szCs w:val="24"/>
        </w:rPr>
      </w:pPr>
      <w:r>
        <w:rPr>
          <w:rFonts w:ascii="Times New Roman" w:hAnsi="Times New Roman" w:cs="Times New Roman"/>
          <w:sz w:val="24"/>
          <w:szCs w:val="24"/>
        </w:rPr>
        <w:t>The performed advertising campaign delivers some changes in terms of cost structure, selling price and achieved sales. The following changes are applied:</w:t>
      </w:r>
    </w:p>
    <w:p w14:paraId="07A1E143" w14:textId="77777777" w:rsidR="00745521" w:rsidRPr="008437C7" w:rsidRDefault="00745521"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FC = £350,000 + £10,000 = £360,000</w:t>
      </w:r>
    </w:p>
    <w:p w14:paraId="684B86CD" w14:textId="77777777" w:rsidR="00745521" w:rsidRPr="008437C7" w:rsidRDefault="00745521"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VC per unit = £6 + £1 = £7</w:t>
      </w:r>
    </w:p>
    <w:p w14:paraId="347F60E8" w14:textId="77777777" w:rsidR="00745521" w:rsidRPr="008437C7" w:rsidRDefault="00745521"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Price = £13</w:t>
      </w:r>
    </w:p>
    <w:p w14:paraId="15B5767B" w14:textId="77777777" w:rsidR="00745521" w:rsidRPr="008437C7" w:rsidRDefault="00745521"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Sales = 80,000 units</w:t>
      </w:r>
    </w:p>
    <w:p w14:paraId="6D8F0A1F" w14:textId="77777777" w:rsidR="00745521" w:rsidRPr="008437C7" w:rsidRDefault="008437C7" w:rsidP="008437C7">
      <w:pPr>
        <w:spacing w:line="360" w:lineRule="auto"/>
        <w:jc w:val="both"/>
        <w:rPr>
          <w:rFonts w:ascii="Times New Roman" w:hAnsi="Times New Roman" w:cs="Times New Roman"/>
          <w:sz w:val="24"/>
          <w:szCs w:val="24"/>
        </w:rPr>
      </w:pPr>
      <w:r>
        <w:rPr>
          <w:rFonts w:ascii="Times New Roman" w:hAnsi="Times New Roman" w:cs="Times New Roman"/>
          <w:sz w:val="24"/>
          <w:szCs w:val="24"/>
        </w:rPr>
        <w:t>Respectively, the performance of the company is also changed according to the results from the calculations below:</w:t>
      </w:r>
    </w:p>
    <w:p w14:paraId="2384455E" w14:textId="77777777" w:rsidR="00745521" w:rsidRPr="008437C7" w:rsidRDefault="00745521"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lastRenderedPageBreak/>
        <w:t>Profit = TR – TC</w:t>
      </w:r>
    </w:p>
    <w:p w14:paraId="2465F59A" w14:textId="77777777" w:rsidR="00745521" w:rsidRPr="008437C7" w:rsidRDefault="00745521"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Profit = (80,000 X £13) - £360,000 – (80,000 X £7) =</w:t>
      </w:r>
    </w:p>
    <w:p w14:paraId="768BCF3D" w14:textId="77777777" w:rsidR="008630BE" w:rsidRDefault="00745521" w:rsidP="008437C7">
      <w:pPr>
        <w:pStyle w:val="ListParagraph"/>
        <w:spacing w:line="360" w:lineRule="auto"/>
        <w:jc w:val="both"/>
        <w:rPr>
          <w:rFonts w:ascii="Times New Roman" w:hAnsi="Times New Roman" w:cs="Times New Roman"/>
          <w:b/>
          <w:bCs/>
          <w:sz w:val="24"/>
          <w:szCs w:val="24"/>
        </w:rPr>
      </w:pPr>
      <w:r w:rsidRPr="008437C7">
        <w:rPr>
          <w:rFonts w:ascii="Times New Roman" w:hAnsi="Times New Roman" w:cs="Times New Roman"/>
          <w:sz w:val="24"/>
          <w:szCs w:val="24"/>
        </w:rPr>
        <w:t xml:space="preserve">= £1,040,000 - £360,000 - £560,000 = </w:t>
      </w:r>
      <w:r w:rsidRPr="008437C7">
        <w:rPr>
          <w:rFonts w:ascii="Times New Roman" w:hAnsi="Times New Roman" w:cs="Times New Roman"/>
          <w:b/>
          <w:bCs/>
          <w:sz w:val="24"/>
          <w:szCs w:val="24"/>
        </w:rPr>
        <w:t>£120,000</w:t>
      </w:r>
    </w:p>
    <w:p w14:paraId="6C9A3D23" w14:textId="77777777" w:rsidR="008437C7" w:rsidRPr="008437C7" w:rsidRDefault="008437C7" w:rsidP="008437C7">
      <w:pPr>
        <w:spacing w:line="360" w:lineRule="auto"/>
        <w:jc w:val="both"/>
        <w:rPr>
          <w:rFonts w:ascii="Times New Roman" w:hAnsi="Times New Roman" w:cs="Times New Roman"/>
          <w:bCs/>
          <w:sz w:val="24"/>
          <w:szCs w:val="24"/>
        </w:rPr>
      </w:pPr>
      <w:r w:rsidRPr="008437C7">
        <w:rPr>
          <w:rFonts w:ascii="Times New Roman" w:hAnsi="Times New Roman" w:cs="Times New Roman"/>
          <w:bCs/>
          <w:sz w:val="24"/>
          <w:szCs w:val="24"/>
        </w:rPr>
        <w:t xml:space="preserve">The evidence shows that </w:t>
      </w:r>
      <w:r w:rsidRPr="008437C7">
        <w:rPr>
          <w:rFonts w:ascii="Times New Roman" w:hAnsi="Times New Roman" w:cs="Times New Roman"/>
          <w:bCs/>
          <w:sz w:val="24"/>
          <w:szCs w:val="24"/>
          <w:lang w:val="en-US"/>
        </w:rPr>
        <w:t xml:space="preserve">Kerrigan Ltd manages to increase its profitability as a result of the advertising campaign. Therefore, the investments in advertising are worth being pursued by the company. </w:t>
      </w:r>
    </w:p>
    <w:p w14:paraId="742849CB" w14:textId="77777777" w:rsidR="008437C7" w:rsidRDefault="008437C7" w:rsidP="008437C7">
      <w:pPr>
        <w:pStyle w:val="ListParagraph"/>
        <w:numPr>
          <w:ilvl w:val="0"/>
          <w:numId w:val="1"/>
        </w:numPr>
        <w:spacing w:line="360" w:lineRule="auto"/>
        <w:jc w:val="both"/>
        <w:rPr>
          <w:rFonts w:ascii="Times New Roman" w:hAnsi="Times New Roman" w:cs="Times New Roman"/>
          <w:sz w:val="24"/>
          <w:szCs w:val="24"/>
        </w:rPr>
      </w:pPr>
    </w:p>
    <w:p w14:paraId="48A3E81B" w14:textId="77777777" w:rsidR="008630BE" w:rsidRPr="008437C7" w:rsidRDefault="001C0372"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Break-even analysis is one of the best analyses provided by managerial accountants, showing at what level of sales (in both units and revenue) the company starts making profit. It is a tool which is extremely useful when a new project is launched or a new product line is considered to be developed and the likelihood of success needs to be measured with a representative indicator (Needles et al., 2014). However, this analytical metric is also associated with a wide variety of limitations which have to be addressed by decision-makers when analysing the results of this assessment.</w:t>
      </w:r>
    </w:p>
    <w:p w14:paraId="530C3B49" w14:textId="77777777" w:rsidR="001C0372" w:rsidRPr="008437C7" w:rsidRDefault="001C0372"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For example, the model only considers the existence of fixed and variable costs in the calculation</w:t>
      </w:r>
      <w:r w:rsidR="004470AC" w:rsidRPr="008437C7">
        <w:rPr>
          <w:rFonts w:ascii="Times New Roman" w:hAnsi="Times New Roman" w:cs="Times New Roman"/>
          <w:sz w:val="24"/>
          <w:szCs w:val="24"/>
        </w:rPr>
        <w:t xml:space="preserve">, as the formula for calculating break-even quantity is BE = FC / (p – VC per unit) (Needles et al., 2014). This, however, is entirely based on theoretical frameworks and ignores their practical implementation. In reality, some costs cannot be classified as either fixed or variable and are rather semi-variable, including a fixed and variable component (Needles et al., 2014). This suggests that these costs cannot be properly allocated in the formula and thus, should be placed either under fixed or variable element. This, however, can manipulate the final result of the analysis and provide a misleading foundation for managerial decision-making. </w:t>
      </w:r>
    </w:p>
    <w:p w14:paraId="174B3371" w14:textId="77777777" w:rsidR="00EE6C3D" w:rsidRPr="008437C7" w:rsidRDefault="00EE6C3D"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 xml:space="preserve">In addition to that, fixed costs are suggested to be continuously constant. However, in reality, they might increase or decrease following a rapid change in produced output. This, however, is also not considered in the break-even model and it is assumed that they are the same in the long </w:t>
      </w:r>
      <w:r w:rsidR="008437C7">
        <w:rPr>
          <w:rFonts w:ascii="Times New Roman" w:hAnsi="Times New Roman" w:cs="Times New Roman"/>
          <w:sz w:val="24"/>
          <w:szCs w:val="24"/>
        </w:rPr>
        <w:t xml:space="preserve">run unless an additional field, such as advertising, </w:t>
      </w:r>
      <w:r w:rsidRPr="008437C7">
        <w:rPr>
          <w:rFonts w:ascii="Times New Roman" w:hAnsi="Times New Roman" w:cs="Times New Roman"/>
          <w:sz w:val="24"/>
          <w:szCs w:val="24"/>
        </w:rPr>
        <w:t xml:space="preserve">is not added to them. </w:t>
      </w:r>
    </w:p>
    <w:p w14:paraId="3B013A50" w14:textId="77777777" w:rsidR="000434A1" w:rsidRPr="008437C7" w:rsidRDefault="000434A1"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 xml:space="preserve">Furthermore, </w:t>
      </w:r>
      <w:r w:rsidR="00DC7C3B" w:rsidRPr="008437C7">
        <w:rPr>
          <w:rFonts w:ascii="Times New Roman" w:hAnsi="Times New Roman" w:cs="Times New Roman"/>
          <w:sz w:val="24"/>
          <w:szCs w:val="24"/>
        </w:rPr>
        <w:t xml:space="preserve">variable costs are also not static and can change due to various reasons like bulk buying discounts, interest for credit payments and many </w:t>
      </w:r>
      <w:r w:rsidR="008437C7" w:rsidRPr="008437C7">
        <w:rPr>
          <w:rFonts w:ascii="Times New Roman" w:hAnsi="Times New Roman" w:cs="Times New Roman"/>
          <w:sz w:val="24"/>
          <w:szCs w:val="24"/>
        </w:rPr>
        <w:t>others</w:t>
      </w:r>
      <w:r w:rsidR="00DC7C3B" w:rsidRPr="008437C7">
        <w:rPr>
          <w:rFonts w:ascii="Times New Roman" w:hAnsi="Times New Roman" w:cs="Times New Roman"/>
          <w:sz w:val="24"/>
          <w:szCs w:val="24"/>
        </w:rPr>
        <w:t>. All these are also ignored</w:t>
      </w:r>
      <w:r w:rsidR="008437C7">
        <w:rPr>
          <w:rFonts w:ascii="Times New Roman" w:hAnsi="Times New Roman" w:cs="Times New Roman"/>
          <w:sz w:val="24"/>
          <w:szCs w:val="24"/>
        </w:rPr>
        <w:t xml:space="preserve"> as a part of the break-even analysis; thereby, leading to lower validity of analysis findings</w:t>
      </w:r>
      <w:r w:rsidR="00DC7C3B" w:rsidRPr="008437C7">
        <w:rPr>
          <w:rFonts w:ascii="Times New Roman" w:hAnsi="Times New Roman" w:cs="Times New Roman"/>
          <w:sz w:val="24"/>
          <w:szCs w:val="24"/>
        </w:rPr>
        <w:t xml:space="preserve">. </w:t>
      </w:r>
    </w:p>
    <w:p w14:paraId="3926D4BF" w14:textId="77777777" w:rsidR="00A83429" w:rsidRPr="008437C7" w:rsidRDefault="00F76C30"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lastRenderedPageBreak/>
        <w:t>External factors also affect business activity and indicato</w:t>
      </w:r>
      <w:r w:rsidR="008437C7">
        <w:rPr>
          <w:rFonts w:ascii="Times New Roman" w:hAnsi="Times New Roman" w:cs="Times New Roman"/>
          <w:sz w:val="24"/>
          <w:szCs w:val="24"/>
        </w:rPr>
        <w:t>rs. For example, major external shocks, such as</w:t>
      </w:r>
      <w:r w:rsidRPr="008437C7">
        <w:rPr>
          <w:rFonts w:ascii="Times New Roman" w:hAnsi="Times New Roman" w:cs="Times New Roman"/>
          <w:sz w:val="24"/>
          <w:szCs w:val="24"/>
        </w:rPr>
        <w:t xml:space="preserve"> the current pandemic, economic recessions, changes in inflation rates, fluctuations of currencies and others</w:t>
      </w:r>
      <w:r w:rsidR="008437C7">
        <w:rPr>
          <w:rFonts w:ascii="Times New Roman" w:hAnsi="Times New Roman" w:cs="Times New Roman"/>
          <w:sz w:val="24"/>
          <w:szCs w:val="24"/>
        </w:rPr>
        <w:t>,</w:t>
      </w:r>
      <w:r w:rsidRPr="008437C7">
        <w:rPr>
          <w:rFonts w:ascii="Times New Roman" w:hAnsi="Times New Roman" w:cs="Times New Roman"/>
          <w:sz w:val="24"/>
          <w:szCs w:val="24"/>
        </w:rPr>
        <w:t xml:space="preserve"> may also impact corporate activity and affect sales, prices and costs (Financial Accountancy, 2021). These factors are also ignored by the break-even model. </w:t>
      </w:r>
    </w:p>
    <w:p w14:paraId="21BC7A61" w14:textId="77777777" w:rsidR="00F76C30" w:rsidRPr="008437C7" w:rsidRDefault="00F76C30"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Furthermore, with increase of production output, economies of scale can be realised and thus, variable cost per unit may decrease as a result (Needles et al., 2014). If this is evident, the break-even output and revenue would differ. The possibility of realising economies of scale is also not incorporated as an assumption.</w:t>
      </w:r>
    </w:p>
    <w:p w14:paraId="56AFB0A8" w14:textId="77777777" w:rsidR="00F76C30" w:rsidRPr="008437C7" w:rsidRDefault="00F76C30"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 xml:space="preserve">Sales can also be affected by internal promotional methods, such as sales discounts aiming to increase demand or other marketing techniques which are used by the brand to improve overall performance on the market (Needles et al., 2014). </w:t>
      </w:r>
    </w:p>
    <w:p w14:paraId="2D18F992" w14:textId="77777777" w:rsidR="008630BE" w:rsidRPr="008437C7" w:rsidRDefault="00F76C30" w:rsidP="008437C7">
      <w:pPr>
        <w:spacing w:line="360" w:lineRule="auto"/>
        <w:jc w:val="both"/>
        <w:rPr>
          <w:rFonts w:ascii="Times New Roman" w:hAnsi="Times New Roman" w:cs="Times New Roman"/>
          <w:sz w:val="24"/>
          <w:szCs w:val="24"/>
          <w:lang w:val="en-US"/>
        </w:rPr>
      </w:pPr>
      <w:r w:rsidRPr="008437C7">
        <w:rPr>
          <w:rFonts w:ascii="Times New Roman" w:hAnsi="Times New Roman" w:cs="Times New Roman"/>
          <w:sz w:val="24"/>
          <w:szCs w:val="24"/>
        </w:rPr>
        <w:t xml:space="preserve">All this suggests that the break-even analysis is associated with various limitations which need to be taken into account by managers and decision-makers when interpreting its results and addressed prior the final decision made. </w:t>
      </w:r>
      <w:r w:rsidR="006B7AFD" w:rsidRPr="008437C7">
        <w:rPr>
          <w:rFonts w:ascii="Times New Roman" w:hAnsi="Times New Roman" w:cs="Times New Roman"/>
          <w:sz w:val="24"/>
          <w:szCs w:val="24"/>
        </w:rPr>
        <w:t xml:space="preserve">Still, this technique is one of the most useful analytical tools for managers to investigate the potential of a project or product and to </w:t>
      </w:r>
      <w:r w:rsidR="008437C7">
        <w:rPr>
          <w:rFonts w:ascii="Times New Roman" w:hAnsi="Times New Roman" w:cs="Times New Roman"/>
          <w:sz w:val="24"/>
          <w:szCs w:val="24"/>
        </w:rPr>
        <w:t xml:space="preserve">determined </w:t>
      </w:r>
      <w:r w:rsidR="006B7AFD" w:rsidRPr="008437C7">
        <w:rPr>
          <w:rFonts w:ascii="Times New Roman" w:hAnsi="Times New Roman" w:cs="Times New Roman"/>
          <w:sz w:val="24"/>
          <w:szCs w:val="24"/>
        </w:rPr>
        <w:t xml:space="preserve">aims and objectives for performance and profit. </w:t>
      </w:r>
    </w:p>
    <w:p w14:paraId="322B1607" w14:textId="77777777" w:rsidR="008630BE" w:rsidRPr="008437C7" w:rsidRDefault="00F12245" w:rsidP="008437C7">
      <w:pPr>
        <w:spacing w:line="360" w:lineRule="auto"/>
        <w:jc w:val="both"/>
        <w:rPr>
          <w:rFonts w:ascii="Times New Roman" w:hAnsi="Times New Roman" w:cs="Times New Roman"/>
          <w:b/>
          <w:bCs/>
          <w:i/>
          <w:iCs/>
          <w:sz w:val="24"/>
          <w:szCs w:val="24"/>
          <w:u w:val="single"/>
        </w:rPr>
      </w:pPr>
      <w:r w:rsidRPr="008437C7">
        <w:rPr>
          <w:rFonts w:ascii="Times New Roman" w:hAnsi="Times New Roman" w:cs="Times New Roman"/>
          <w:b/>
          <w:bCs/>
          <w:i/>
          <w:iCs/>
          <w:sz w:val="24"/>
          <w:szCs w:val="24"/>
          <w:u w:val="single"/>
        </w:rPr>
        <w:t>Question 2</w:t>
      </w:r>
    </w:p>
    <w:p w14:paraId="39F8E907" w14:textId="77777777" w:rsidR="008437C7" w:rsidRDefault="008437C7" w:rsidP="008437C7">
      <w:pPr>
        <w:pStyle w:val="ListParagraph"/>
        <w:numPr>
          <w:ilvl w:val="0"/>
          <w:numId w:val="2"/>
        </w:numPr>
        <w:spacing w:line="360" w:lineRule="auto"/>
        <w:jc w:val="both"/>
        <w:rPr>
          <w:rFonts w:ascii="Times New Roman" w:hAnsi="Times New Roman" w:cs="Times New Roman"/>
          <w:sz w:val="24"/>
          <w:szCs w:val="24"/>
        </w:rPr>
      </w:pPr>
    </w:p>
    <w:p w14:paraId="1D108D42" w14:textId="77777777" w:rsidR="008437C7" w:rsidRDefault="005E5CD0"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 xml:space="preserve">Accounting can be generally divided in two branches – management and financial. </w:t>
      </w:r>
      <w:r w:rsidR="00B64193" w:rsidRPr="008437C7">
        <w:rPr>
          <w:rFonts w:ascii="Times New Roman" w:hAnsi="Times New Roman" w:cs="Times New Roman"/>
          <w:sz w:val="24"/>
          <w:szCs w:val="24"/>
        </w:rPr>
        <w:t xml:space="preserve">Despite the fact that these two branches are tightly connected, they serve a different purpose fulfil various roles for business organisations. </w:t>
      </w:r>
    </w:p>
    <w:p w14:paraId="1F07DD0B" w14:textId="77777777" w:rsidR="008437C7" w:rsidRDefault="00B64193"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 xml:space="preserve">Financial accounting is mainly used to assess how well the business has achieved its goals and as a tool to comply with existing regulation and legislation related to financial reporting and accounting procedures (Needles et al., 2014). </w:t>
      </w:r>
      <w:r w:rsidR="00BD3AE9" w:rsidRPr="008437C7">
        <w:rPr>
          <w:rFonts w:ascii="Times New Roman" w:hAnsi="Times New Roman" w:cs="Times New Roman"/>
          <w:sz w:val="24"/>
          <w:szCs w:val="24"/>
        </w:rPr>
        <w:t>This is achieved by financial accountants and the continuous recording of business transactions, as well as the preparation of financial statements. Financial accounting is very important for companies</w:t>
      </w:r>
      <w:r w:rsidR="008437C7">
        <w:rPr>
          <w:rFonts w:ascii="Times New Roman" w:hAnsi="Times New Roman" w:cs="Times New Roman"/>
          <w:sz w:val="24"/>
          <w:szCs w:val="24"/>
        </w:rPr>
        <w:t>,</w:t>
      </w:r>
      <w:r w:rsidR="00BD3AE9" w:rsidRPr="008437C7">
        <w:rPr>
          <w:rFonts w:ascii="Times New Roman" w:hAnsi="Times New Roman" w:cs="Times New Roman"/>
          <w:sz w:val="24"/>
          <w:szCs w:val="24"/>
        </w:rPr>
        <w:t xml:space="preserve"> as it ensures that the business entity complies with law and regulations and is operating pro</w:t>
      </w:r>
      <w:r w:rsidR="00F45787">
        <w:rPr>
          <w:rFonts w:ascii="Times New Roman" w:hAnsi="Times New Roman" w:cs="Times New Roman"/>
          <w:sz w:val="24"/>
          <w:szCs w:val="24"/>
        </w:rPr>
        <w:t xml:space="preserve">perly. The financial statements, which are </w:t>
      </w:r>
      <w:r w:rsidR="00BD3AE9" w:rsidRPr="008437C7">
        <w:rPr>
          <w:rFonts w:ascii="Times New Roman" w:hAnsi="Times New Roman" w:cs="Times New Roman"/>
          <w:sz w:val="24"/>
          <w:szCs w:val="24"/>
        </w:rPr>
        <w:t>prepared by this branch</w:t>
      </w:r>
      <w:r w:rsidR="00F45787">
        <w:rPr>
          <w:rFonts w:ascii="Times New Roman" w:hAnsi="Times New Roman" w:cs="Times New Roman"/>
          <w:sz w:val="24"/>
          <w:szCs w:val="24"/>
        </w:rPr>
        <w:t>,</w:t>
      </w:r>
      <w:r w:rsidR="00BD3AE9" w:rsidRPr="008437C7">
        <w:rPr>
          <w:rFonts w:ascii="Times New Roman" w:hAnsi="Times New Roman" w:cs="Times New Roman"/>
          <w:sz w:val="24"/>
          <w:szCs w:val="24"/>
        </w:rPr>
        <w:t xml:space="preserve"> are mainly used by external stakeholder groups, such as investors, suppliers, financial institutions, competitors, government agencies and many more (Needles et al., 2014). </w:t>
      </w:r>
    </w:p>
    <w:p w14:paraId="0BB7AE17" w14:textId="77777777" w:rsidR="00496057" w:rsidRDefault="008437C7" w:rsidP="008437C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contrast</w:t>
      </w:r>
      <w:r w:rsidR="00BD3AE9" w:rsidRPr="008437C7">
        <w:rPr>
          <w:rFonts w:ascii="Times New Roman" w:hAnsi="Times New Roman" w:cs="Times New Roman"/>
          <w:sz w:val="24"/>
          <w:szCs w:val="24"/>
        </w:rPr>
        <w:t xml:space="preserve">, management accounting is mainly aiming at internal decision makers who use it as a foundation for conducting important strategic courses of action. Management accounting provides reports and analysis regarding various areas of performance and different operating, investing and financing activities (Needles et al., 2014). For example, management accounting can provide managers with investment appraisal techniques and analysis which can help them decide which optional project is better for long-term investment and return (Needles et al., 2014). It is also concerned with historical performance analysis, identification of gaps for improvement and forecasting for the future (Needles et al., 2014). </w:t>
      </w:r>
    </w:p>
    <w:p w14:paraId="209E5996" w14:textId="77777777" w:rsidR="00496057" w:rsidRDefault="00496057" w:rsidP="008437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Given these brief definitions and explanations of financial and management accounting, it is also important to explain the major differences between both in more details. </w:t>
      </w:r>
      <w:r w:rsidR="00BD3AE9" w:rsidRPr="008437C7">
        <w:rPr>
          <w:rFonts w:ascii="Times New Roman" w:hAnsi="Times New Roman" w:cs="Times New Roman"/>
          <w:sz w:val="24"/>
          <w:szCs w:val="24"/>
        </w:rPr>
        <w:t>Whil</w:t>
      </w:r>
      <w:r>
        <w:rPr>
          <w:rFonts w:ascii="Times New Roman" w:hAnsi="Times New Roman" w:cs="Times New Roman"/>
          <w:sz w:val="24"/>
          <w:szCs w:val="24"/>
        </w:rPr>
        <w:t xml:space="preserve">e financial accounting reports, which typically refer to </w:t>
      </w:r>
      <w:r w:rsidR="00BD3AE9" w:rsidRPr="008437C7">
        <w:rPr>
          <w:rFonts w:ascii="Times New Roman" w:hAnsi="Times New Roman" w:cs="Times New Roman"/>
          <w:sz w:val="24"/>
          <w:szCs w:val="24"/>
        </w:rPr>
        <w:t>the different finan</w:t>
      </w:r>
      <w:r>
        <w:rPr>
          <w:rFonts w:ascii="Times New Roman" w:hAnsi="Times New Roman" w:cs="Times New Roman"/>
          <w:sz w:val="24"/>
          <w:szCs w:val="24"/>
        </w:rPr>
        <w:t xml:space="preserve">cial statements of a company, </w:t>
      </w:r>
      <w:r w:rsidR="00BD3AE9" w:rsidRPr="008437C7">
        <w:rPr>
          <w:rFonts w:ascii="Times New Roman" w:hAnsi="Times New Roman" w:cs="Times New Roman"/>
          <w:sz w:val="24"/>
          <w:szCs w:val="24"/>
        </w:rPr>
        <w:t xml:space="preserve">are prepared on the basis of a pre-specified format and structure complying with regulations and standards, management accounting reports are more flexible, not publicly available and can take any form depending on the specific needs of the management and decision-makers (Needles et al., 2014). </w:t>
      </w:r>
    </w:p>
    <w:p w14:paraId="75DF8FED" w14:textId="77777777" w:rsidR="00496057" w:rsidRDefault="00496057" w:rsidP="008437C7">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f</w:t>
      </w:r>
      <w:r w:rsidR="00757896" w:rsidRPr="008437C7">
        <w:rPr>
          <w:rFonts w:ascii="Times New Roman" w:hAnsi="Times New Roman" w:cs="Times New Roman"/>
          <w:sz w:val="24"/>
          <w:szCs w:val="24"/>
        </w:rPr>
        <w:t xml:space="preserve">inancial accounting provides information about the functioning of the business in terms of numerical figures for the assessed period, while managerial accounting interprets their meaning and can compare them to other indicators (for example, past periods, industry benchmarks or other indicators, such as ratio analysis). </w:t>
      </w:r>
      <w:r>
        <w:rPr>
          <w:rFonts w:ascii="Times New Roman" w:hAnsi="Times New Roman" w:cs="Times New Roman"/>
          <w:sz w:val="24"/>
          <w:szCs w:val="24"/>
        </w:rPr>
        <w:t xml:space="preserve">Considering this, the information in management accounting reports tends to be more diverse in comparison to the one from financial accounting reports </w:t>
      </w:r>
      <w:r w:rsidRPr="008437C7">
        <w:rPr>
          <w:rFonts w:ascii="Times New Roman" w:hAnsi="Times New Roman" w:cs="Times New Roman"/>
          <w:sz w:val="24"/>
          <w:szCs w:val="24"/>
        </w:rPr>
        <w:t>(Needles et al., 2014).</w:t>
      </w:r>
    </w:p>
    <w:p w14:paraId="1CA17F65" w14:textId="77777777" w:rsidR="00F12245" w:rsidRPr="008437C7" w:rsidRDefault="00496057" w:rsidP="008437C7">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w</w:t>
      </w:r>
      <w:r w:rsidR="00757896" w:rsidRPr="008437C7">
        <w:rPr>
          <w:rFonts w:ascii="Times New Roman" w:hAnsi="Times New Roman" w:cs="Times New Roman"/>
          <w:sz w:val="24"/>
          <w:szCs w:val="24"/>
        </w:rPr>
        <w:t xml:space="preserve">hile financial accounting is necessary and required to be performed by any business organisation, managerial accounting may or may not be evident. In the general case, small companies use management accounting less, although it is a very valuable and useful tool for assessing business performance and develop strategies for improvement. Management accounting uses a wide variety of different tools and techniques to support decision-making, which are described in the following section. </w:t>
      </w:r>
    </w:p>
    <w:p w14:paraId="7AA108C0" w14:textId="77777777" w:rsidR="008437C7" w:rsidRDefault="008437C7" w:rsidP="008437C7">
      <w:pPr>
        <w:pStyle w:val="ListParagraph"/>
        <w:numPr>
          <w:ilvl w:val="0"/>
          <w:numId w:val="2"/>
        </w:numPr>
        <w:spacing w:line="360" w:lineRule="auto"/>
        <w:jc w:val="both"/>
        <w:rPr>
          <w:rFonts w:ascii="Times New Roman" w:hAnsi="Times New Roman" w:cs="Times New Roman"/>
          <w:sz w:val="24"/>
          <w:szCs w:val="24"/>
        </w:rPr>
      </w:pPr>
    </w:p>
    <w:p w14:paraId="0ED99D66" w14:textId="77777777" w:rsidR="004B06D4" w:rsidRPr="008437C7" w:rsidRDefault="004B06D4"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As explained, managerial accounting focuses on assessing and analysing various operational metrics to support decision-makers in conduction various strategic courses of action and/or developing policies for improving performance. There are different techniques which are used in this regard by managerial accountants. Some of the main ones are explained below.</w:t>
      </w:r>
    </w:p>
    <w:p w14:paraId="4D77F80B" w14:textId="77777777" w:rsidR="004B06D4" w:rsidRPr="008437C7" w:rsidRDefault="00773E94"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lastRenderedPageBreak/>
        <w:t xml:space="preserve">Ratio analysis, as discussed by Bloomenthal (2021), is a quantitative method of obtaining an in-depth insight of a company’s performance in terms of profitability, liquidity and operational efficiency. It uses various different items extracted from the financial statements prepared by financial accountants to assess different links and relationships between variables and compare them to historic periods, rivals or industry averages (Bloomenthal, 2021). Assessing how a company performs over time is crucial for managers as it provides a better outlook on different areas of operation and identifies gaps for improvement. Profitability and liquidity position also reveal the overall stability of the brand and is often used by other stakeholders like banks and suppliers to decide on certain policies towards the company (for example, landing a loan). Thus, having a detailed and in-depth knowledge of all these areas and assessing the factors of influence determining the final ratio result is essential for corporate managers. </w:t>
      </w:r>
    </w:p>
    <w:p w14:paraId="0E739B5C" w14:textId="77777777" w:rsidR="00773E94" w:rsidRPr="008437C7" w:rsidRDefault="00773E94"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 xml:space="preserve">Capital budgeting </w:t>
      </w:r>
      <w:r w:rsidR="00EC65CE" w:rsidRPr="008437C7">
        <w:rPr>
          <w:rFonts w:ascii="Times New Roman" w:hAnsi="Times New Roman" w:cs="Times New Roman"/>
          <w:sz w:val="24"/>
          <w:szCs w:val="24"/>
        </w:rPr>
        <w:t xml:space="preserve">is another technique often used by management accounting to support the decision making of managers. It is associated with assessment of different investment appraisal indicators which are often used as a guideline on whether to invest in certain project or not (CFI, 2021). Capital budgeting includes many different tools which can be applied, such as net present value, payback period, discounted payback period, internal rate of return and many more which allow decision-makers to assess various projects in terms of generated cash flows, time to retain initial investment back, rates of return and many more, depending on the specific business needs and policy (Needles et al., 2014). </w:t>
      </w:r>
    </w:p>
    <w:p w14:paraId="041BD857" w14:textId="77777777" w:rsidR="00EC65CE" w:rsidRPr="008437C7" w:rsidRDefault="00EC65CE"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 xml:space="preserve">Inventory valuation and product costing is also a technique often used by management accountants. Inventory management is crucial for companies, especially when they operate in rival environments and produce different products, as it can be the source of efficiency but can also contribute to inability to generate cash (Needles et al., 2014). Thus, inventory valuation and potential options for increasing/decreasing it along with their respective consequences on profitability, liquidity and efficiency of the company is crucial. Also, companies can use various techniques and approaches towards product costing. This is mainly related to the allocation of overhead costs and the assessment of direct and indirect costs as an input for calculating cost of goods sold (CFI, 2021). This is also </w:t>
      </w:r>
      <w:r w:rsidR="00F45787">
        <w:rPr>
          <w:rFonts w:ascii="Times New Roman" w:hAnsi="Times New Roman" w:cs="Times New Roman"/>
          <w:sz w:val="24"/>
          <w:szCs w:val="24"/>
        </w:rPr>
        <w:t xml:space="preserve">significantly </w:t>
      </w:r>
      <w:r w:rsidRPr="008437C7">
        <w:rPr>
          <w:rFonts w:ascii="Times New Roman" w:hAnsi="Times New Roman" w:cs="Times New Roman"/>
          <w:sz w:val="24"/>
          <w:szCs w:val="24"/>
        </w:rPr>
        <w:t>important for managers</w:t>
      </w:r>
      <w:r w:rsidR="00F45787">
        <w:rPr>
          <w:rFonts w:ascii="Times New Roman" w:hAnsi="Times New Roman" w:cs="Times New Roman"/>
          <w:sz w:val="24"/>
          <w:szCs w:val="24"/>
        </w:rPr>
        <w:t>,</w:t>
      </w:r>
      <w:r w:rsidRPr="008437C7">
        <w:rPr>
          <w:rFonts w:ascii="Times New Roman" w:hAnsi="Times New Roman" w:cs="Times New Roman"/>
          <w:sz w:val="24"/>
          <w:szCs w:val="24"/>
        </w:rPr>
        <w:t xml:space="preserve"> as it can change the profit and costs estimation and manipulate the overall conclusion of company’s performance. </w:t>
      </w:r>
    </w:p>
    <w:p w14:paraId="3B4732C2" w14:textId="77777777" w:rsidR="00EC65CE" w:rsidRPr="008437C7" w:rsidRDefault="00EC65CE"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lastRenderedPageBreak/>
        <w:t xml:space="preserve">Management accounting is also engaged with trend analysis and forecasting (CFI, 2021). Trend analysis is crucial for assessing the performance of a company based on evaluating its indicators over a certain period of time. This allows managers to identify potential gaps and analyse factors of influence affecting them. Forecasting is also very valuable as it provides an estimate for future performance and serves as a foundation for setting goals and making decisions in the present. </w:t>
      </w:r>
    </w:p>
    <w:p w14:paraId="35731C50" w14:textId="77777777" w:rsidR="00EC65CE" w:rsidRPr="008437C7" w:rsidRDefault="00EC65CE" w:rsidP="008437C7">
      <w:pPr>
        <w:spacing w:line="360" w:lineRule="auto"/>
        <w:jc w:val="both"/>
        <w:rPr>
          <w:rFonts w:ascii="Times New Roman" w:hAnsi="Times New Roman" w:cs="Times New Roman"/>
          <w:sz w:val="24"/>
          <w:szCs w:val="24"/>
        </w:rPr>
      </w:pPr>
      <w:r w:rsidRPr="008437C7">
        <w:rPr>
          <w:rFonts w:ascii="Times New Roman" w:hAnsi="Times New Roman" w:cs="Times New Roman"/>
          <w:sz w:val="24"/>
          <w:szCs w:val="24"/>
        </w:rPr>
        <w:t xml:space="preserve">Overall, as evident from all of the above, it can be stated that managerial accounting uses various techniques to support decision-making and help managers to develop strategic policies and actions. </w:t>
      </w:r>
    </w:p>
    <w:p w14:paraId="1C11E8C1" w14:textId="77777777" w:rsidR="00F12245" w:rsidRPr="008437C7" w:rsidRDefault="00F12245" w:rsidP="008437C7">
      <w:pPr>
        <w:spacing w:line="360" w:lineRule="auto"/>
        <w:jc w:val="both"/>
        <w:rPr>
          <w:rFonts w:ascii="Times New Roman" w:hAnsi="Times New Roman" w:cs="Times New Roman"/>
          <w:sz w:val="24"/>
          <w:szCs w:val="24"/>
        </w:rPr>
      </w:pPr>
    </w:p>
    <w:p w14:paraId="761AF6B9" w14:textId="77777777" w:rsidR="00F12245" w:rsidRPr="008437C7" w:rsidRDefault="00F12245" w:rsidP="008437C7">
      <w:pPr>
        <w:spacing w:line="360" w:lineRule="auto"/>
        <w:jc w:val="both"/>
        <w:rPr>
          <w:rFonts w:ascii="Times New Roman" w:hAnsi="Times New Roman" w:cs="Times New Roman"/>
          <w:sz w:val="24"/>
          <w:szCs w:val="24"/>
        </w:rPr>
      </w:pPr>
    </w:p>
    <w:p w14:paraId="03780368" w14:textId="77777777" w:rsidR="008630BE" w:rsidRDefault="008630BE" w:rsidP="008437C7">
      <w:pPr>
        <w:spacing w:line="360" w:lineRule="auto"/>
        <w:jc w:val="both"/>
        <w:rPr>
          <w:rFonts w:ascii="Times New Roman" w:hAnsi="Times New Roman" w:cs="Times New Roman"/>
          <w:sz w:val="24"/>
          <w:szCs w:val="24"/>
        </w:rPr>
      </w:pPr>
    </w:p>
    <w:p w14:paraId="2E276B59" w14:textId="77777777" w:rsidR="00F45787" w:rsidRDefault="00F45787" w:rsidP="008437C7">
      <w:pPr>
        <w:spacing w:line="360" w:lineRule="auto"/>
        <w:jc w:val="both"/>
        <w:rPr>
          <w:rFonts w:ascii="Times New Roman" w:hAnsi="Times New Roman" w:cs="Times New Roman"/>
          <w:sz w:val="24"/>
          <w:szCs w:val="24"/>
        </w:rPr>
      </w:pPr>
    </w:p>
    <w:p w14:paraId="394E0282" w14:textId="77777777" w:rsidR="00F45787" w:rsidRDefault="00F45787" w:rsidP="008437C7">
      <w:pPr>
        <w:spacing w:line="360" w:lineRule="auto"/>
        <w:jc w:val="both"/>
        <w:rPr>
          <w:rFonts w:ascii="Times New Roman" w:hAnsi="Times New Roman" w:cs="Times New Roman"/>
          <w:sz w:val="24"/>
          <w:szCs w:val="24"/>
        </w:rPr>
      </w:pPr>
    </w:p>
    <w:p w14:paraId="00C31284" w14:textId="77777777" w:rsidR="00F45787" w:rsidRDefault="00F45787" w:rsidP="008437C7">
      <w:pPr>
        <w:spacing w:line="360" w:lineRule="auto"/>
        <w:jc w:val="both"/>
        <w:rPr>
          <w:rFonts w:ascii="Times New Roman" w:hAnsi="Times New Roman" w:cs="Times New Roman"/>
          <w:sz w:val="24"/>
          <w:szCs w:val="24"/>
        </w:rPr>
      </w:pPr>
    </w:p>
    <w:p w14:paraId="56AA0AE6" w14:textId="77777777" w:rsidR="00F45787" w:rsidRDefault="00F45787" w:rsidP="008437C7">
      <w:pPr>
        <w:spacing w:line="360" w:lineRule="auto"/>
        <w:jc w:val="both"/>
        <w:rPr>
          <w:rFonts w:ascii="Times New Roman" w:hAnsi="Times New Roman" w:cs="Times New Roman"/>
          <w:sz w:val="24"/>
          <w:szCs w:val="24"/>
        </w:rPr>
      </w:pPr>
    </w:p>
    <w:p w14:paraId="5470F531" w14:textId="77777777" w:rsidR="00F45787" w:rsidRDefault="00F45787" w:rsidP="008437C7">
      <w:pPr>
        <w:spacing w:line="360" w:lineRule="auto"/>
        <w:jc w:val="both"/>
        <w:rPr>
          <w:rFonts w:ascii="Times New Roman" w:hAnsi="Times New Roman" w:cs="Times New Roman"/>
          <w:sz w:val="24"/>
          <w:szCs w:val="24"/>
        </w:rPr>
      </w:pPr>
    </w:p>
    <w:p w14:paraId="0C7B43BA" w14:textId="77777777" w:rsidR="00F45787" w:rsidRDefault="00F45787" w:rsidP="008437C7">
      <w:pPr>
        <w:spacing w:line="360" w:lineRule="auto"/>
        <w:jc w:val="both"/>
        <w:rPr>
          <w:rFonts w:ascii="Times New Roman" w:hAnsi="Times New Roman" w:cs="Times New Roman"/>
          <w:sz w:val="24"/>
          <w:szCs w:val="24"/>
        </w:rPr>
      </w:pPr>
    </w:p>
    <w:p w14:paraId="6FE1F1C3" w14:textId="77777777" w:rsidR="00F45787" w:rsidRDefault="00F45787" w:rsidP="008437C7">
      <w:pPr>
        <w:spacing w:line="360" w:lineRule="auto"/>
        <w:jc w:val="both"/>
        <w:rPr>
          <w:rFonts w:ascii="Times New Roman" w:hAnsi="Times New Roman" w:cs="Times New Roman"/>
          <w:sz w:val="24"/>
          <w:szCs w:val="24"/>
        </w:rPr>
      </w:pPr>
    </w:p>
    <w:p w14:paraId="4A04B2B6" w14:textId="77777777" w:rsidR="00F45787" w:rsidRDefault="00F45787" w:rsidP="008437C7">
      <w:pPr>
        <w:spacing w:line="360" w:lineRule="auto"/>
        <w:jc w:val="both"/>
        <w:rPr>
          <w:rFonts w:ascii="Times New Roman" w:hAnsi="Times New Roman" w:cs="Times New Roman"/>
          <w:sz w:val="24"/>
          <w:szCs w:val="24"/>
        </w:rPr>
      </w:pPr>
    </w:p>
    <w:p w14:paraId="3148C71C" w14:textId="77777777" w:rsidR="00F45787" w:rsidRDefault="00F45787" w:rsidP="008437C7">
      <w:pPr>
        <w:spacing w:line="360" w:lineRule="auto"/>
        <w:jc w:val="both"/>
        <w:rPr>
          <w:rFonts w:ascii="Times New Roman" w:hAnsi="Times New Roman" w:cs="Times New Roman"/>
          <w:sz w:val="24"/>
          <w:szCs w:val="24"/>
        </w:rPr>
      </w:pPr>
    </w:p>
    <w:p w14:paraId="500B5297" w14:textId="77777777" w:rsidR="00F45787" w:rsidRDefault="00F45787" w:rsidP="008437C7">
      <w:pPr>
        <w:spacing w:line="360" w:lineRule="auto"/>
        <w:jc w:val="both"/>
        <w:rPr>
          <w:rFonts w:ascii="Times New Roman" w:hAnsi="Times New Roman" w:cs="Times New Roman"/>
          <w:sz w:val="24"/>
          <w:szCs w:val="24"/>
        </w:rPr>
      </w:pPr>
    </w:p>
    <w:p w14:paraId="5D6C4764" w14:textId="77777777" w:rsidR="00F45787" w:rsidRDefault="00F45787" w:rsidP="008437C7">
      <w:pPr>
        <w:spacing w:line="360" w:lineRule="auto"/>
        <w:jc w:val="both"/>
        <w:rPr>
          <w:rFonts w:ascii="Times New Roman" w:hAnsi="Times New Roman" w:cs="Times New Roman"/>
          <w:sz w:val="24"/>
          <w:szCs w:val="24"/>
        </w:rPr>
      </w:pPr>
    </w:p>
    <w:p w14:paraId="1DFBADAF" w14:textId="77777777" w:rsidR="00F45787" w:rsidRDefault="00F45787" w:rsidP="008437C7">
      <w:pPr>
        <w:spacing w:line="360" w:lineRule="auto"/>
        <w:jc w:val="both"/>
        <w:rPr>
          <w:rFonts w:ascii="Times New Roman" w:hAnsi="Times New Roman" w:cs="Times New Roman"/>
          <w:sz w:val="24"/>
          <w:szCs w:val="24"/>
        </w:rPr>
      </w:pPr>
    </w:p>
    <w:p w14:paraId="5B42CAB2" w14:textId="77777777" w:rsidR="00F45787" w:rsidRDefault="00F45787" w:rsidP="008437C7">
      <w:pPr>
        <w:spacing w:line="360" w:lineRule="auto"/>
        <w:jc w:val="both"/>
        <w:rPr>
          <w:rFonts w:ascii="Times New Roman" w:hAnsi="Times New Roman" w:cs="Times New Roman"/>
          <w:sz w:val="24"/>
          <w:szCs w:val="24"/>
        </w:rPr>
      </w:pPr>
    </w:p>
    <w:p w14:paraId="2C66EA61" w14:textId="77777777" w:rsidR="00F45787" w:rsidRPr="008437C7" w:rsidRDefault="00F45787" w:rsidP="008437C7">
      <w:pPr>
        <w:spacing w:line="360" w:lineRule="auto"/>
        <w:jc w:val="both"/>
        <w:rPr>
          <w:rFonts w:ascii="Times New Roman" w:hAnsi="Times New Roman" w:cs="Times New Roman"/>
          <w:sz w:val="24"/>
          <w:szCs w:val="24"/>
        </w:rPr>
      </w:pPr>
    </w:p>
    <w:p w14:paraId="033A4B4E" w14:textId="77777777" w:rsidR="008630BE" w:rsidRPr="008437C7" w:rsidRDefault="008630BE" w:rsidP="008437C7">
      <w:pPr>
        <w:spacing w:line="360" w:lineRule="auto"/>
        <w:jc w:val="both"/>
        <w:rPr>
          <w:rFonts w:ascii="Times New Roman" w:hAnsi="Times New Roman" w:cs="Times New Roman"/>
          <w:b/>
          <w:bCs/>
          <w:iCs/>
          <w:sz w:val="28"/>
          <w:szCs w:val="28"/>
        </w:rPr>
      </w:pPr>
      <w:r w:rsidRPr="008437C7">
        <w:rPr>
          <w:rFonts w:ascii="Times New Roman" w:hAnsi="Times New Roman" w:cs="Times New Roman"/>
          <w:b/>
          <w:bCs/>
          <w:iCs/>
          <w:sz w:val="28"/>
          <w:szCs w:val="28"/>
        </w:rPr>
        <w:lastRenderedPageBreak/>
        <w:t>References</w:t>
      </w:r>
    </w:p>
    <w:p w14:paraId="6E67AE6C" w14:textId="77777777" w:rsidR="004B06D4" w:rsidRPr="008437C7" w:rsidRDefault="004B06D4" w:rsidP="008437C7">
      <w:pPr>
        <w:spacing w:line="360" w:lineRule="auto"/>
        <w:rPr>
          <w:rFonts w:ascii="Times New Roman" w:hAnsi="Times New Roman" w:cs="Times New Roman"/>
          <w:sz w:val="24"/>
          <w:szCs w:val="24"/>
        </w:rPr>
      </w:pPr>
      <w:r w:rsidRPr="008437C7">
        <w:rPr>
          <w:rFonts w:ascii="Times New Roman" w:hAnsi="Times New Roman" w:cs="Times New Roman"/>
          <w:sz w:val="24"/>
          <w:szCs w:val="24"/>
        </w:rPr>
        <w:t xml:space="preserve">Bloomenthal, A. (2021) </w:t>
      </w:r>
      <w:r w:rsidRPr="008437C7">
        <w:rPr>
          <w:rFonts w:ascii="Times New Roman" w:hAnsi="Times New Roman" w:cs="Times New Roman"/>
          <w:i/>
          <w:iCs/>
          <w:sz w:val="24"/>
          <w:szCs w:val="24"/>
        </w:rPr>
        <w:t>Ratio Analysis</w:t>
      </w:r>
      <w:r w:rsidR="00F45787">
        <w:rPr>
          <w:rFonts w:ascii="Times New Roman" w:hAnsi="Times New Roman" w:cs="Times New Roman"/>
          <w:sz w:val="24"/>
          <w:szCs w:val="24"/>
        </w:rPr>
        <w:t xml:space="preserve">, </w:t>
      </w:r>
      <w:r w:rsidRPr="008437C7">
        <w:rPr>
          <w:rFonts w:ascii="Times New Roman" w:hAnsi="Times New Roman" w:cs="Times New Roman"/>
          <w:sz w:val="24"/>
          <w:szCs w:val="24"/>
        </w:rPr>
        <w:t xml:space="preserve">[online] Available: </w:t>
      </w:r>
      <w:hyperlink r:id="rId8" w:anchor=":~:text=Ratio%20analysis%20is%20a%20quantitative,cornerstone%20of%20fundamental%20equity%20analysis" w:history="1">
        <w:r w:rsidRPr="008437C7">
          <w:rPr>
            <w:rStyle w:val="Hyperlink"/>
            <w:rFonts w:ascii="Times New Roman" w:hAnsi="Times New Roman" w:cs="Times New Roman"/>
            <w:sz w:val="24"/>
            <w:szCs w:val="24"/>
          </w:rPr>
          <w:t>https://www.investopedia.com/terms/r/ratioanalysis.asp#:~:text=Ratio%20analysis%20is%20a%20quantitative,cornerstone%20of%20fundamental%20equity%20analysis</w:t>
        </w:r>
      </w:hyperlink>
      <w:r w:rsidR="00F45787">
        <w:rPr>
          <w:rFonts w:ascii="Times New Roman" w:hAnsi="Times New Roman" w:cs="Times New Roman"/>
          <w:sz w:val="24"/>
          <w:szCs w:val="24"/>
        </w:rPr>
        <w:t xml:space="preserve"> </w:t>
      </w:r>
      <w:r w:rsidRPr="008437C7">
        <w:rPr>
          <w:rFonts w:ascii="Times New Roman" w:hAnsi="Times New Roman" w:cs="Times New Roman"/>
          <w:sz w:val="24"/>
          <w:szCs w:val="24"/>
        </w:rPr>
        <w:t>[Accessed</w:t>
      </w:r>
      <w:r w:rsidR="00F45787">
        <w:rPr>
          <w:rFonts w:ascii="Times New Roman" w:hAnsi="Times New Roman" w:cs="Times New Roman"/>
          <w:sz w:val="24"/>
          <w:szCs w:val="24"/>
        </w:rPr>
        <w:t>: 27</w:t>
      </w:r>
      <w:r w:rsidRPr="008437C7">
        <w:rPr>
          <w:rFonts w:ascii="Times New Roman" w:hAnsi="Times New Roman" w:cs="Times New Roman"/>
          <w:sz w:val="24"/>
          <w:szCs w:val="24"/>
        </w:rPr>
        <w:t xml:space="preserve"> August 2021]</w:t>
      </w:r>
    </w:p>
    <w:p w14:paraId="1A9B6332" w14:textId="77777777" w:rsidR="00761632" w:rsidRPr="008437C7" w:rsidRDefault="00761632" w:rsidP="008437C7">
      <w:pPr>
        <w:spacing w:line="360" w:lineRule="auto"/>
        <w:rPr>
          <w:rFonts w:ascii="Times New Roman" w:hAnsi="Times New Roman" w:cs="Times New Roman"/>
          <w:sz w:val="24"/>
          <w:szCs w:val="24"/>
        </w:rPr>
      </w:pPr>
      <w:r w:rsidRPr="008437C7">
        <w:rPr>
          <w:rFonts w:ascii="Times New Roman" w:hAnsi="Times New Roman" w:cs="Times New Roman"/>
          <w:sz w:val="24"/>
          <w:szCs w:val="24"/>
        </w:rPr>
        <w:t xml:space="preserve">CFI (2021) </w:t>
      </w:r>
      <w:r w:rsidRPr="008437C7">
        <w:rPr>
          <w:rFonts w:ascii="Times New Roman" w:hAnsi="Times New Roman" w:cs="Times New Roman"/>
          <w:i/>
          <w:iCs/>
          <w:sz w:val="24"/>
          <w:szCs w:val="24"/>
        </w:rPr>
        <w:t>Managerial accounting</w:t>
      </w:r>
      <w:r w:rsidR="00F45787">
        <w:rPr>
          <w:rFonts w:ascii="Times New Roman" w:hAnsi="Times New Roman" w:cs="Times New Roman"/>
          <w:sz w:val="24"/>
          <w:szCs w:val="24"/>
        </w:rPr>
        <w:t xml:space="preserve">, </w:t>
      </w:r>
      <w:r w:rsidRPr="008437C7">
        <w:rPr>
          <w:rFonts w:ascii="Times New Roman" w:hAnsi="Times New Roman" w:cs="Times New Roman"/>
          <w:sz w:val="24"/>
          <w:szCs w:val="24"/>
        </w:rPr>
        <w:t xml:space="preserve">[online] Available: </w:t>
      </w:r>
      <w:hyperlink r:id="rId9" w:history="1">
        <w:r w:rsidRPr="008437C7">
          <w:rPr>
            <w:rStyle w:val="Hyperlink"/>
            <w:rFonts w:ascii="Times New Roman" w:hAnsi="Times New Roman" w:cs="Times New Roman"/>
            <w:sz w:val="24"/>
            <w:szCs w:val="24"/>
          </w:rPr>
          <w:t>https://corporatefinanceinstitute.com/resources/knowledge/accounting/managerial-accounting/</w:t>
        </w:r>
      </w:hyperlink>
      <w:r w:rsidRPr="008437C7">
        <w:rPr>
          <w:rFonts w:ascii="Times New Roman" w:hAnsi="Times New Roman" w:cs="Times New Roman"/>
          <w:sz w:val="24"/>
          <w:szCs w:val="24"/>
        </w:rPr>
        <w:t xml:space="preserve"> [Accessed</w:t>
      </w:r>
      <w:r w:rsidR="00F45787">
        <w:rPr>
          <w:rFonts w:ascii="Times New Roman" w:hAnsi="Times New Roman" w:cs="Times New Roman"/>
          <w:sz w:val="24"/>
          <w:szCs w:val="24"/>
        </w:rPr>
        <w:t>: 27</w:t>
      </w:r>
      <w:r w:rsidRPr="008437C7">
        <w:rPr>
          <w:rFonts w:ascii="Times New Roman" w:hAnsi="Times New Roman" w:cs="Times New Roman"/>
          <w:sz w:val="24"/>
          <w:szCs w:val="24"/>
        </w:rPr>
        <w:t xml:space="preserve"> August 2021]</w:t>
      </w:r>
    </w:p>
    <w:p w14:paraId="5639263E" w14:textId="77777777" w:rsidR="001C0372" w:rsidRPr="008437C7" w:rsidRDefault="001C0372" w:rsidP="008437C7">
      <w:pPr>
        <w:spacing w:line="360" w:lineRule="auto"/>
        <w:rPr>
          <w:rFonts w:ascii="Times New Roman" w:hAnsi="Times New Roman" w:cs="Times New Roman"/>
          <w:sz w:val="24"/>
          <w:szCs w:val="24"/>
        </w:rPr>
      </w:pPr>
      <w:r w:rsidRPr="008437C7">
        <w:rPr>
          <w:rFonts w:ascii="Times New Roman" w:hAnsi="Times New Roman" w:cs="Times New Roman"/>
          <w:sz w:val="24"/>
          <w:szCs w:val="24"/>
        </w:rPr>
        <w:t xml:space="preserve">Financial Accountancy (2021) </w:t>
      </w:r>
      <w:r w:rsidRPr="008437C7">
        <w:rPr>
          <w:rFonts w:ascii="Times New Roman" w:hAnsi="Times New Roman" w:cs="Times New Roman"/>
          <w:i/>
          <w:iCs/>
          <w:sz w:val="24"/>
          <w:szCs w:val="24"/>
        </w:rPr>
        <w:t>Assumptions and Limitations of Break Even Analysis</w:t>
      </w:r>
      <w:r w:rsidR="00F45787">
        <w:rPr>
          <w:rFonts w:ascii="Times New Roman" w:hAnsi="Times New Roman" w:cs="Times New Roman"/>
          <w:sz w:val="24"/>
          <w:szCs w:val="24"/>
        </w:rPr>
        <w:t xml:space="preserve">, </w:t>
      </w:r>
      <w:r w:rsidRPr="008437C7">
        <w:rPr>
          <w:rFonts w:ascii="Times New Roman" w:hAnsi="Times New Roman" w:cs="Times New Roman"/>
          <w:sz w:val="24"/>
          <w:szCs w:val="24"/>
        </w:rPr>
        <w:t xml:space="preserve">[online] Available: </w:t>
      </w:r>
      <w:hyperlink r:id="rId10" w:history="1">
        <w:r w:rsidRPr="008437C7">
          <w:rPr>
            <w:rStyle w:val="Hyperlink"/>
            <w:rFonts w:ascii="Times New Roman" w:hAnsi="Times New Roman" w:cs="Times New Roman"/>
            <w:sz w:val="24"/>
            <w:szCs w:val="24"/>
          </w:rPr>
          <w:t>https://www.financialaccountancy.org/marginal-costing/assumptions-and-limitations-of-break-even-analysis/</w:t>
        </w:r>
      </w:hyperlink>
      <w:r w:rsidRPr="008437C7">
        <w:rPr>
          <w:rFonts w:ascii="Times New Roman" w:hAnsi="Times New Roman" w:cs="Times New Roman"/>
          <w:sz w:val="24"/>
          <w:szCs w:val="24"/>
        </w:rPr>
        <w:t xml:space="preserve"> [Accessed</w:t>
      </w:r>
      <w:r w:rsidR="00F45787">
        <w:rPr>
          <w:rFonts w:ascii="Times New Roman" w:hAnsi="Times New Roman" w:cs="Times New Roman"/>
          <w:sz w:val="24"/>
          <w:szCs w:val="24"/>
        </w:rPr>
        <w:t>: 27</w:t>
      </w:r>
      <w:r w:rsidRPr="008437C7">
        <w:rPr>
          <w:rFonts w:ascii="Times New Roman" w:hAnsi="Times New Roman" w:cs="Times New Roman"/>
          <w:sz w:val="24"/>
          <w:szCs w:val="24"/>
        </w:rPr>
        <w:t xml:space="preserve"> August 2021]</w:t>
      </w:r>
    </w:p>
    <w:p w14:paraId="697CF163" w14:textId="77777777" w:rsidR="008630BE" w:rsidRPr="008437C7" w:rsidRDefault="00F45787" w:rsidP="008437C7">
      <w:pPr>
        <w:spacing w:line="360" w:lineRule="auto"/>
        <w:rPr>
          <w:rFonts w:ascii="Times New Roman" w:hAnsi="Times New Roman" w:cs="Times New Roman"/>
          <w:sz w:val="24"/>
          <w:szCs w:val="24"/>
        </w:rPr>
      </w:pPr>
      <w:r>
        <w:rPr>
          <w:rFonts w:ascii="Times New Roman" w:hAnsi="Times New Roman" w:cs="Times New Roman"/>
          <w:sz w:val="24"/>
          <w:szCs w:val="24"/>
        </w:rPr>
        <w:t xml:space="preserve">Needles, B., Powers, M. and </w:t>
      </w:r>
      <w:r w:rsidR="00F12245" w:rsidRPr="008437C7">
        <w:rPr>
          <w:rFonts w:ascii="Times New Roman" w:hAnsi="Times New Roman" w:cs="Times New Roman"/>
          <w:sz w:val="24"/>
          <w:szCs w:val="24"/>
        </w:rPr>
        <w:t xml:space="preserve">Crosson, S. (2014) </w:t>
      </w:r>
      <w:r w:rsidR="00F12245" w:rsidRPr="008437C7">
        <w:rPr>
          <w:rFonts w:ascii="Times New Roman" w:hAnsi="Times New Roman" w:cs="Times New Roman"/>
          <w:i/>
          <w:iCs/>
          <w:sz w:val="24"/>
          <w:szCs w:val="24"/>
        </w:rPr>
        <w:t>Financial and Managerial Accounting</w:t>
      </w:r>
      <w:r w:rsidR="00F12245" w:rsidRPr="008437C7">
        <w:rPr>
          <w:rFonts w:ascii="Times New Roman" w:hAnsi="Times New Roman" w:cs="Times New Roman"/>
          <w:sz w:val="24"/>
          <w:szCs w:val="24"/>
        </w:rPr>
        <w:t>. 10</w:t>
      </w:r>
      <w:r w:rsidR="00F12245" w:rsidRPr="008437C7">
        <w:rPr>
          <w:rFonts w:ascii="Times New Roman" w:hAnsi="Times New Roman" w:cs="Times New Roman"/>
          <w:sz w:val="24"/>
          <w:szCs w:val="24"/>
          <w:vertAlign w:val="superscript"/>
        </w:rPr>
        <w:t>th</w:t>
      </w:r>
      <w:r w:rsidR="00F12245" w:rsidRPr="008437C7">
        <w:rPr>
          <w:rFonts w:ascii="Times New Roman" w:hAnsi="Times New Roman" w:cs="Times New Roman"/>
          <w:sz w:val="24"/>
          <w:szCs w:val="24"/>
        </w:rPr>
        <w:t xml:space="preserve"> ed. Cengage Learning</w:t>
      </w:r>
      <w:r>
        <w:rPr>
          <w:rFonts w:ascii="Times New Roman" w:hAnsi="Times New Roman" w:cs="Times New Roman"/>
          <w:sz w:val="24"/>
          <w:szCs w:val="24"/>
        </w:rPr>
        <w:t xml:space="preserve"> </w:t>
      </w:r>
    </w:p>
    <w:sectPr w:rsidR="008630BE" w:rsidRPr="008437C7" w:rsidSect="0047119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3D22D" w14:textId="77777777" w:rsidR="00DA4D5E" w:rsidRDefault="00DA4D5E" w:rsidP="008437C7">
      <w:pPr>
        <w:spacing w:after="0" w:line="240" w:lineRule="auto"/>
      </w:pPr>
      <w:r>
        <w:separator/>
      </w:r>
    </w:p>
  </w:endnote>
  <w:endnote w:type="continuationSeparator" w:id="0">
    <w:p w14:paraId="5760BA7B" w14:textId="77777777" w:rsidR="00DA4D5E" w:rsidRDefault="00DA4D5E" w:rsidP="00843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9607064"/>
      <w:docPartObj>
        <w:docPartGallery w:val="Page Numbers (Bottom of Page)"/>
        <w:docPartUnique/>
      </w:docPartObj>
    </w:sdtPr>
    <w:sdtEndPr/>
    <w:sdtContent>
      <w:p w14:paraId="1E316FF7" w14:textId="77777777" w:rsidR="00496057" w:rsidRDefault="00DA4D5E">
        <w:pPr>
          <w:pStyle w:val="Footer"/>
          <w:jc w:val="right"/>
        </w:pPr>
        <w:r>
          <w:fldChar w:fldCharType="begin"/>
        </w:r>
        <w:r>
          <w:instrText xml:space="preserve"> PAGE   \* MERGEFORMAT </w:instrText>
        </w:r>
        <w:r>
          <w:fldChar w:fldCharType="separate"/>
        </w:r>
        <w:r w:rsidR="00F45787">
          <w:rPr>
            <w:noProof/>
          </w:rPr>
          <w:t>2</w:t>
        </w:r>
        <w:r>
          <w:rPr>
            <w:noProof/>
          </w:rPr>
          <w:fldChar w:fldCharType="end"/>
        </w:r>
      </w:p>
    </w:sdtContent>
  </w:sdt>
  <w:p w14:paraId="69A1185E" w14:textId="77777777" w:rsidR="00496057" w:rsidRDefault="00496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C3C3B" w14:textId="77777777" w:rsidR="00DA4D5E" w:rsidRDefault="00DA4D5E" w:rsidP="008437C7">
      <w:pPr>
        <w:spacing w:after="0" w:line="240" w:lineRule="auto"/>
      </w:pPr>
      <w:r>
        <w:separator/>
      </w:r>
    </w:p>
  </w:footnote>
  <w:footnote w:type="continuationSeparator" w:id="0">
    <w:p w14:paraId="183E6C85" w14:textId="77777777" w:rsidR="00DA4D5E" w:rsidRDefault="00DA4D5E" w:rsidP="008437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812FD"/>
    <w:multiLevelType w:val="hybridMultilevel"/>
    <w:tmpl w:val="DC705E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D5578D"/>
    <w:multiLevelType w:val="hybridMultilevel"/>
    <w:tmpl w:val="0DE8F456"/>
    <w:lvl w:ilvl="0" w:tplc="28F6CCB4">
      <w:start w:val="1"/>
      <w:numFmt w:val="lowerLetter"/>
      <w:lvlText w:val="(%1)"/>
      <w:lvlJc w:val="left"/>
      <w:pPr>
        <w:ind w:left="1772" w:hanging="360"/>
        <w:jc w:val="left"/>
      </w:pPr>
      <w:rPr>
        <w:rFonts w:ascii="Arial" w:eastAsia="Arial" w:hAnsi="Arial" w:cs="Arial" w:hint="default"/>
        <w:b w:val="0"/>
        <w:bCs w:val="0"/>
        <w:i w:val="0"/>
        <w:iCs w:val="0"/>
        <w:w w:val="99"/>
        <w:sz w:val="24"/>
        <w:szCs w:val="24"/>
        <w:lang w:val="en-US" w:eastAsia="en-US" w:bidi="ar-SA"/>
      </w:rPr>
    </w:lvl>
    <w:lvl w:ilvl="1" w:tplc="B86ED226">
      <w:numFmt w:val="bullet"/>
      <w:lvlText w:val="•"/>
      <w:lvlJc w:val="left"/>
      <w:pPr>
        <w:ind w:left="2550" w:hanging="360"/>
      </w:pPr>
      <w:rPr>
        <w:rFonts w:hint="default"/>
        <w:lang w:val="en-US" w:eastAsia="en-US" w:bidi="ar-SA"/>
      </w:rPr>
    </w:lvl>
    <w:lvl w:ilvl="2" w:tplc="98824CBE">
      <w:numFmt w:val="bullet"/>
      <w:lvlText w:val="•"/>
      <w:lvlJc w:val="left"/>
      <w:pPr>
        <w:ind w:left="3321" w:hanging="360"/>
      </w:pPr>
      <w:rPr>
        <w:rFonts w:hint="default"/>
        <w:lang w:val="en-US" w:eastAsia="en-US" w:bidi="ar-SA"/>
      </w:rPr>
    </w:lvl>
    <w:lvl w:ilvl="3" w:tplc="AB64D088">
      <w:numFmt w:val="bullet"/>
      <w:lvlText w:val="•"/>
      <w:lvlJc w:val="left"/>
      <w:pPr>
        <w:ind w:left="4091" w:hanging="360"/>
      </w:pPr>
      <w:rPr>
        <w:rFonts w:hint="default"/>
        <w:lang w:val="en-US" w:eastAsia="en-US" w:bidi="ar-SA"/>
      </w:rPr>
    </w:lvl>
    <w:lvl w:ilvl="4" w:tplc="80D4ABE2">
      <w:numFmt w:val="bullet"/>
      <w:lvlText w:val="•"/>
      <w:lvlJc w:val="left"/>
      <w:pPr>
        <w:ind w:left="4862" w:hanging="360"/>
      </w:pPr>
      <w:rPr>
        <w:rFonts w:hint="default"/>
        <w:lang w:val="en-US" w:eastAsia="en-US" w:bidi="ar-SA"/>
      </w:rPr>
    </w:lvl>
    <w:lvl w:ilvl="5" w:tplc="868AE4BA">
      <w:numFmt w:val="bullet"/>
      <w:lvlText w:val="•"/>
      <w:lvlJc w:val="left"/>
      <w:pPr>
        <w:ind w:left="5633" w:hanging="360"/>
      </w:pPr>
      <w:rPr>
        <w:rFonts w:hint="default"/>
        <w:lang w:val="en-US" w:eastAsia="en-US" w:bidi="ar-SA"/>
      </w:rPr>
    </w:lvl>
    <w:lvl w:ilvl="6" w:tplc="44F83C6E">
      <w:numFmt w:val="bullet"/>
      <w:lvlText w:val="•"/>
      <w:lvlJc w:val="left"/>
      <w:pPr>
        <w:ind w:left="6403" w:hanging="360"/>
      </w:pPr>
      <w:rPr>
        <w:rFonts w:hint="default"/>
        <w:lang w:val="en-US" w:eastAsia="en-US" w:bidi="ar-SA"/>
      </w:rPr>
    </w:lvl>
    <w:lvl w:ilvl="7" w:tplc="D28E2E32">
      <w:numFmt w:val="bullet"/>
      <w:lvlText w:val="•"/>
      <w:lvlJc w:val="left"/>
      <w:pPr>
        <w:ind w:left="7174" w:hanging="360"/>
      </w:pPr>
      <w:rPr>
        <w:rFonts w:hint="default"/>
        <w:lang w:val="en-US" w:eastAsia="en-US" w:bidi="ar-SA"/>
      </w:rPr>
    </w:lvl>
    <w:lvl w:ilvl="8" w:tplc="A7107D6E">
      <w:numFmt w:val="bullet"/>
      <w:lvlText w:val="•"/>
      <w:lvlJc w:val="left"/>
      <w:pPr>
        <w:ind w:left="7945" w:hanging="360"/>
      </w:pPr>
      <w:rPr>
        <w:rFonts w:hint="default"/>
        <w:lang w:val="en-US" w:eastAsia="en-US" w:bidi="ar-SA"/>
      </w:rPr>
    </w:lvl>
  </w:abstractNum>
  <w:abstractNum w:abstractNumId="2" w15:restartNumberingAfterBreak="0">
    <w:nsid w:val="398C6169"/>
    <w:multiLevelType w:val="hybridMultilevel"/>
    <w:tmpl w:val="A90EF630"/>
    <w:lvl w:ilvl="0" w:tplc="48D0DC3A">
      <w:start w:val="1"/>
      <w:numFmt w:val="lowerLetter"/>
      <w:lvlText w:val="(%1)"/>
      <w:lvlJc w:val="left"/>
      <w:pPr>
        <w:ind w:left="1772" w:hanging="360"/>
        <w:jc w:val="left"/>
      </w:pPr>
      <w:rPr>
        <w:rFonts w:ascii="Arial" w:eastAsia="Arial" w:hAnsi="Arial" w:cs="Arial" w:hint="default"/>
        <w:b w:val="0"/>
        <w:bCs w:val="0"/>
        <w:i w:val="0"/>
        <w:iCs w:val="0"/>
        <w:w w:val="99"/>
        <w:sz w:val="24"/>
        <w:szCs w:val="24"/>
        <w:lang w:val="en-US" w:eastAsia="en-US" w:bidi="ar-SA"/>
      </w:rPr>
    </w:lvl>
    <w:lvl w:ilvl="1" w:tplc="4E6AA9D2">
      <w:numFmt w:val="bullet"/>
      <w:lvlText w:val="•"/>
      <w:lvlJc w:val="left"/>
      <w:pPr>
        <w:ind w:left="2550" w:hanging="360"/>
      </w:pPr>
      <w:rPr>
        <w:rFonts w:hint="default"/>
        <w:lang w:val="en-US" w:eastAsia="en-US" w:bidi="ar-SA"/>
      </w:rPr>
    </w:lvl>
    <w:lvl w:ilvl="2" w:tplc="8C946B74">
      <w:numFmt w:val="bullet"/>
      <w:lvlText w:val="•"/>
      <w:lvlJc w:val="left"/>
      <w:pPr>
        <w:ind w:left="3321" w:hanging="360"/>
      </w:pPr>
      <w:rPr>
        <w:rFonts w:hint="default"/>
        <w:lang w:val="en-US" w:eastAsia="en-US" w:bidi="ar-SA"/>
      </w:rPr>
    </w:lvl>
    <w:lvl w:ilvl="3" w:tplc="A6A6AEB4">
      <w:numFmt w:val="bullet"/>
      <w:lvlText w:val="•"/>
      <w:lvlJc w:val="left"/>
      <w:pPr>
        <w:ind w:left="4091" w:hanging="360"/>
      </w:pPr>
      <w:rPr>
        <w:rFonts w:hint="default"/>
        <w:lang w:val="en-US" w:eastAsia="en-US" w:bidi="ar-SA"/>
      </w:rPr>
    </w:lvl>
    <w:lvl w:ilvl="4" w:tplc="B06EFF00">
      <w:numFmt w:val="bullet"/>
      <w:lvlText w:val="•"/>
      <w:lvlJc w:val="left"/>
      <w:pPr>
        <w:ind w:left="4862" w:hanging="360"/>
      </w:pPr>
      <w:rPr>
        <w:rFonts w:hint="default"/>
        <w:lang w:val="en-US" w:eastAsia="en-US" w:bidi="ar-SA"/>
      </w:rPr>
    </w:lvl>
    <w:lvl w:ilvl="5" w:tplc="6ADC07C2">
      <w:numFmt w:val="bullet"/>
      <w:lvlText w:val="•"/>
      <w:lvlJc w:val="left"/>
      <w:pPr>
        <w:ind w:left="5633" w:hanging="360"/>
      </w:pPr>
      <w:rPr>
        <w:rFonts w:hint="default"/>
        <w:lang w:val="en-US" w:eastAsia="en-US" w:bidi="ar-SA"/>
      </w:rPr>
    </w:lvl>
    <w:lvl w:ilvl="6" w:tplc="031CAE8A">
      <w:numFmt w:val="bullet"/>
      <w:lvlText w:val="•"/>
      <w:lvlJc w:val="left"/>
      <w:pPr>
        <w:ind w:left="6403" w:hanging="360"/>
      </w:pPr>
      <w:rPr>
        <w:rFonts w:hint="default"/>
        <w:lang w:val="en-US" w:eastAsia="en-US" w:bidi="ar-SA"/>
      </w:rPr>
    </w:lvl>
    <w:lvl w:ilvl="7" w:tplc="77C0829A">
      <w:numFmt w:val="bullet"/>
      <w:lvlText w:val="•"/>
      <w:lvlJc w:val="left"/>
      <w:pPr>
        <w:ind w:left="7174" w:hanging="360"/>
      </w:pPr>
      <w:rPr>
        <w:rFonts w:hint="default"/>
        <w:lang w:val="en-US" w:eastAsia="en-US" w:bidi="ar-SA"/>
      </w:rPr>
    </w:lvl>
    <w:lvl w:ilvl="8" w:tplc="DD62B33A">
      <w:numFmt w:val="bullet"/>
      <w:lvlText w:val="•"/>
      <w:lvlJc w:val="left"/>
      <w:pPr>
        <w:ind w:left="7945" w:hanging="360"/>
      </w:pPr>
      <w:rPr>
        <w:rFonts w:hint="default"/>
        <w:lang w:val="en-US" w:eastAsia="en-US" w:bidi="ar-SA"/>
      </w:rPr>
    </w:lvl>
  </w:abstractNum>
  <w:abstractNum w:abstractNumId="3" w15:restartNumberingAfterBreak="0">
    <w:nsid w:val="5D067256"/>
    <w:multiLevelType w:val="hybridMultilevel"/>
    <w:tmpl w:val="7FD6DC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4C2"/>
    <w:rsid w:val="000002E0"/>
    <w:rsid w:val="000434A1"/>
    <w:rsid w:val="00073789"/>
    <w:rsid w:val="001738A3"/>
    <w:rsid w:val="001C0372"/>
    <w:rsid w:val="00225056"/>
    <w:rsid w:val="003F7F48"/>
    <w:rsid w:val="004470AC"/>
    <w:rsid w:val="00471196"/>
    <w:rsid w:val="00496057"/>
    <w:rsid w:val="004A39AB"/>
    <w:rsid w:val="004B06D4"/>
    <w:rsid w:val="005E5CD0"/>
    <w:rsid w:val="006B7AFD"/>
    <w:rsid w:val="00745521"/>
    <w:rsid w:val="00757896"/>
    <w:rsid w:val="00761632"/>
    <w:rsid w:val="00773E94"/>
    <w:rsid w:val="008437C7"/>
    <w:rsid w:val="00855317"/>
    <w:rsid w:val="008630BE"/>
    <w:rsid w:val="00A83429"/>
    <w:rsid w:val="00AA17B4"/>
    <w:rsid w:val="00AA34C2"/>
    <w:rsid w:val="00B64193"/>
    <w:rsid w:val="00B7436B"/>
    <w:rsid w:val="00BB151A"/>
    <w:rsid w:val="00BB46C0"/>
    <w:rsid w:val="00BC2CD7"/>
    <w:rsid w:val="00BD3AE9"/>
    <w:rsid w:val="00C677D7"/>
    <w:rsid w:val="00D12604"/>
    <w:rsid w:val="00D501ED"/>
    <w:rsid w:val="00D64C27"/>
    <w:rsid w:val="00D81EF3"/>
    <w:rsid w:val="00DA4D5E"/>
    <w:rsid w:val="00DC7C3B"/>
    <w:rsid w:val="00EC65CE"/>
    <w:rsid w:val="00EE6C3D"/>
    <w:rsid w:val="00EF6C03"/>
    <w:rsid w:val="00F12245"/>
    <w:rsid w:val="00F34F5D"/>
    <w:rsid w:val="00F45787"/>
    <w:rsid w:val="00F76C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7F7B5"/>
  <w15:docId w15:val="{EE22D1D3-390D-4A68-A913-E6470C457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196"/>
  </w:style>
  <w:style w:type="paragraph" w:styleId="Heading1">
    <w:name w:val="heading 1"/>
    <w:basedOn w:val="Normal"/>
    <w:link w:val="Heading1Char"/>
    <w:uiPriority w:val="9"/>
    <w:qFormat/>
    <w:rsid w:val="00BB46C0"/>
    <w:pPr>
      <w:widowControl w:val="0"/>
      <w:autoSpaceDE w:val="0"/>
      <w:autoSpaceDN w:val="0"/>
      <w:spacing w:after="0" w:line="240" w:lineRule="auto"/>
      <w:ind w:left="920"/>
      <w:outlineLvl w:val="0"/>
    </w:pPr>
    <w:rPr>
      <w:rFonts w:ascii="Times New Roman" w:eastAsia="Times New Roman" w:hAnsi="Times New Roman" w:cs="Times New Roman"/>
      <w:b/>
      <w:bCs/>
      <w:sz w:val="24"/>
      <w:szCs w:val="24"/>
      <w:lang w:val="en-US"/>
    </w:rPr>
  </w:style>
  <w:style w:type="paragraph" w:styleId="Heading2">
    <w:name w:val="heading 2"/>
    <w:basedOn w:val="Normal"/>
    <w:link w:val="Heading2Char"/>
    <w:uiPriority w:val="9"/>
    <w:unhideWhenUsed/>
    <w:qFormat/>
    <w:rsid w:val="00BB46C0"/>
    <w:pPr>
      <w:widowControl w:val="0"/>
      <w:autoSpaceDE w:val="0"/>
      <w:autoSpaceDN w:val="0"/>
      <w:spacing w:after="0" w:line="240" w:lineRule="auto"/>
      <w:ind w:left="1772"/>
      <w:outlineLvl w:val="1"/>
    </w:pPr>
    <w:rPr>
      <w:rFonts w:ascii="Arial" w:eastAsia="Arial" w:hAnsi="Arial" w:cs="Arial"/>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745521"/>
    <w:pPr>
      <w:ind w:left="720"/>
      <w:contextualSpacing/>
    </w:pPr>
  </w:style>
  <w:style w:type="character" w:styleId="Hyperlink">
    <w:name w:val="Hyperlink"/>
    <w:basedOn w:val="DefaultParagraphFont"/>
    <w:uiPriority w:val="99"/>
    <w:unhideWhenUsed/>
    <w:rsid w:val="001C0372"/>
    <w:rPr>
      <w:color w:val="0563C1" w:themeColor="hyperlink"/>
      <w:u w:val="single"/>
    </w:rPr>
  </w:style>
  <w:style w:type="character" w:customStyle="1" w:styleId="UnresolvedMention1">
    <w:name w:val="Unresolved Mention1"/>
    <w:basedOn w:val="DefaultParagraphFont"/>
    <w:uiPriority w:val="99"/>
    <w:semiHidden/>
    <w:unhideWhenUsed/>
    <w:rsid w:val="001C0372"/>
    <w:rPr>
      <w:color w:val="605E5C"/>
      <w:shd w:val="clear" w:color="auto" w:fill="E1DFDD"/>
    </w:rPr>
  </w:style>
  <w:style w:type="paragraph" w:styleId="Header">
    <w:name w:val="header"/>
    <w:basedOn w:val="Normal"/>
    <w:link w:val="HeaderChar"/>
    <w:uiPriority w:val="99"/>
    <w:semiHidden/>
    <w:unhideWhenUsed/>
    <w:rsid w:val="008437C7"/>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8437C7"/>
  </w:style>
  <w:style w:type="paragraph" w:styleId="Footer">
    <w:name w:val="footer"/>
    <w:basedOn w:val="Normal"/>
    <w:link w:val="FooterChar"/>
    <w:uiPriority w:val="99"/>
    <w:unhideWhenUsed/>
    <w:rsid w:val="008437C7"/>
    <w:pPr>
      <w:tabs>
        <w:tab w:val="center" w:pos="4703"/>
        <w:tab w:val="right" w:pos="9406"/>
      </w:tabs>
      <w:spacing w:after="0" w:line="240" w:lineRule="auto"/>
    </w:pPr>
  </w:style>
  <w:style w:type="character" w:customStyle="1" w:styleId="FooterChar">
    <w:name w:val="Footer Char"/>
    <w:basedOn w:val="DefaultParagraphFont"/>
    <w:link w:val="Footer"/>
    <w:uiPriority w:val="99"/>
    <w:rsid w:val="008437C7"/>
  </w:style>
  <w:style w:type="character" w:customStyle="1" w:styleId="Heading1Char">
    <w:name w:val="Heading 1 Char"/>
    <w:basedOn w:val="DefaultParagraphFont"/>
    <w:link w:val="Heading1"/>
    <w:uiPriority w:val="9"/>
    <w:rsid w:val="00BB46C0"/>
    <w:rPr>
      <w:rFonts w:ascii="Times New Roman" w:eastAsia="Times New Roman" w:hAnsi="Times New Roman" w:cs="Times New Roman"/>
      <w:b/>
      <w:bCs/>
      <w:sz w:val="24"/>
      <w:szCs w:val="24"/>
      <w:lang w:val="en-US"/>
    </w:rPr>
  </w:style>
  <w:style w:type="character" w:customStyle="1" w:styleId="Heading2Char">
    <w:name w:val="Heading 2 Char"/>
    <w:basedOn w:val="DefaultParagraphFont"/>
    <w:link w:val="Heading2"/>
    <w:uiPriority w:val="9"/>
    <w:rsid w:val="00BB46C0"/>
    <w:rPr>
      <w:rFonts w:ascii="Arial" w:eastAsia="Arial" w:hAnsi="Arial" w:cs="Arial"/>
      <w:b/>
      <w:bCs/>
      <w:sz w:val="24"/>
      <w:szCs w:val="24"/>
      <w:lang w:val="en-US"/>
    </w:rPr>
  </w:style>
  <w:style w:type="paragraph" w:styleId="BodyText">
    <w:name w:val="Body Text"/>
    <w:basedOn w:val="Normal"/>
    <w:link w:val="BodyTextChar"/>
    <w:uiPriority w:val="1"/>
    <w:qFormat/>
    <w:rsid w:val="00BB46C0"/>
    <w:pPr>
      <w:widowControl w:val="0"/>
      <w:autoSpaceDE w:val="0"/>
      <w:autoSpaceDN w:val="0"/>
      <w:spacing w:after="0" w:line="240" w:lineRule="auto"/>
    </w:pPr>
    <w:rPr>
      <w:rFonts w:ascii="Arial" w:eastAsia="Arial" w:hAnsi="Arial" w:cs="Arial"/>
      <w:sz w:val="24"/>
      <w:szCs w:val="24"/>
      <w:lang w:val="en-US"/>
    </w:rPr>
  </w:style>
  <w:style w:type="character" w:customStyle="1" w:styleId="BodyTextChar">
    <w:name w:val="Body Text Char"/>
    <w:basedOn w:val="DefaultParagraphFont"/>
    <w:link w:val="BodyText"/>
    <w:uiPriority w:val="1"/>
    <w:rsid w:val="00BB46C0"/>
    <w:rPr>
      <w:rFonts w:ascii="Arial" w:eastAsia="Arial" w:hAnsi="Arial" w:cs="Arial"/>
      <w:sz w:val="24"/>
      <w:szCs w:val="24"/>
      <w:lang w:val="en-US"/>
    </w:rPr>
  </w:style>
  <w:style w:type="paragraph" w:customStyle="1" w:styleId="TableParagraph">
    <w:name w:val="Table Paragraph"/>
    <w:basedOn w:val="Normal"/>
    <w:uiPriority w:val="1"/>
    <w:qFormat/>
    <w:rsid w:val="00BB46C0"/>
    <w:pPr>
      <w:widowControl w:val="0"/>
      <w:autoSpaceDE w:val="0"/>
      <w:autoSpaceDN w:val="0"/>
      <w:spacing w:after="0" w:line="240" w:lineRule="auto"/>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r/ratioanalysis.as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financialaccountancy.org/marginal-costing/assumptions-and-limitations-of-break-even-analysis/" TargetMode="External"/><Relationship Id="rId4" Type="http://schemas.openxmlformats.org/officeDocument/2006/relationships/webSettings" Target="webSettings.xml"/><Relationship Id="rId9" Type="http://schemas.openxmlformats.org/officeDocument/2006/relationships/hyperlink" Target="https://corporatefinanceinstitute.com/resources/knowledge/accounting/managerial-accoun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2117</Words>
  <Characters>12068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Ivan Spasimirov Bogdanov (Student)</cp:lastModifiedBy>
  <cp:revision>2</cp:revision>
  <dcterms:created xsi:type="dcterms:W3CDTF">2021-08-27T14:48:00Z</dcterms:created>
  <dcterms:modified xsi:type="dcterms:W3CDTF">2021-08-27T14:48:00Z</dcterms:modified>
</cp:coreProperties>
</file>