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B6CD0DB" w14:textId="1E5F9988" w:rsidR="009C337F"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8F225F">
              <w:rPr>
                <w:rFonts w:ascii="Times New Roman" w:hAnsi="Times New Roman" w:cs="Times New Roman"/>
                <w:b/>
                <w:color w:val="auto"/>
                <w:sz w:val="48"/>
              </w:rPr>
              <w:t>Samantha Qaissouni</w:t>
            </w:r>
          </w:p>
          <w:p w14:paraId="3A6EAAC7" w14:textId="1848E5A5"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8F225F">
              <w:rPr>
                <w:rFonts w:ascii="Times New Roman" w:hAnsi="Times New Roman" w:cs="Times New Roman"/>
                <w:b/>
                <w:color w:val="auto"/>
                <w:sz w:val="48"/>
              </w:rPr>
              <w:t xml:space="preserve">  </w:t>
            </w:r>
            <w:hyperlink r:id="rId11" w:history="1">
              <w:r w:rsidR="009351FB" w:rsidRPr="00915FDE">
                <w:rPr>
                  <w:rStyle w:val="Hyperlink"/>
                  <w:rFonts w:ascii="Times New Roman" w:hAnsi="Times New Roman" w:cs="Times New Roman"/>
                  <w:b/>
                  <w:sz w:val="48"/>
                </w:rPr>
                <w:t>s.qaissouni@npt.gov.uk</w:t>
              </w:r>
            </w:hyperlink>
          </w:p>
          <w:p w14:paraId="6A5D39D7" w14:textId="23683F5B" w:rsidR="009351FB" w:rsidRDefault="009351FB" w:rsidP="005D3F07">
            <w:pPr>
              <w:overflowPunct/>
              <w:autoSpaceDE/>
              <w:autoSpaceDN/>
              <w:adjustRightInd/>
              <w:ind w:right="-957"/>
              <w:textAlignment w:val="auto"/>
              <w:rPr>
                <w:rFonts w:ascii="Times New Roman" w:hAnsi="Times New Roman" w:cs="Times New Roman"/>
                <w:b/>
                <w:color w:val="auto"/>
                <w:sz w:val="48"/>
              </w:rPr>
            </w:pPr>
            <w:hyperlink r:id="rId12" w:history="1">
              <w:r w:rsidRPr="008A4C95">
                <w:rPr>
                  <w:rStyle w:val="Hyperlink"/>
                  <w:b/>
                  <w:bCs/>
                  <w:sz w:val="40"/>
                  <w:szCs w:val="40"/>
                </w:rPr>
                <w:t>2520976@student.uwtsd.ac.uk</w:t>
              </w:r>
            </w:hyperlink>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2E4B659B" w14:textId="77777777" w:rsidR="009351FB" w:rsidRPr="008A4C95" w:rsidRDefault="009351FB" w:rsidP="009351FB">
            <w:pPr>
              <w:overflowPunct/>
              <w:autoSpaceDE/>
              <w:autoSpaceDN/>
              <w:adjustRightInd/>
              <w:ind w:right="-957"/>
              <w:textAlignment w:val="auto"/>
              <w:rPr>
                <w:rFonts w:ascii="Times New Roman" w:hAnsi="Times New Roman" w:cs="Times New Roman"/>
                <w:b/>
                <w:color w:val="auto"/>
                <w:sz w:val="40"/>
                <w:szCs w:val="40"/>
              </w:rPr>
            </w:pPr>
            <w:r w:rsidRPr="008A4C95">
              <w:rPr>
                <w:b/>
                <w:bCs/>
                <w:sz w:val="40"/>
                <w:szCs w:val="40"/>
              </w:rPr>
              <w:t>2520976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73BD35B8" w14:textId="77777777" w:rsidR="005D6F43" w:rsidRPr="00FC7998" w:rsidRDefault="005D6F43" w:rsidP="005D6F43">
            <w:pPr>
              <w:spacing w:before="100" w:beforeAutospacing="1" w:after="120" w:line="360" w:lineRule="auto"/>
              <w:rPr>
                <w:sz w:val="24"/>
                <w:szCs w:val="24"/>
              </w:rPr>
            </w:pPr>
            <w:r w:rsidRPr="00FC7998">
              <w:rPr>
                <w:sz w:val="24"/>
                <w:szCs w:val="24"/>
              </w:rPr>
              <w:t>In this critically reflective case study, I aim to examine safeguarding practice within adult social services in Wales. I will draw on a complex assessment undertaken jointly with other professionals concerning the safeguarding of an older adult experiencing severe self-neglect and living in extreme conditions. The case concerns an 82-year-old man, referred to as 1 to preserve confidentiality, whose circumstances triggered safeguarding enquiries under the Social Services and Well-being (Wales) Act 2014 (SSWB(W)A). The purpose of this essay is to demonstrate how analysis in assessment informed interventions, how collaborative working shaped safeguarding responses, and how I endeavoured to exercise professional judgement in an increasingly complex situation, in line with Social Care Wales (SCW) Learning Outcomes.</w:t>
            </w:r>
          </w:p>
          <w:p w14:paraId="3CC2D193" w14:textId="77777777" w:rsidR="005D6F43" w:rsidRPr="00FC7998" w:rsidRDefault="005D6F43" w:rsidP="005D6F43">
            <w:pPr>
              <w:spacing w:before="100" w:beforeAutospacing="1" w:after="120" w:line="360" w:lineRule="auto"/>
              <w:rPr>
                <w:sz w:val="24"/>
                <w:szCs w:val="24"/>
              </w:rPr>
            </w:pPr>
            <w:r w:rsidRPr="00FC7998">
              <w:rPr>
                <w:sz w:val="24"/>
                <w:szCs w:val="24"/>
              </w:rPr>
              <w:t xml:space="preserve">The case is located within a South Wales local authority characterised by former industrial communities, areas of multiple deprivation, ageing housing stock and reduced informal support networks. These contextual factors are significant when considering safeguarding, as environmental deprivation, poor housing conditions and social isolation are recognised </w:t>
            </w:r>
            <w:r w:rsidRPr="00FC7998">
              <w:rPr>
                <w:sz w:val="24"/>
                <w:szCs w:val="24"/>
              </w:rPr>
              <w:lastRenderedPageBreak/>
              <w:t>contributors to self-neglect among older adults (Braye, Orr and Preston Shoot, 2015). Practice within Wales is further shaped by devolved social services legislation, distinct safeguarding structures and a strong emphasis on wellbeing and human rights embedded within Welsh law.</w:t>
            </w:r>
          </w:p>
          <w:p w14:paraId="18EEC674" w14:textId="77777777" w:rsidR="005D6F43" w:rsidRPr="00FC7998" w:rsidRDefault="005D6F43" w:rsidP="005D6F43">
            <w:pPr>
              <w:spacing w:before="100" w:beforeAutospacing="1" w:after="120" w:line="360" w:lineRule="auto"/>
              <w:rPr>
                <w:sz w:val="24"/>
                <w:szCs w:val="24"/>
              </w:rPr>
            </w:pPr>
            <w:r w:rsidRPr="00FC7998">
              <w:rPr>
                <w:sz w:val="24"/>
                <w:szCs w:val="24"/>
              </w:rPr>
              <w:t>Although 1 is an English speaker, the Welsh Language (Wales) Measure 2011 and the More Than Just Words framework (Welsh Government, 2022) remain relevant, reminding practitioners of their duty to actively consider language, culture and identity within assessment and intervention. This reinforces the importance of culturally competent and inclusive practice, even where individuals do not directly request Welsh language services.</w:t>
            </w:r>
          </w:p>
          <w:p w14:paraId="1B3FFFA6" w14:textId="77777777" w:rsidR="005D6F43" w:rsidRPr="00FC7998" w:rsidRDefault="005D6F43" w:rsidP="005D6F43">
            <w:pPr>
              <w:spacing w:before="100" w:beforeAutospacing="1" w:after="120" w:line="360" w:lineRule="auto"/>
              <w:rPr>
                <w:sz w:val="24"/>
                <w:szCs w:val="24"/>
              </w:rPr>
            </w:pPr>
            <w:r w:rsidRPr="00FC7998">
              <w:rPr>
                <w:sz w:val="24"/>
                <w:szCs w:val="24"/>
              </w:rPr>
              <w:t>This essay will focus on adult safeguarding practice and reflects work undertaken since commencement of the consolidation programme. I have incorporated critical reflection on power dynamics, ethical tensions and anti-oppressive practice, while situating decision making clearly within the legislative, policy and theoretical context of safeguarding adults in Wales.</w:t>
            </w:r>
          </w:p>
          <w:p w14:paraId="013F3CEE" w14:textId="77777777" w:rsidR="005D6F43" w:rsidRPr="00FC7998" w:rsidRDefault="005D6F43" w:rsidP="005D6F43">
            <w:pPr>
              <w:spacing w:before="100" w:beforeAutospacing="1" w:after="120" w:line="360" w:lineRule="auto"/>
              <w:rPr>
                <w:sz w:val="24"/>
                <w:szCs w:val="24"/>
              </w:rPr>
            </w:pPr>
            <w:r w:rsidRPr="00FC7998">
              <w:rPr>
                <w:sz w:val="24"/>
                <w:szCs w:val="24"/>
              </w:rPr>
              <w:t>1 is an 82-year-old man, a former barber and long-term resident of his local community. He has a forty-year history of obsessive-compulsive disorder (OCD), alongside severe anxiety and entrenched hoarding behaviours. In January 2024, 1 experienced the death of his mother at the age of 102. This loss, combined with the subsequent deaths of his dog and cat, had a profound emotional impact on him. These bereavements significantly exacerbated his mental health difficulties, contributing to increased social withdrawal, deterioration in self-care, heightened anxiety and rigid routines and a lack of insight into the risk he was exposing himself to.</w:t>
            </w:r>
          </w:p>
          <w:p w14:paraId="72111DB8" w14:textId="77777777" w:rsidR="005D6F43" w:rsidRPr="00FC7998" w:rsidRDefault="005D6F43" w:rsidP="005D6F43">
            <w:pPr>
              <w:spacing w:before="100" w:beforeAutospacing="1" w:after="120" w:line="360" w:lineRule="auto"/>
              <w:rPr>
                <w:sz w:val="24"/>
                <w:szCs w:val="24"/>
              </w:rPr>
            </w:pPr>
            <w:r w:rsidRPr="00FC7998">
              <w:rPr>
                <w:sz w:val="24"/>
                <w:szCs w:val="24"/>
              </w:rPr>
              <w:t xml:space="preserve">Research indicates that bereavement in later life can be a critical precipitating factor for self-neglect, particularly where attachments are longstanding and identity is closely tied to people, routines or places (Braye et al., 2015). In 1’s case, the loss of his mother and pets appeared to intensify his emotional dependence on his home, further entrenching resistance to change. </w:t>
            </w:r>
          </w:p>
          <w:p w14:paraId="15AE22F2" w14:textId="77777777" w:rsidR="005D6F43" w:rsidRPr="00FC7998" w:rsidRDefault="005D6F43" w:rsidP="005D6F43">
            <w:pPr>
              <w:spacing w:before="100" w:beforeAutospacing="1" w:after="120" w:line="360" w:lineRule="auto"/>
              <w:rPr>
                <w:sz w:val="24"/>
                <w:szCs w:val="24"/>
              </w:rPr>
            </w:pPr>
            <w:r w:rsidRPr="00FC7998">
              <w:rPr>
                <w:sz w:val="24"/>
                <w:szCs w:val="24"/>
              </w:rPr>
              <w:lastRenderedPageBreak/>
              <w:t>Conversations with his son, 2, also highlighted that 1’s erratic behaviour due to OCD and anxiety caused him to have a difficult childhood which affected 2 so greatly that he would often have to withdraw support to his father as contact would often compound his own mental health issues; this meant that 1 was often very socially isolated without any outside support.</w:t>
            </w:r>
          </w:p>
          <w:p w14:paraId="547F49BF" w14:textId="77777777" w:rsidR="005D6F43" w:rsidRPr="00FC7998" w:rsidRDefault="005D6F43" w:rsidP="005D6F43">
            <w:pPr>
              <w:spacing w:before="100" w:beforeAutospacing="1" w:after="120" w:line="360" w:lineRule="auto"/>
              <w:rPr>
                <w:sz w:val="24"/>
                <w:szCs w:val="24"/>
              </w:rPr>
            </w:pPr>
            <w:r w:rsidRPr="00FC7998">
              <w:rPr>
                <w:sz w:val="24"/>
                <w:szCs w:val="24"/>
              </w:rPr>
              <w:t>1 lives alone in a terraced property on a busy high street (in a property which had been his home and his barbering business) which has been deemed uninhabitable following multiple inspections by Environmental Health. In March and May 2025, the local authority served a Prohibition Order under Sections 20 and 21 of the Housing Act 2004, identifying numerous Category 1 hazards including excess cold, damp and mould, fire risk, electrical hazards, asbestos, lack of sanitation, and risk of structural collapse. These hazards posed not only risks to 1, but also to neighbouring properties, thereby widening the safeguarding lens beyond the individual.</w:t>
            </w:r>
          </w:p>
          <w:p w14:paraId="323D0831" w14:textId="77777777" w:rsidR="005D6F43" w:rsidRPr="00FC7998" w:rsidRDefault="005D6F43" w:rsidP="005D6F43">
            <w:pPr>
              <w:spacing w:before="100" w:beforeAutospacing="1" w:after="120" w:line="360" w:lineRule="auto"/>
              <w:rPr>
                <w:sz w:val="24"/>
                <w:szCs w:val="24"/>
              </w:rPr>
            </w:pPr>
            <w:r w:rsidRPr="00FC7998">
              <w:rPr>
                <w:sz w:val="24"/>
                <w:szCs w:val="24"/>
              </w:rPr>
              <w:t>Despite clear professional advice and enforcement action, 1 repeatedly returned to the property, at times sleeping in his car before re occupying the house. He expressed a consistent and strong emotional attachment, stating that he would “rather die than leave”. This statement carried significant ethical weight in safeguarding decision making, raising questions about autonomy, mental health, risk tolerance and the limits of statutory intervention. Myself and my colleague co-working this case, have wrestled with this issue; highlighting that working with risk and protection can be a very emotive and fraught process, and these moral and ethical dilemmas can be very testing for social workers. We were (and are) aware that any wrong decisions could result in grave consequences. Therefore, it was important to work within safeguarding guidelines and receive input from multi-disciplinary sources and regular safeguarding meetings so that a balance of views and opinions could be considered (Adams, Dominelli and Payne 2009).</w:t>
            </w:r>
          </w:p>
          <w:p w14:paraId="6A70178A" w14:textId="77777777" w:rsidR="005D6F43" w:rsidRPr="00FC7998" w:rsidRDefault="005D6F43" w:rsidP="005D6F43">
            <w:pPr>
              <w:spacing w:before="100" w:beforeAutospacing="1" w:after="120" w:line="360" w:lineRule="auto"/>
              <w:rPr>
                <w:sz w:val="24"/>
                <w:szCs w:val="24"/>
              </w:rPr>
            </w:pPr>
            <w:r w:rsidRPr="00FC7998">
              <w:rPr>
                <w:sz w:val="24"/>
                <w:szCs w:val="24"/>
              </w:rPr>
              <w:t xml:space="preserve">Safeguarding concerns were raised under Section 126 of the SSWB(W)A 2014, which defines self-neglect as a form of abuse or neglect. While 1 was not subject to deliberate harm by others, his self-neglect and living conditions placed him at high risk of serious harm, </w:t>
            </w:r>
            <w:r w:rsidRPr="00FC7998">
              <w:rPr>
                <w:sz w:val="24"/>
                <w:szCs w:val="24"/>
              </w:rPr>
              <w:lastRenderedPageBreak/>
              <w:t>thereby meeting the statutory threshold for adult safeguarding intervention (Welsh Government, 2019a).</w:t>
            </w:r>
          </w:p>
          <w:p w14:paraId="6943FDDE" w14:textId="77777777" w:rsidR="005D6F43" w:rsidRPr="00FC7998" w:rsidRDefault="005D6F43" w:rsidP="005D6F43">
            <w:pPr>
              <w:spacing w:before="100" w:beforeAutospacing="1" w:after="120" w:line="360" w:lineRule="auto"/>
              <w:rPr>
                <w:sz w:val="24"/>
                <w:szCs w:val="24"/>
              </w:rPr>
            </w:pPr>
            <w:r w:rsidRPr="00FC7998">
              <w:rPr>
                <w:sz w:val="24"/>
                <w:szCs w:val="24"/>
              </w:rPr>
              <w:t>A significant feature of this case is the extent to which 1’s mental health difficulties, unresolved grief, financial anxiety and attachment to place, intersect to create escalating safeguarding risks that are not amenable to straightforward solutions. While 1 can articulate the factual circumstances relating to his property and health, his understanding of risk is fragmented and often dominated by obsessions, rigid beliefs and unrealistic expectations about what can be achieved within the current structural condition of the house and his financial situation.</w:t>
            </w:r>
          </w:p>
          <w:p w14:paraId="706F2DB3" w14:textId="77777777" w:rsidR="005D6F43" w:rsidRPr="00FC7998" w:rsidRDefault="005D6F43" w:rsidP="005D6F43">
            <w:pPr>
              <w:spacing w:before="100" w:beforeAutospacing="1" w:after="120" w:line="360" w:lineRule="auto"/>
              <w:rPr>
                <w:sz w:val="24"/>
                <w:szCs w:val="24"/>
              </w:rPr>
            </w:pPr>
            <w:r w:rsidRPr="00FC7998">
              <w:rPr>
                <w:sz w:val="24"/>
                <w:szCs w:val="24"/>
              </w:rPr>
              <w:t>The property itself presents substantial and ongoing risks. It is subject to a Prohibition Order under the Housing Act 2004 and contains multiple Category 1 and 2 hazards, including severe damp, excess cold, structural instability, and previous electrical and fire risks. Despite this, 1 continues to reside in the property in breach of the notice, rationalising his presence as necessary to complete remedial work. This illustrates a pattern in which 1 acknowledges professional advice at a cognitive level but is unable to translate this into sustained protective behaviour. His actions, including pulling down ceilings and contemplating cutting structural beams, have in fact increased the risk of collapse, with potential implications for neighbouring terraced properties and public safety.</w:t>
            </w:r>
          </w:p>
          <w:p w14:paraId="7439161F" w14:textId="77777777" w:rsidR="005D6F43" w:rsidRPr="00FC7998" w:rsidRDefault="005D6F43" w:rsidP="005D6F43">
            <w:pPr>
              <w:spacing w:before="100" w:beforeAutospacing="1" w:after="120" w:line="360" w:lineRule="auto"/>
              <w:rPr>
                <w:sz w:val="24"/>
                <w:szCs w:val="24"/>
              </w:rPr>
            </w:pPr>
            <w:r w:rsidRPr="00FC7998">
              <w:rPr>
                <w:sz w:val="24"/>
                <w:szCs w:val="24"/>
              </w:rPr>
              <w:t>Mental Capacity Act assessments have highlighted this complexity. 1 has consistently been assessed as lacking capacity in relation to possessions and belongings, due to hoarding behaviours and impaired executive functioning, a decision upheld on review. Capacity regarding care and accommodation has fluctuated. While at times 1 has appeared able to understand and repeat information about risks, professionals observed that he was unable to consistently weigh the severity of harm or realistically appraise alternatives to remaining in the property. His firm belief that the property can be made safe through incremental repairs, despite significant professional evidence to the contrary, illustrates impaired insight rather than a reasoned acceptance of risk.</w:t>
            </w:r>
          </w:p>
          <w:p w14:paraId="4D12AB42" w14:textId="77777777" w:rsidR="005D6F43" w:rsidRPr="00FC7998" w:rsidRDefault="005D6F43" w:rsidP="005D6F43">
            <w:pPr>
              <w:spacing w:before="100" w:beforeAutospacing="1" w:after="120" w:line="360" w:lineRule="auto"/>
              <w:rPr>
                <w:sz w:val="24"/>
                <w:szCs w:val="24"/>
              </w:rPr>
            </w:pPr>
            <w:r w:rsidRPr="00FC7998">
              <w:rPr>
                <w:sz w:val="24"/>
                <w:szCs w:val="24"/>
              </w:rPr>
              <w:t>This impaired insight is closely linked to 1’s obsessive</w:t>
            </w:r>
            <w:r w:rsidRPr="00FC7998">
              <w:rPr>
                <w:rFonts w:ascii="Cambria Math" w:hAnsi="Cambria Math" w:cs="Cambria Math"/>
                <w:sz w:val="24"/>
                <w:szCs w:val="24"/>
              </w:rPr>
              <w:t>‑</w:t>
            </w:r>
            <w:r w:rsidRPr="00FC7998">
              <w:rPr>
                <w:sz w:val="24"/>
                <w:szCs w:val="24"/>
              </w:rPr>
              <w:t xml:space="preserve">compulsive disorder and anxiety. His rigid routines dominate daily functioning and act as coping mechanisms for distress rather </w:t>
            </w:r>
            <w:r w:rsidRPr="00FC7998">
              <w:rPr>
                <w:sz w:val="24"/>
                <w:szCs w:val="24"/>
              </w:rPr>
              <w:lastRenderedPageBreak/>
              <w:t>than adaptive strategies. While 1 describes these rituals as keeping him “fit” or helping him manage anxiety, they also contribute to self</w:t>
            </w:r>
            <w:r w:rsidRPr="00FC7998">
              <w:rPr>
                <w:rFonts w:ascii="Cambria Math" w:hAnsi="Cambria Math" w:cs="Cambria Math"/>
                <w:sz w:val="24"/>
                <w:szCs w:val="24"/>
              </w:rPr>
              <w:t>‑</w:t>
            </w:r>
            <w:r w:rsidRPr="00FC7998">
              <w:rPr>
                <w:sz w:val="24"/>
                <w:szCs w:val="24"/>
              </w:rPr>
              <w:t>neglect, exhaustion and an inability to prioritise basic health and safety needs. His reluctance to use heating, refusal to sleep in a clean, dry bed, and avoidance of the shower despite having facilities available highlight how compulsions and avoidance behaviours undermine wellbeing.</w:t>
            </w:r>
          </w:p>
          <w:p w14:paraId="6040D087" w14:textId="77777777" w:rsidR="005D6F43" w:rsidRPr="00FC7998" w:rsidRDefault="005D6F43" w:rsidP="005D6F43">
            <w:pPr>
              <w:spacing w:before="100" w:beforeAutospacing="1" w:after="120" w:line="360" w:lineRule="auto"/>
              <w:rPr>
                <w:sz w:val="24"/>
                <w:szCs w:val="24"/>
              </w:rPr>
            </w:pPr>
            <w:r w:rsidRPr="00FC7998">
              <w:rPr>
                <w:sz w:val="24"/>
                <w:szCs w:val="24"/>
              </w:rPr>
              <w:t>Grief and guilt further compound risk. The deaths of 1’s mother, dog and cat remain central to his emotional life. His guilt about the animals living in poor conditions has resulted in attachment to contaminated belongings and resistance to cleaning, while memories associated with the home intensify his refusal to relocate. This reflects how unresolved grief can reinforce hoarding, environmental neglect and emotional paralysis, particularly in later life.</w:t>
            </w:r>
          </w:p>
          <w:p w14:paraId="318CA4CF" w14:textId="77777777" w:rsidR="005D6F43" w:rsidRPr="00FC7998" w:rsidRDefault="005D6F43" w:rsidP="005D6F43">
            <w:pPr>
              <w:spacing w:before="100" w:beforeAutospacing="1" w:after="120" w:line="360" w:lineRule="auto"/>
              <w:rPr>
                <w:sz w:val="24"/>
                <w:szCs w:val="24"/>
              </w:rPr>
            </w:pPr>
            <w:r w:rsidRPr="00FC7998">
              <w:rPr>
                <w:sz w:val="24"/>
                <w:szCs w:val="24"/>
              </w:rPr>
              <w:t>Financial vulnerability also plays a significant role in 1’s safeguarding profile. Substantial legal debts, accruing interest and misunderstandings about financial arrangements contribute to health</w:t>
            </w:r>
            <w:r w:rsidRPr="00FC7998">
              <w:rPr>
                <w:rFonts w:ascii="Cambria Math" w:hAnsi="Cambria Math" w:cs="Cambria Math"/>
                <w:sz w:val="24"/>
                <w:szCs w:val="24"/>
              </w:rPr>
              <w:t>‑</w:t>
            </w:r>
            <w:r w:rsidRPr="00FC7998">
              <w:rPr>
                <w:sz w:val="24"/>
                <w:szCs w:val="24"/>
              </w:rPr>
              <w:t>related anxiety and rigid thinking. Although 1 has some income and savings, these are directed toward property repairs rather than debt resolution or alternative accommodation. His fear of losing the property appears to drive further self</w:t>
            </w:r>
            <w:r w:rsidRPr="00FC7998">
              <w:rPr>
                <w:rFonts w:ascii="Cambria Math" w:hAnsi="Cambria Math" w:cs="Cambria Math"/>
                <w:sz w:val="24"/>
                <w:szCs w:val="24"/>
              </w:rPr>
              <w:t>‑</w:t>
            </w:r>
            <w:r w:rsidRPr="00FC7998">
              <w:rPr>
                <w:sz w:val="24"/>
                <w:szCs w:val="24"/>
              </w:rPr>
              <w:t>neglect and resistance to change, reinforcing a cycle of anxiety, avoidance and risk.</w:t>
            </w:r>
          </w:p>
          <w:p w14:paraId="7B9B63E6" w14:textId="77777777" w:rsidR="005D6F43" w:rsidRPr="00FC7998" w:rsidRDefault="005D6F43" w:rsidP="005D6F43">
            <w:pPr>
              <w:spacing w:before="100" w:beforeAutospacing="1" w:after="120" w:line="360" w:lineRule="auto"/>
              <w:rPr>
                <w:sz w:val="24"/>
                <w:szCs w:val="24"/>
              </w:rPr>
            </w:pPr>
            <w:r w:rsidRPr="00FC7998">
              <w:rPr>
                <w:sz w:val="24"/>
                <w:szCs w:val="24"/>
              </w:rPr>
              <w:t>From a safeguarding perspective, this case demonstrates cumulative harm rather than isolated abuse. 1 is not only endangered by the physical environment but also by prolonged exposure to cold, damp, isolation, poor self</w:t>
            </w:r>
            <w:r w:rsidRPr="00FC7998">
              <w:rPr>
                <w:rFonts w:ascii="Cambria Math" w:hAnsi="Cambria Math" w:cs="Cambria Math"/>
                <w:sz w:val="24"/>
                <w:szCs w:val="24"/>
              </w:rPr>
              <w:t>‑</w:t>
            </w:r>
            <w:r w:rsidRPr="00FC7998">
              <w:rPr>
                <w:sz w:val="24"/>
                <w:szCs w:val="24"/>
              </w:rPr>
              <w:t>care and untreated grief. His presentation highlights that self</w:t>
            </w:r>
            <w:r w:rsidRPr="00FC7998">
              <w:rPr>
                <w:rFonts w:ascii="Cambria Math" w:hAnsi="Cambria Math" w:cs="Cambria Math"/>
                <w:sz w:val="24"/>
                <w:szCs w:val="24"/>
              </w:rPr>
              <w:t>‑</w:t>
            </w:r>
            <w:r w:rsidRPr="00FC7998">
              <w:rPr>
                <w:sz w:val="24"/>
                <w:szCs w:val="24"/>
              </w:rPr>
              <w:t>neglect is often rooted in emotional and psychological factors rather than wilful refusal of care, and that risk cannot be reduced without addressing the underlying drivers of behaviour.</w:t>
            </w:r>
          </w:p>
          <w:p w14:paraId="1354726E" w14:textId="77777777" w:rsidR="005D6F43" w:rsidRPr="00FC7998" w:rsidRDefault="005D6F43" w:rsidP="005D6F43">
            <w:pPr>
              <w:spacing w:before="100" w:beforeAutospacing="1" w:after="120" w:line="360" w:lineRule="auto"/>
              <w:rPr>
                <w:sz w:val="24"/>
                <w:szCs w:val="24"/>
              </w:rPr>
            </w:pPr>
            <w:r w:rsidRPr="00FC7998">
              <w:rPr>
                <w:sz w:val="24"/>
                <w:szCs w:val="24"/>
              </w:rPr>
              <w:t xml:space="preserve">Professional judgement (from myself and my colleague co-working the case, CPN and Dr. from OPMHT, independent Advocates, the Local Authority Legal department, Safeguarding department and Environmental Health) in this case has therefore focused on managing risk proportionately within the constraints of law, capacity and human rights. While removal from the property has been considered, professionals have recognised that forced intervention could result in significant psychological harm, deterioration in mental health and loss of </w:t>
            </w:r>
            <w:r w:rsidRPr="00FC7998">
              <w:rPr>
                <w:sz w:val="24"/>
                <w:szCs w:val="24"/>
              </w:rPr>
              <w:lastRenderedPageBreak/>
              <w:t>engagement. As such, safeguarding responses have prioritised ongoing multi</w:t>
            </w:r>
            <w:r w:rsidRPr="00FC7998">
              <w:rPr>
                <w:rFonts w:ascii="Cambria Math" w:hAnsi="Cambria Math" w:cs="Cambria Math"/>
                <w:sz w:val="24"/>
                <w:szCs w:val="24"/>
              </w:rPr>
              <w:t>‑</w:t>
            </w:r>
            <w:r w:rsidRPr="00FC7998">
              <w:rPr>
                <w:sz w:val="24"/>
                <w:szCs w:val="24"/>
              </w:rPr>
              <w:t>agency oversight, incremental risk reduction, mental health intervention and repeated review of capacity, rather than immediate coercive action.</w:t>
            </w:r>
          </w:p>
          <w:p w14:paraId="29B6B3D0" w14:textId="77777777" w:rsidR="005D6F43" w:rsidRPr="00FC7998" w:rsidRDefault="005D6F43" w:rsidP="005D6F43">
            <w:pPr>
              <w:spacing w:before="100" w:beforeAutospacing="1" w:after="120" w:line="360" w:lineRule="auto"/>
              <w:rPr>
                <w:sz w:val="24"/>
                <w:szCs w:val="24"/>
              </w:rPr>
            </w:pPr>
            <w:r w:rsidRPr="00FC7998">
              <w:rPr>
                <w:sz w:val="24"/>
                <w:szCs w:val="24"/>
              </w:rPr>
              <w:t>This approach reflects the reality of working with complexity in safeguarding adults, where there is no single solution and where decisions must balance protection, autonomy, proportionality and the individual’s lived experience. Continual reassessment, professional curiosity and collective accountability remain essential as risks continue to escalate and circumstances evolve.</w:t>
            </w:r>
          </w:p>
          <w:p w14:paraId="611D01D6" w14:textId="77777777" w:rsidR="005D6F43" w:rsidRPr="00FC7998" w:rsidRDefault="005D6F43" w:rsidP="005D6F43">
            <w:pPr>
              <w:spacing w:before="100" w:beforeAutospacing="1" w:after="120" w:line="360" w:lineRule="auto"/>
              <w:rPr>
                <w:sz w:val="24"/>
                <w:szCs w:val="24"/>
              </w:rPr>
            </w:pPr>
            <w:r w:rsidRPr="00FC7998">
              <w:rPr>
                <w:sz w:val="24"/>
                <w:szCs w:val="24"/>
              </w:rPr>
              <w:t>I have also had to consider my own biases and the effect that decisions can have on people’s lives, especially when working within timescales, and the far-reaching consequences which could possibly result. It is therefore vital to understand that biases and influences need to be considered and understood in order see their effect on any decision-making processes (Kershall and Pritchard 2007).</w:t>
            </w:r>
          </w:p>
          <w:p w14:paraId="30DC4F53" w14:textId="77777777" w:rsidR="005D6F43" w:rsidRPr="00FC7998" w:rsidRDefault="005D6F43" w:rsidP="005D6F43">
            <w:pPr>
              <w:spacing w:before="100" w:beforeAutospacing="1" w:after="120" w:line="360" w:lineRule="auto"/>
              <w:rPr>
                <w:sz w:val="24"/>
                <w:szCs w:val="24"/>
              </w:rPr>
            </w:pPr>
            <w:r w:rsidRPr="00FC7998">
              <w:rPr>
                <w:sz w:val="24"/>
                <w:szCs w:val="24"/>
              </w:rPr>
              <w:t>Safeguarding practice in this case was fundamentally shaped by the Social Services and Well-being (Wales) Act 2014, which provides a holistic framework for social care and safeguarding across Wales. Part 7 of the Act places a statutory duty on local authorities to make enquiries where an adult is at risk of abuse or neglect and to coordinate proportionate safeguarding responses (SSWB(W)A, 2014).</w:t>
            </w:r>
          </w:p>
          <w:p w14:paraId="0EDC022A" w14:textId="77777777" w:rsidR="005D6F43" w:rsidRPr="00FC7998" w:rsidRDefault="005D6F43" w:rsidP="005D6F43">
            <w:pPr>
              <w:spacing w:before="100" w:beforeAutospacing="1" w:after="120" w:line="360" w:lineRule="auto"/>
              <w:rPr>
                <w:sz w:val="24"/>
                <w:szCs w:val="24"/>
              </w:rPr>
            </w:pPr>
            <w:r w:rsidRPr="00FC7998">
              <w:rPr>
                <w:sz w:val="24"/>
                <w:szCs w:val="24"/>
              </w:rPr>
              <w:t>The Act is underpinned by overarching duties that require practitioners to:</w:t>
            </w:r>
          </w:p>
          <w:p w14:paraId="294BC506" w14:textId="77777777" w:rsidR="005D6F43" w:rsidRPr="00FC7998" w:rsidRDefault="005D6F43" w:rsidP="005D6F43">
            <w:pPr>
              <w:spacing w:before="100" w:beforeAutospacing="1" w:after="120" w:line="360" w:lineRule="auto"/>
              <w:rPr>
                <w:sz w:val="24"/>
                <w:szCs w:val="24"/>
              </w:rPr>
            </w:pPr>
            <w:r w:rsidRPr="00FC7998">
              <w:rPr>
                <w:sz w:val="24"/>
                <w:szCs w:val="24"/>
              </w:rPr>
              <w:t>•</w:t>
            </w:r>
            <w:r w:rsidRPr="00FC7998">
              <w:rPr>
                <w:sz w:val="24"/>
                <w:szCs w:val="24"/>
              </w:rPr>
              <w:tab/>
              <w:t>Promote wellbeing</w:t>
            </w:r>
          </w:p>
          <w:p w14:paraId="5AD240C2" w14:textId="77777777" w:rsidR="005D6F43" w:rsidRPr="00FC7998" w:rsidRDefault="005D6F43" w:rsidP="005D6F43">
            <w:pPr>
              <w:spacing w:before="100" w:beforeAutospacing="1" w:after="120" w:line="360" w:lineRule="auto"/>
              <w:rPr>
                <w:sz w:val="24"/>
                <w:szCs w:val="24"/>
              </w:rPr>
            </w:pPr>
            <w:r w:rsidRPr="00FC7998">
              <w:rPr>
                <w:sz w:val="24"/>
                <w:szCs w:val="24"/>
              </w:rPr>
              <w:t>•</w:t>
            </w:r>
            <w:r w:rsidRPr="00FC7998">
              <w:rPr>
                <w:sz w:val="24"/>
                <w:szCs w:val="24"/>
              </w:rPr>
              <w:tab/>
              <w:t>Respect dignity</w:t>
            </w:r>
          </w:p>
          <w:p w14:paraId="4F0B3A8D" w14:textId="77777777" w:rsidR="005D6F43" w:rsidRPr="00FC7998" w:rsidRDefault="005D6F43" w:rsidP="005D6F43">
            <w:pPr>
              <w:spacing w:before="100" w:beforeAutospacing="1" w:after="120" w:line="360" w:lineRule="auto"/>
              <w:rPr>
                <w:sz w:val="24"/>
                <w:szCs w:val="24"/>
              </w:rPr>
            </w:pPr>
            <w:r w:rsidRPr="00FC7998">
              <w:rPr>
                <w:sz w:val="24"/>
                <w:szCs w:val="24"/>
              </w:rPr>
              <w:t>•</w:t>
            </w:r>
            <w:r w:rsidRPr="00FC7998">
              <w:rPr>
                <w:sz w:val="24"/>
                <w:szCs w:val="24"/>
              </w:rPr>
              <w:tab/>
              <w:t>Encourage participation</w:t>
            </w:r>
          </w:p>
          <w:p w14:paraId="7CD21886" w14:textId="77777777" w:rsidR="005D6F43" w:rsidRPr="00FC7998" w:rsidRDefault="005D6F43" w:rsidP="005D6F43">
            <w:pPr>
              <w:spacing w:before="100" w:beforeAutospacing="1" w:after="120" w:line="360" w:lineRule="auto"/>
              <w:rPr>
                <w:sz w:val="24"/>
                <w:szCs w:val="24"/>
              </w:rPr>
            </w:pPr>
            <w:r w:rsidRPr="00FC7998">
              <w:rPr>
                <w:sz w:val="24"/>
                <w:szCs w:val="24"/>
              </w:rPr>
              <w:t>•</w:t>
            </w:r>
            <w:r w:rsidRPr="00FC7998">
              <w:rPr>
                <w:sz w:val="24"/>
                <w:szCs w:val="24"/>
              </w:rPr>
              <w:tab/>
              <w:t>Recognise adults as best placed to judge their own wellbeing</w:t>
            </w:r>
          </w:p>
          <w:p w14:paraId="2303BCB3" w14:textId="77777777" w:rsidR="005D6F43" w:rsidRPr="00FC7998" w:rsidRDefault="005D6F43" w:rsidP="005D6F43">
            <w:pPr>
              <w:spacing w:before="100" w:beforeAutospacing="1" w:after="120" w:line="360" w:lineRule="auto"/>
              <w:rPr>
                <w:sz w:val="24"/>
                <w:szCs w:val="24"/>
              </w:rPr>
            </w:pPr>
            <w:r w:rsidRPr="00FC7998">
              <w:rPr>
                <w:sz w:val="24"/>
                <w:szCs w:val="24"/>
              </w:rPr>
              <w:t>•</w:t>
            </w:r>
            <w:r w:rsidRPr="00FC7998">
              <w:rPr>
                <w:sz w:val="24"/>
                <w:szCs w:val="24"/>
              </w:rPr>
              <w:tab/>
              <w:t>Adopt the least restrictive approach consistent with protection</w:t>
            </w:r>
          </w:p>
          <w:p w14:paraId="616AE7C8" w14:textId="77777777" w:rsidR="005D6F43" w:rsidRPr="00FC7998" w:rsidRDefault="005D6F43" w:rsidP="005D6F43">
            <w:pPr>
              <w:spacing w:before="100" w:beforeAutospacing="1" w:after="120" w:line="360" w:lineRule="auto"/>
              <w:rPr>
                <w:sz w:val="24"/>
                <w:szCs w:val="24"/>
              </w:rPr>
            </w:pPr>
            <w:r w:rsidRPr="00FC7998">
              <w:rPr>
                <w:sz w:val="24"/>
                <w:szCs w:val="24"/>
              </w:rPr>
              <w:lastRenderedPageBreak/>
              <w:t>These principles were central to decision making throughout 1’s case. Rather than adopting a risk averse or paternalistic stance, safeguarding responses sought to balance protection with respect for 1’s expressed wishes, consistent with Welsh safeguarding guidance (Welsh Government, 2019a).</w:t>
            </w:r>
          </w:p>
          <w:p w14:paraId="5D4ACBCE" w14:textId="77777777" w:rsidR="005D6F43" w:rsidRPr="00FC7998" w:rsidRDefault="005D6F43" w:rsidP="005D6F43">
            <w:pPr>
              <w:spacing w:before="100" w:beforeAutospacing="1" w:after="120" w:line="360" w:lineRule="auto"/>
              <w:rPr>
                <w:sz w:val="24"/>
                <w:szCs w:val="24"/>
              </w:rPr>
            </w:pPr>
            <w:r w:rsidRPr="00FC7998">
              <w:rPr>
                <w:sz w:val="24"/>
                <w:szCs w:val="24"/>
              </w:rPr>
              <w:t>Practice was (and is) guided by:</w:t>
            </w:r>
          </w:p>
          <w:p w14:paraId="19798A1C" w14:textId="77777777" w:rsidR="005D6F43" w:rsidRPr="00FC7998" w:rsidRDefault="005D6F43" w:rsidP="005D6F43">
            <w:pPr>
              <w:spacing w:before="100" w:beforeAutospacing="1" w:after="120" w:line="360" w:lineRule="auto"/>
              <w:rPr>
                <w:sz w:val="24"/>
                <w:szCs w:val="24"/>
              </w:rPr>
            </w:pPr>
            <w:r w:rsidRPr="00FC7998">
              <w:rPr>
                <w:sz w:val="24"/>
                <w:szCs w:val="24"/>
              </w:rPr>
              <w:t>•</w:t>
            </w:r>
            <w:r w:rsidRPr="00FC7998">
              <w:rPr>
                <w:sz w:val="24"/>
                <w:szCs w:val="24"/>
              </w:rPr>
              <w:tab/>
              <w:t>Working Together to Safeguard People (Welsh Government, 2019a)</w:t>
            </w:r>
          </w:p>
          <w:p w14:paraId="66B419B4" w14:textId="77777777" w:rsidR="005D6F43" w:rsidRPr="00FC7998" w:rsidRDefault="005D6F43" w:rsidP="005D6F43">
            <w:pPr>
              <w:spacing w:before="100" w:beforeAutospacing="1" w:after="120" w:line="360" w:lineRule="auto"/>
              <w:rPr>
                <w:sz w:val="24"/>
                <w:szCs w:val="24"/>
              </w:rPr>
            </w:pPr>
            <w:r w:rsidRPr="00FC7998">
              <w:rPr>
                <w:sz w:val="24"/>
                <w:szCs w:val="24"/>
              </w:rPr>
              <w:t>•</w:t>
            </w:r>
            <w:r w:rsidRPr="00FC7998">
              <w:rPr>
                <w:sz w:val="24"/>
                <w:szCs w:val="24"/>
              </w:rPr>
              <w:tab/>
              <w:t>Wales Safeguarding Procedures (Welsh Government, 2019b)</w:t>
            </w:r>
          </w:p>
          <w:p w14:paraId="264AFDD0" w14:textId="77777777" w:rsidR="005D6F43" w:rsidRPr="00FC7998" w:rsidRDefault="005D6F43" w:rsidP="005D6F43">
            <w:pPr>
              <w:spacing w:before="100" w:beforeAutospacing="1" w:after="120" w:line="360" w:lineRule="auto"/>
              <w:rPr>
                <w:sz w:val="24"/>
                <w:szCs w:val="24"/>
              </w:rPr>
            </w:pPr>
            <w:r w:rsidRPr="00FC7998">
              <w:rPr>
                <w:sz w:val="24"/>
                <w:szCs w:val="24"/>
              </w:rPr>
              <w:t>•</w:t>
            </w:r>
            <w:r w:rsidRPr="00FC7998">
              <w:rPr>
                <w:sz w:val="24"/>
                <w:szCs w:val="24"/>
              </w:rPr>
              <w:tab/>
              <w:t>Codes of Practice issued under Parts 2, 7 and 10 of the SSWB(W)A</w:t>
            </w:r>
          </w:p>
          <w:p w14:paraId="25F7CBDD" w14:textId="77777777" w:rsidR="005D6F43" w:rsidRPr="00FC7998" w:rsidRDefault="005D6F43" w:rsidP="005D6F43">
            <w:pPr>
              <w:spacing w:before="100" w:beforeAutospacing="1" w:after="120" w:line="360" w:lineRule="auto"/>
              <w:rPr>
                <w:sz w:val="24"/>
                <w:szCs w:val="24"/>
              </w:rPr>
            </w:pPr>
            <w:r w:rsidRPr="00FC7998">
              <w:rPr>
                <w:sz w:val="24"/>
                <w:szCs w:val="24"/>
              </w:rPr>
              <w:t>The Wales Safeguarding Procedures replaced previous all Wales procedures, reinforcing consistent thresholds, shared responsibility and multi-agency coordination. There have been regular multi agency safeguarding meetings to ensure clarity of roles, share risk assessment and collective accountability and to set out actions for all professionals involved in supporting 1.</w:t>
            </w:r>
          </w:p>
          <w:p w14:paraId="2E5492B6" w14:textId="77777777" w:rsidR="005D6F43" w:rsidRPr="00FC7998" w:rsidRDefault="005D6F43" w:rsidP="005D6F43">
            <w:pPr>
              <w:spacing w:before="100" w:beforeAutospacing="1" w:after="120" w:line="360" w:lineRule="auto"/>
              <w:rPr>
                <w:sz w:val="24"/>
                <w:szCs w:val="24"/>
              </w:rPr>
            </w:pPr>
            <w:r w:rsidRPr="00FC7998">
              <w:rPr>
                <w:sz w:val="24"/>
                <w:szCs w:val="24"/>
              </w:rPr>
              <w:t>Safeguarding decisions were further informed by the Mental Capacity Act 2005 (MCA), which provides the legal basis for assessing capacity and making best interests decisions. Capacity assessments completed with 1 reflected the functional test outlined in the MCA and its Code of Practice, focusing on his ability to understand, retain, weigh and communicate information relevant to specific decisions (MCA, 2005).</w:t>
            </w:r>
          </w:p>
          <w:p w14:paraId="7D8D1725" w14:textId="77777777" w:rsidR="005D6F43" w:rsidRPr="00FC7998" w:rsidRDefault="005D6F43" w:rsidP="005D6F43">
            <w:pPr>
              <w:spacing w:before="100" w:beforeAutospacing="1" w:after="120" w:line="360" w:lineRule="auto"/>
              <w:rPr>
                <w:sz w:val="24"/>
                <w:szCs w:val="24"/>
              </w:rPr>
            </w:pPr>
            <w:r w:rsidRPr="00FC7998">
              <w:rPr>
                <w:sz w:val="24"/>
                <w:szCs w:val="24"/>
              </w:rPr>
              <w:t>The Human Rights Act 1998, incorporating the European Convention on Human Rights, was particularly influential. Article 8 (right to respect for private and family life) was central to considerations around removal from the home, while Articles 2 and 3 framed duties to protect 1 from serious harm. Any interference with these rights required lawful justification, necessity and proportionality (HRA, 1998).</w:t>
            </w:r>
          </w:p>
          <w:p w14:paraId="28BDEE23" w14:textId="77777777" w:rsidR="005D6F43" w:rsidRPr="00FC7998" w:rsidRDefault="005D6F43" w:rsidP="005D6F43">
            <w:pPr>
              <w:spacing w:before="100" w:beforeAutospacing="1" w:after="120" w:line="360" w:lineRule="auto"/>
              <w:rPr>
                <w:sz w:val="24"/>
                <w:szCs w:val="24"/>
              </w:rPr>
            </w:pPr>
            <w:r w:rsidRPr="00FC7998">
              <w:rPr>
                <w:sz w:val="24"/>
                <w:szCs w:val="24"/>
              </w:rPr>
              <w:t xml:space="preserve">Case law, including Royal Borough of Greenwich v CDM [2019], reinforces that safeguarding interventions involving removal from home must demonstrate clear benefit and </w:t>
            </w:r>
            <w:r w:rsidRPr="00FC7998">
              <w:rPr>
                <w:sz w:val="24"/>
                <w:szCs w:val="24"/>
              </w:rPr>
              <w:lastRenderedPageBreak/>
              <w:t>must not default to risk aversion at the expense of autonomy; this was useful when considering 1 in the centre of all the interventions.</w:t>
            </w:r>
          </w:p>
          <w:p w14:paraId="19658CC2" w14:textId="77777777" w:rsidR="005D6F43" w:rsidRPr="00FC7998" w:rsidRDefault="005D6F43" w:rsidP="005D6F43">
            <w:pPr>
              <w:spacing w:before="100" w:beforeAutospacing="1" w:after="120" w:line="360" w:lineRule="auto"/>
              <w:rPr>
                <w:sz w:val="24"/>
                <w:szCs w:val="24"/>
              </w:rPr>
            </w:pPr>
            <w:r w:rsidRPr="00FC7998">
              <w:rPr>
                <w:sz w:val="24"/>
                <w:szCs w:val="24"/>
              </w:rPr>
              <w:t>Internationally, practice aligned with the United Nations Principles for Older Persons (1991), which promote independence, dignity and participation. In Wales, public authorities exercising functions under the SSWB(W)A must have due regard to international human rights principles, embedding them within domestic safeguarding practice (Welsh Government, 2019a).</w:t>
            </w:r>
          </w:p>
          <w:p w14:paraId="67D5B25C" w14:textId="77777777" w:rsidR="005D6F43" w:rsidRPr="00FC7998" w:rsidRDefault="005D6F43" w:rsidP="005D6F43">
            <w:pPr>
              <w:spacing w:before="100" w:beforeAutospacing="1" w:after="120" w:line="360" w:lineRule="auto"/>
              <w:rPr>
                <w:sz w:val="24"/>
                <w:szCs w:val="24"/>
              </w:rPr>
            </w:pPr>
            <w:r w:rsidRPr="00FC7998">
              <w:rPr>
                <w:sz w:val="24"/>
                <w:szCs w:val="24"/>
              </w:rPr>
              <w:t>Assessment in this case is continuous, dynamic and layered, reflecting the complexity of self-neglect safeguarding. Rather than a one-off event, assessment involves ongoing review as circumstances, engagement and risks evolve. This aligns with contemporary safeguarding literature, which recognises that self-neglect rarely follows linear trajectories (Braye et al., 2015).</w:t>
            </w:r>
          </w:p>
          <w:p w14:paraId="0C2862FE" w14:textId="77777777" w:rsidR="005D6F43" w:rsidRPr="00FC7998" w:rsidRDefault="005D6F43" w:rsidP="005D6F43">
            <w:pPr>
              <w:spacing w:before="100" w:beforeAutospacing="1" w:after="120" w:line="360" w:lineRule="auto"/>
              <w:rPr>
                <w:sz w:val="24"/>
                <w:szCs w:val="24"/>
              </w:rPr>
            </w:pPr>
            <w:r w:rsidRPr="00FC7998">
              <w:rPr>
                <w:sz w:val="24"/>
                <w:szCs w:val="24"/>
              </w:rPr>
              <w:t>Information was gathered from multiple sources:</w:t>
            </w:r>
          </w:p>
          <w:p w14:paraId="046A6F83" w14:textId="77777777" w:rsidR="005D6F43" w:rsidRPr="00FC7998" w:rsidRDefault="005D6F43" w:rsidP="005D6F43">
            <w:pPr>
              <w:spacing w:before="100" w:beforeAutospacing="1" w:after="120" w:line="360" w:lineRule="auto"/>
              <w:rPr>
                <w:sz w:val="24"/>
                <w:szCs w:val="24"/>
              </w:rPr>
            </w:pPr>
            <w:r w:rsidRPr="00FC7998">
              <w:rPr>
                <w:sz w:val="24"/>
                <w:szCs w:val="24"/>
              </w:rPr>
              <w:t>•</w:t>
            </w:r>
            <w:r w:rsidRPr="00FC7998">
              <w:rPr>
                <w:sz w:val="24"/>
                <w:szCs w:val="24"/>
              </w:rPr>
              <w:tab/>
              <w:t>Direct observation of 1 and his living environment</w:t>
            </w:r>
          </w:p>
          <w:p w14:paraId="0244A1C7" w14:textId="77777777" w:rsidR="005D6F43" w:rsidRPr="00FC7998" w:rsidRDefault="005D6F43" w:rsidP="005D6F43">
            <w:pPr>
              <w:spacing w:before="100" w:beforeAutospacing="1" w:after="120" w:line="360" w:lineRule="auto"/>
              <w:rPr>
                <w:sz w:val="24"/>
                <w:szCs w:val="24"/>
              </w:rPr>
            </w:pPr>
            <w:r w:rsidRPr="00FC7998">
              <w:rPr>
                <w:sz w:val="24"/>
                <w:szCs w:val="24"/>
              </w:rPr>
              <w:t>•</w:t>
            </w:r>
            <w:r w:rsidRPr="00FC7998">
              <w:rPr>
                <w:sz w:val="24"/>
                <w:szCs w:val="24"/>
              </w:rPr>
              <w:tab/>
              <w:t>Environmental Health reports and site inspections</w:t>
            </w:r>
          </w:p>
          <w:p w14:paraId="1DFEF0B7" w14:textId="77777777" w:rsidR="005D6F43" w:rsidRPr="00FC7998" w:rsidRDefault="005D6F43" w:rsidP="005D6F43">
            <w:pPr>
              <w:spacing w:before="100" w:beforeAutospacing="1" w:after="120" w:line="360" w:lineRule="auto"/>
              <w:rPr>
                <w:sz w:val="24"/>
                <w:szCs w:val="24"/>
              </w:rPr>
            </w:pPr>
            <w:r w:rsidRPr="00FC7998">
              <w:rPr>
                <w:sz w:val="24"/>
                <w:szCs w:val="24"/>
              </w:rPr>
              <w:t>•</w:t>
            </w:r>
            <w:r w:rsidRPr="00FC7998">
              <w:rPr>
                <w:sz w:val="24"/>
                <w:szCs w:val="24"/>
              </w:rPr>
              <w:tab/>
              <w:t>Mental health assessments</w:t>
            </w:r>
          </w:p>
          <w:p w14:paraId="58655068" w14:textId="77777777" w:rsidR="005D6F43" w:rsidRPr="00FC7998" w:rsidRDefault="005D6F43" w:rsidP="005D6F43">
            <w:pPr>
              <w:spacing w:before="100" w:beforeAutospacing="1" w:after="120" w:line="360" w:lineRule="auto"/>
              <w:rPr>
                <w:sz w:val="24"/>
                <w:szCs w:val="24"/>
              </w:rPr>
            </w:pPr>
            <w:r w:rsidRPr="00FC7998">
              <w:rPr>
                <w:sz w:val="24"/>
                <w:szCs w:val="24"/>
              </w:rPr>
              <w:t>•</w:t>
            </w:r>
            <w:r w:rsidRPr="00FC7998">
              <w:rPr>
                <w:sz w:val="24"/>
                <w:szCs w:val="24"/>
              </w:rPr>
              <w:tab/>
              <w:t>Contributions from family members</w:t>
            </w:r>
          </w:p>
          <w:p w14:paraId="41CA91E7" w14:textId="77777777" w:rsidR="005D6F43" w:rsidRPr="00FC7998" w:rsidRDefault="005D6F43" w:rsidP="005D6F43">
            <w:pPr>
              <w:spacing w:before="100" w:beforeAutospacing="1" w:after="120" w:line="360" w:lineRule="auto"/>
              <w:rPr>
                <w:sz w:val="24"/>
                <w:szCs w:val="24"/>
              </w:rPr>
            </w:pPr>
            <w:r w:rsidRPr="00FC7998">
              <w:rPr>
                <w:sz w:val="24"/>
                <w:szCs w:val="24"/>
              </w:rPr>
              <w:t>•</w:t>
            </w:r>
            <w:r w:rsidRPr="00FC7998">
              <w:rPr>
                <w:sz w:val="24"/>
                <w:szCs w:val="24"/>
              </w:rPr>
              <w:tab/>
              <w:t>Records of engagement and non-engagement</w:t>
            </w:r>
          </w:p>
          <w:p w14:paraId="134C28E2" w14:textId="77777777" w:rsidR="005D6F43" w:rsidRPr="00FC7998" w:rsidRDefault="005D6F43" w:rsidP="005D6F43">
            <w:pPr>
              <w:spacing w:before="100" w:beforeAutospacing="1" w:after="120" w:line="360" w:lineRule="auto"/>
              <w:rPr>
                <w:sz w:val="24"/>
                <w:szCs w:val="24"/>
              </w:rPr>
            </w:pPr>
            <w:r w:rsidRPr="00FC7998">
              <w:rPr>
                <w:sz w:val="24"/>
                <w:szCs w:val="24"/>
              </w:rPr>
              <w:t>•</w:t>
            </w:r>
            <w:r w:rsidRPr="00FC7998">
              <w:rPr>
                <w:sz w:val="24"/>
                <w:szCs w:val="24"/>
              </w:rPr>
              <w:tab/>
              <w:t>Multi agency safeguarding discussions</w:t>
            </w:r>
          </w:p>
          <w:p w14:paraId="6BC91108" w14:textId="77777777" w:rsidR="005D6F43" w:rsidRPr="00FC7998" w:rsidRDefault="005D6F43" w:rsidP="005D6F43">
            <w:pPr>
              <w:spacing w:before="100" w:beforeAutospacing="1" w:after="120" w:line="360" w:lineRule="auto"/>
              <w:rPr>
                <w:sz w:val="24"/>
                <w:szCs w:val="24"/>
              </w:rPr>
            </w:pPr>
            <w:r w:rsidRPr="00FC7998">
              <w:rPr>
                <w:sz w:val="24"/>
                <w:szCs w:val="24"/>
              </w:rPr>
              <w:t>Critical analysis required separating evidence-based concerns from professional opinion and exploring whether the information supported or refuted safeguarding thresholds (Welsh Government, 2019b). Particular attention was paid to 1’s wishes, views and feelings, consistent with the citizen centred and outcome focused approach emphasised in Welsh legislation.</w:t>
            </w:r>
          </w:p>
          <w:p w14:paraId="1B9F632F" w14:textId="77777777" w:rsidR="005D6F43" w:rsidRPr="00FC7998" w:rsidRDefault="005D6F43" w:rsidP="005D6F43">
            <w:pPr>
              <w:spacing w:before="100" w:beforeAutospacing="1" w:after="120" w:line="360" w:lineRule="auto"/>
              <w:rPr>
                <w:sz w:val="24"/>
                <w:szCs w:val="24"/>
              </w:rPr>
            </w:pPr>
            <w:r w:rsidRPr="00FC7998">
              <w:rPr>
                <w:sz w:val="24"/>
                <w:szCs w:val="24"/>
              </w:rPr>
              <w:lastRenderedPageBreak/>
              <w:t>Capacity assessments were pivotal in the process. 1 was assessed as lacking capacity regarding possessions and belongings due to hoarding related executive dysfunction, consistent with the MCA. Capacity regarding care and accommodation fluctuated, illustrating the importance of regular reassessment and avoiding static conclusions. This required careful professional judgement and robust recording to evidence defensible practice.</w:t>
            </w:r>
          </w:p>
          <w:p w14:paraId="4CACBE8A" w14:textId="77777777" w:rsidR="005D6F43" w:rsidRPr="00FC7998" w:rsidRDefault="005D6F43" w:rsidP="005D6F43">
            <w:pPr>
              <w:spacing w:before="100" w:beforeAutospacing="1" w:after="120" w:line="360" w:lineRule="auto"/>
              <w:rPr>
                <w:sz w:val="24"/>
                <w:szCs w:val="24"/>
              </w:rPr>
            </w:pPr>
            <w:r w:rsidRPr="00FC7998">
              <w:rPr>
                <w:sz w:val="24"/>
                <w:szCs w:val="24"/>
              </w:rPr>
              <w:t>I was mindful to reflect that Safeguarding inevitably involves power differentials, particularly where the state holds legal authority to intervene. As Adams, Dominelli and Payne (2009) argue, practitioners must remain critically aware of how power is exercised, justified and experienced.</w:t>
            </w:r>
          </w:p>
          <w:p w14:paraId="1A16A461" w14:textId="77777777" w:rsidR="005D6F43" w:rsidRPr="00FC7998" w:rsidRDefault="005D6F43" w:rsidP="005D6F43">
            <w:pPr>
              <w:spacing w:before="100" w:beforeAutospacing="1" w:after="120" w:line="360" w:lineRule="auto"/>
              <w:rPr>
                <w:sz w:val="24"/>
                <w:szCs w:val="24"/>
              </w:rPr>
            </w:pPr>
            <w:r w:rsidRPr="00FC7998">
              <w:rPr>
                <w:sz w:val="24"/>
                <w:szCs w:val="24"/>
              </w:rPr>
              <w:t>To compare, adult safeguarding and children’s safeguarding share the common aim of preventing abuse and neglect, but they differ fundamentally in their legal frameworks, underlying principles and approaches to intervention. Children’s safeguarding is primarily underpinned by a paramountcy principle, whereby the child’s welfare is the overriding consideration, and professionals are expected to act protectively even where this conflicts with parental wishes or the child’s expressed views (Children Act 1989; Welsh Government, 2019a).</w:t>
            </w:r>
          </w:p>
          <w:p w14:paraId="71ACD475" w14:textId="77777777" w:rsidR="005D6F43" w:rsidRPr="00FC7998" w:rsidRDefault="005D6F43" w:rsidP="005D6F43">
            <w:pPr>
              <w:spacing w:before="100" w:beforeAutospacing="1" w:after="120" w:line="360" w:lineRule="auto"/>
              <w:rPr>
                <w:sz w:val="24"/>
                <w:szCs w:val="24"/>
              </w:rPr>
            </w:pPr>
            <w:r w:rsidRPr="00FC7998">
              <w:rPr>
                <w:sz w:val="24"/>
                <w:szCs w:val="24"/>
              </w:rPr>
              <w:t xml:space="preserve"> In contrast, adult safeguarding is grounded in autonomy, wellbeing and rights, recognising adults as the best judges of their own lives unless they lack mental capacity or are subject to coercion or undue influence (Social Services and Well</w:t>
            </w:r>
            <w:r w:rsidRPr="00FC7998">
              <w:rPr>
                <w:rFonts w:ascii="Cambria Math" w:hAnsi="Cambria Math" w:cs="Cambria Math"/>
                <w:sz w:val="24"/>
                <w:szCs w:val="24"/>
              </w:rPr>
              <w:t>‑</w:t>
            </w:r>
            <w:r w:rsidRPr="00FC7998">
              <w:rPr>
                <w:sz w:val="24"/>
                <w:szCs w:val="24"/>
              </w:rPr>
              <w:t>being (Wales) Act 2014). While children are legally presumed to be vulnerable and in need of protection, adults may choose to live with risk, provided they have capacity to do so, requiring practitioners to balance protection with empowerment and least</w:t>
            </w:r>
            <w:r w:rsidRPr="00FC7998">
              <w:rPr>
                <w:rFonts w:ascii="Cambria Math" w:hAnsi="Cambria Math" w:cs="Cambria Math"/>
                <w:sz w:val="24"/>
                <w:szCs w:val="24"/>
              </w:rPr>
              <w:t>‑</w:t>
            </w:r>
            <w:r w:rsidRPr="00FC7998">
              <w:rPr>
                <w:sz w:val="24"/>
                <w:szCs w:val="24"/>
              </w:rPr>
              <w:t>restrictive intervention (Braye, Orr and Preston</w:t>
            </w:r>
            <w:r w:rsidRPr="00FC7998">
              <w:rPr>
                <w:rFonts w:ascii="Cambria Math" w:hAnsi="Cambria Math" w:cs="Cambria Math"/>
                <w:sz w:val="24"/>
                <w:szCs w:val="24"/>
              </w:rPr>
              <w:t>‑</w:t>
            </w:r>
            <w:r w:rsidRPr="00FC7998">
              <w:rPr>
                <w:sz w:val="24"/>
                <w:szCs w:val="24"/>
              </w:rPr>
              <w:t>Shoot, 2015). As a result, adult safeguarding often involves tolerating managed risk and working alongside individuals over time (as in 1’s case), whereas children’s safeguarding places stronger emphasis on statutory protection, early intervention and compulsory measures when harm is identified (Preston</w:t>
            </w:r>
            <w:r w:rsidRPr="00FC7998">
              <w:rPr>
                <w:rFonts w:ascii="Cambria Math" w:hAnsi="Cambria Math" w:cs="Cambria Math"/>
                <w:sz w:val="24"/>
                <w:szCs w:val="24"/>
              </w:rPr>
              <w:t>‑</w:t>
            </w:r>
            <w:r w:rsidRPr="00FC7998">
              <w:rPr>
                <w:sz w:val="24"/>
                <w:szCs w:val="24"/>
              </w:rPr>
              <w:t>Shoot, 2012).</w:t>
            </w:r>
          </w:p>
          <w:p w14:paraId="0E5F87B0" w14:textId="77777777" w:rsidR="005D6F43" w:rsidRPr="00FC7998" w:rsidRDefault="005D6F43" w:rsidP="005D6F43">
            <w:pPr>
              <w:spacing w:before="100" w:beforeAutospacing="1" w:after="120" w:line="360" w:lineRule="auto"/>
              <w:rPr>
                <w:sz w:val="24"/>
                <w:szCs w:val="24"/>
              </w:rPr>
            </w:pPr>
            <w:r w:rsidRPr="00FC7998">
              <w:rPr>
                <w:sz w:val="24"/>
                <w:szCs w:val="24"/>
              </w:rPr>
              <w:t>Tedam’s 4D2P model (2021) provided me with a structured framework for reflective practice:</w:t>
            </w:r>
          </w:p>
          <w:p w14:paraId="01E53618" w14:textId="77777777" w:rsidR="005D6F43" w:rsidRPr="00FC7998" w:rsidRDefault="005D6F43" w:rsidP="005D6F43">
            <w:pPr>
              <w:spacing w:before="100" w:beforeAutospacing="1" w:after="120" w:line="360" w:lineRule="auto"/>
              <w:rPr>
                <w:sz w:val="24"/>
                <w:szCs w:val="24"/>
              </w:rPr>
            </w:pPr>
            <w:r w:rsidRPr="00FC7998">
              <w:rPr>
                <w:sz w:val="24"/>
                <w:szCs w:val="24"/>
              </w:rPr>
              <w:lastRenderedPageBreak/>
              <w:t>•</w:t>
            </w:r>
            <w:r w:rsidRPr="00FC7998">
              <w:rPr>
                <w:sz w:val="24"/>
                <w:szCs w:val="24"/>
              </w:rPr>
              <w:tab/>
              <w:t>Discuss – Creating space for open discussion about fears, risks and loss</w:t>
            </w:r>
          </w:p>
          <w:p w14:paraId="5158F150" w14:textId="77777777" w:rsidR="005D6F43" w:rsidRPr="00FC7998" w:rsidRDefault="005D6F43" w:rsidP="005D6F43">
            <w:pPr>
              <w:spacing w:before="100" w:beforeAutospacing="1" w:after="120" w:line="360" w:lineRule="auto"/>
              <w:rPr>
                <w:sz w:val="24"/>
                <w:szCs w:val="24"/>
              </w:rPr>
            </w:pPr>
            <w:r w:rsidRPr="00FC7998">
              <w:rPr>
                <w:sz w:val="24"/>
                <w:szCs w:val="24"/>
              </w:rPr>
              <w:t>•</w:t>
            </w:r>
            <w:r w:rsidRPr="00FC7998">
              <w:rPr>
                <w:sz w:val="24"/>
                <w:szCs w:val="24"/>
              </w:rPr>
              <w:tab/>
              <w:t>Discover – Exploring how stigma, ageism and mental health discrimination shaped 1’s resistance</w:t>
            </w:r>
          </w:p>
          <w:p w14:paraId="5C2E658D" w14:textId="77777777" w:rsidR="005D6F43" w:rsidRPr="00FC7998" w:rsidRDefault="005D6F43" w:rsidP="005D6F43">
            <w:pPr>
              <w:spacing w:before="100" w:beforeAutospacing="1" w:after="120" w:line="360" w:lineRule="auto"/>
              <w:rPr>
                <w:sz w:val="24"/>
                <w:szCs w:val="24"/>
              </w:rPr>
            </w:pPr>
            <w:r w:rsidRPr="00FC7998">
              <w:rPr>
                <w:sz w:val="24"/>
                <w:szCs w:val="24"/>
              </w:rPr>
              <w:t>•</w:t>
            </w:r>
            <w:r w:rsidRPr="00FC7998">
              <w:rPr>
                <w:sz w:val="24"/>
                <w:szCs w:val="24"/>
              </w:rPr>
              <w:tab/>
              <w:t>Decide – Ensuring decisions were not made solely by professionals</w:t>
            </w:r>
          </w:p>
          <w:p w14:paraId="7AFABABF" w14:textId="77777777" w:rsidR="005D6F43" w:rsidRPr="00FC7998" w:rsidRDefault="005D6F43" w:rsidP="005D6F43">
            <w:pPr>
              <w:spacing w:before="100" w:beforeAutospacing="1" w:after="120" w:line="360" w:lineRule="auto"/>
              <w:rPr>
                <w:sz w:val="24"/>
                <w:szCs w:val="24"/>
              </w:rPr>
            </w:pPr>
            <w:r w:rsidRPr="00FC7998">
              <w:rPr>
                <w:sz w:val="24"/>
                <w:szCs w:val="24"/>
              </w:rPr>
              <w:t>•</w:t>
            </w:r>
            <w:r w:rsidRPr="00FC7998">
              <w:rPr>
                <w:sz w:val="24"/>
                <w:szCs w:val="24"/>
              </w:rPr>
              <w:tab/>
              <w:t>Disrupt – Actively challenging deficit-based narratives</w:t>
            </w:r>
          </w:p>
          <w:p w14:paraId="7FDB1A22" w14:textId="77777777" w:rsidR="005D6F43" w:rsidRPr="00FC7998" w:rsidRDefault="005D6F43" w:rsidP="005D6F43">
            <w:pPr>
              <w:spacing w:before="100" w:beforeAutospacing="1" w:after="120" w:line="360" w:lineRule="auto"/>
              <w:rPr>
                <w:sz w:val="24"/>
                <w:szCs w:val="24"/>
              </w:rPr>
            </w:pPr>
            <w:r w:rsidRPr="00FC7998">
              <w:rPr>
                <w:sz w:val="24"/>
                <w:szCs w:val="24"/>
              </w:rPr>
              <w:t xml:space="preserve">While 1 was not racially minoritised, intersectional oppression was evident through age, mental health, poverty and social isolation as these create interconnected systems of disadvantage or discrimination as well as privilege (Crenshaw 1989). </w:t>
            </w:r>
          </w:p>
          <w:p w14:paraId="13868829" w14:textId="77777777" w:rsidR="005D6F43" w:rsidRPr="00FC7998" w:rsidRDefault="005D6F43" w:rsidP="005D6F43">
            <w:pPr>
              <w:spacing w:before="100" w:beforeAutospacing="1" w:after="120" w:line="360" w:lineRule="auto"/>
              <w:rPr>
                <w:sz w:val="24"/>
                <w:szCs w:val="24"/>
              </w:rPr>
            </w:pPr>
            <w:r w:rsidRPr="00FC7998">
              <w:rPr>
                <w:sz w:val="24"/>
                <w:szCs w:val="24"/>
              </w:rPr>
              <w:t>My reflective practice aligned with the Anti Racist Wales Action Plan (Welsh Government, 2024) supported awareness that anti oppressive practice extends beyond race and applies whenever power imbalances exist.</w:t>
            </w:r>
          </w:p>
          <w:p w14:paraId="2B223F79" w14:textId="77777777" w:rsidR="005D6F43" w:rsidRPr="00FC7998" w:rsidRDefault="005D6F43" w:rsidP="005D6F43">
            <w:pPr>
              <w:spacing w:before="100" w:beforeAutospacing="1" w:after="120" w:line="360" w:lineRule="auto"/>
              <w:rPr>
                <w:sz w:val="24"/>
                <w:szCs w:val="24"/>
              </w:rPr>
            </w:pPr>
            <w:r w:rsidRPr="00FC7998">
              <w:rPr>
                <w:sz w:val="24"/>
                <w:szCs w:val="24"/>
              </w:rPr>
              <w:t>Safeguarding practice in 1’s case depended on coordinated multi agency working involving adult social care, Environmental Health, mental health services, advocacy, legal services and housing providers. Effective collaboration reduced siloed working and enabled shared ownership of risk (Welsh Government, 2019b).</w:t>
            </w:r>
          </w:p>
          <w:p w14:paraId="5BE9CFBC" w14:textId="77777777" w:rsidR="005D6F43" w:rsidRPr="00FC7998" w:rsidRDefault="005D6F43" w:rsidP="005D6F43">
            <w:pPr>
              <w:spacing w:before="100" w:beforeAutospacing="1" w:after="120" w:line="360" w:lineRule="auto"/>
              <w:rPr>
                <w:sz w:val="24"/>
                <w:szCs w:val="24"/>
              </w:rPr>
            </w:pPr>
            <w:r w:rsidRPr="00FC7998">
              <w:rPr>
                <w:sz w:val="24"/>
                <w:szCs w:val="24"/>
              </w:rPr>
              <w:t>However, tensions were unavoidable. Environmental Health’s enforcement role conflicted at times with social care’s emphasis on choice and wellbeing. Family members held differing views about acceptable risk, creating additional complexity.</w:t>
            </w:r>
          </w:p>
          <w:p w14:paraId="33D343C7" w14:textId="77777777" w:rsidR="005D6F43" w:rsidRPr="00FC7998" w:rsidRDefault="005D6F43" w:rsidP="005D6F43">
            <w:pPr>
              <w:spacing w:before="100" w:beforeAutospacing="1" w:after="120" w:line="360" w:lineRule="auto"/>
              <w:rPr>
                <w:sz w:val="24"/>
                <w:szCs w:val="24"/>
              </w:rPr>
            </w:pPr>
            <w:r w:rsidRPr="00FC7998">
              <w:rPr>
                <w:sz w:val="24"/>
                <w:szCs w:val="24"/>
              </w:rPr>
              <w:t>These tensions reflect core safeguarding dilemmas:</w:t>
            </w:r>
          </w:p>
          <w:p w14:paraId="4ADBF306" w14:textId="77777777" w:rsidR="005D6F43" w:rsidRPr="00FC7998" w:rsidRDefault="005D6F43" w:rsidP="005D6F43">
            <w:pPr>
              <w:spacing w:before="100" w:beforeAutospacing="1" w:after="120" w:line="360" w:lineRule="auto"/>
              <w:rPr>
                <w:sz w:val="24"/>
                <w:szCs w:val="24"/>
              </w:rPr>
            </w:pPr>
            <w:r w:rsidRPr="00FC7998">
              <w:rPr>
                <w:sz w:val="24"/>
                <w:szCs w:val="24"/>
              </w:rPr>
              <w:t>•</w:t>
            </w:r>
            <w:r w:rsidRPr="00FC7998">
              <w:rPr>
                <w:sz w:val="24"/>
                <w:szCs w:val="24"/>
              </w:rPr>
              <w:tab/>
              <w:t>Protection versus empowerment</w:t>
            </w:r>
          </w:p>
          <w:p w14:paraId="7306FCD3" w14:textId="77777777" w:rsidR="005D6F43" w:rsidRPr="00FC7998" w:rsidRDefault="005D6F43" w:rsidP="005D6F43">
            <w:pPr>
              <w:spacing w:before="100" w:beforeAutospacing="1" w:after="120" w:line="360" w:lineRule="auto"/>
              <w:rPr>
                <w:sz w:val="24"/>
                <w:szCs w:val="24"/>
              </w:rPr>
            </w:pPr>
            <w:r w:rsidRPr="00FC7998">
              <w:rPr>
                <w:sz w:val="24"/>
                <w:szCs w:val="24"/>
              </w:rPr>
              <w:t>•</w:t>
            </w:r>
            <w:r w:rsidRPr="00FC7998">
              <w:rPr>
                <w:sz w:val="24"/>
                <w:szCs w:val="24"/>
              </w:rPr>
              <w:tab/>
              <w:t>Authority versus partnership</w:t>
            </w:r>
          </w:p>
          <w:p w14:paraId="6E1E2E13" w14:textId="77777777" w:rsidR="005D6F43" w:rsidRPr="00FC7998" w:rsidRDefault="005D6F43" w:rsidP="005D6F43">
            <w:pPr>
              <w:spacing w:before="100" w:beforeAutospacing="1" w:after="120" w:line="360" w:lineRule="auto"/>
              <w:rPr>
                <w:sz w:val="24"/>
                <w:szCs w:val="24"/>
              </w:rPr>
            </w:pPr>
            <w:r w:rsidRPr="00FC7998">
              <w:rPr>
                <w:sz w:val="24"/>
                <w:szCs w:val="24"/>
              </w:rPr>
              <w:t>•</w:t>
            </w:r>
            <w:r w:rsidRPr="00FC7998">
              <w:rPr>
                <w:sz w:val="24"/>
                <w:szCs w:val="24"/>
              </w:rPr>
              <w:tab/>
              <w:t>Legal compliance versus ethical practice (Kershall and Pritchard, 2007)</w:t>
            </w:r>
          </w:p>
          <w:p w14:paraId="16DA7FD2" w14:textId="77777777" w:rsidR="005D6F43" w:rsidRPr="00FC7998" w:rsidRDefault="005D6F43" w:rsidP="005D6F43">
            <w:pPr>
              <w:spacing w:before="100" w:beforeAutospacing="1" w:after="120" w:line="360" w:lineRule="auto"/>
              <w:rPr>
                <w:sz w:val="24"/>
                <w:szCs w:val="24"/>
              </w:rPr>
            </w:pPr>
            <w:r w:rsidRPr="00FC7998">
              <w:rPr>
                <w:sz w:val="24"/>
                <w:szCs w:val="24"/>
              </w:rPr>
              <w:lastRenderedPageBreak/>
              <w:t>Professional curiosity was essential in maintaining effective collaboration. Regular safeguarding meetings were held, and respectful challenge and advocacy input supported ethical, transparent decision making.</w:t>
            </w:r>
          </w:p>
          <w:p w14:paraId="57666AF0" w14:textId="77777777" w:rsidR="005D6F43" w:rsidRPr="00FC7998" w:rsidRDefault="005D6F43" w:rsidP="005D6F43">
            <w:pPr>
              <w:spacing w:before="100" w:beforeAutospacing="1" w:after="120" w:line="360" w:lineRule="auto"/>
              <w:rPr>
                <w:sz w:val="24"/>
                <w:szCs w:val="24"/>
              </w:rPr>
            </w:pPr>
            <w:r w:rsidRPr="00FC7998">
              <w:rPr>
                <w:sz w:val="24"/>
                <w:szCs w:val="24"/>
              </w:rPr>
              <w:t>This approach, grounded in Rogers’ (1957) work, prioritised empathy, genuineness and respect. It supported sustained engagement, particularly when coercive approaches risked disengagement. Its limitation, however, lies in situations where risk remains high despite engagement, requiring careful balancing with safeguarding duties.</w:t>
            </w:r>
          </w:p>
          <w:p w14:paraId="0F215640" w14:textId="77777777" w:rsidR="005D6F43" w:rsidRPr="00FC7998" w:rsidRDefault="005D6F43" w:rsidP="005D6F43">
            <w:pPr>
              <w:spacing w:before="100" w:beforeAutospacing="1" w:after="120" w:line="360" w:lineRule="auto"/>
              <w:rPr>
                <w:sz w:val="24"/>
                <w:szCs w:val="24"/>
              </w:rPr>
            </w:pPr>
            <w:r w:rsidRPr="00FC7998">
              <w:rPr>
                <w:sz w:val="24"/>
                <w:szCs w:val="24"/>
              </w:rPr>
              <w:t>Attachment theory provided insight into 1’s resistance to relocation by recognising the home as a symbolic attachment following bereavement, Bowlby and Parkes (1970) describe that individuals have an innate need to form close emotional bonds and that disruption to the these causes a state of profound grief and often great anxiety and distress. This theoretical lens prevented oversimplification of behaviour as “refusal” and informed trauma aware decision making.</w:t>
            </w:r>
          </w:p>
          <w:p w14:paraId="0CF69FA8" w14:textId="77777777" w:rsidR="005D6F43" w:rsidRPr="00FC7998" w:rsidRDefault="005D6F43" w:rsidP="005D6F43">
            <w:pPr>
              <w:spacing w:before="100" w:beforeAutospacing="1" w:after="120" w:line="360" w:lineRule="auto"/>
              <w:rPr>
                <w:sz w:val="24"/>
                <w:szCs w:val="24"/>
              </w:rPr>
            </w:pPr>
            <w:r w:rsidRPr="00FC7998">
              <w:rPr>
                <w:sz w:val="24"/>
                <w:szCs w:val="24"/>
              </w:rPr>
              <w:t>Systems theory highlighted the fragility of progress when informal support reduced. It emphasised that safeguarding outcomes are often shaped by interconnected systems rather than individual behaviour alone (Watson and West, 2006).</w:t>
            </w:r>
          </w:p>
          <w:p w14:paraId="6C57B1AB" w14:textId="77777777" w:rsidR="005D6F43" w:rsidRPr="00FC7998" w:rsidRDefault="005D6F43" w:rsidP="005D6F43">
            <w:pPr>
              <w:spacing w:before="100" w:beforeAutospacing="1" w:after="120" w:line="360" w:lineRule="auto"/>
              <w:rPr>
                <w:sz w:val="24"/>
                <w:szCs w:val="24"/>
              </w:rPr>
            </w:pPr>
            <w:r w:rsidRPr="00FC7998">
              <w:rPr>
                <w:sz w:val="24"/>
                <w:szCs w:val="24"/>
              </w:rPr>
              <w:t>Another valuable theoretical lens in understanding 1’s circumstances is the strengths</w:t>
            </w:r>
            <w:r w:rsidRPr="00FC7998">
              <w:rPr>
                <w:rFonts w:ascii="Cambria Math" w:hAnsi="Cambria Math" w:cs="Cambria Math"/>
                <w:sz w:val="24"/>
                <w:szCs w:val="24"/>
              </w:rPr>
              <w:t>‑</w:t>
            </w:r>
            <w:r w:rsidRPr="00FC7998">
              <w:rPr>
                <w:sz w:val="24"/>
                <w:szCs w:val="24"/>
              </w:rPr>
              <w:t>based approach, which seeks to recognise individuals’ resilience, capabilities and lived experiences alongside their vulnerabilities (Saleebey, 2013). In cases of severe self</w:t>
            </w:r>
            <w:r w:rsidRPr="00FC7998">
              <w:rPr>
                <w:rFonts w:ascii="Cambria Math" w:hAnsi="Cambria Math" w:cs="Cambria Math"/>
                <w:sz w:val="24"/>
                <w:szCs w:val="24"/>
              </w:rPr>
              <w:t>‑</w:t>
            </w:r>
            <w:r w:rsidRPr="00FC7998">
              <w:rPr>
                <w:sz w:val="24"/>
                <w:szCs w:val="24"/>
              </w:rPr>
              <w:t>neglect, there is a risk that practice becomes dominated by deficit</w:t>
            </w:r>
            <w:r w:rsidRPr="00FC7998">
              <w:rPr>
                <w:rFonts w:ascii="Cambria Math" w:hAnsi="Cambria Math" w:cs="Cambria Math"/>
                <w:sz w:val="24"/>
                <w:szCs w:val="24"/>
              </w:rPr>
              <w:t>‑</w:t>
            </w:r>
            <w:r w:rsidRPr="00FC7998">
              <w:rPr>
                <w:sz w:val="24"/>
                <w:szCs w:val="24"/>
              </w:rPr>
              <w:t>focused narratives that frame individuals as resistant, non</w:t>
            </w:r>
            <w:r w:rsidRPr="00FC7998">
              <w:rPr>
                <w:rFonts w:ascii="Cambria Math" w:hAnsi="Cambria Math" w:cs="Cambria Math"/>
                <w:sz w:val="24"/>
                <w:szCs w:val="24"/>
              </w:rPr>
              <w:t>‑</w:t>
            </w:r>
            <w:r w:rsidRPr="00FC7998">
              <w:rPr>
                <w:sz w:val="24"/>
                <w:szCs w:val="24"/>
              </w:rPr>
              <w:t>compliant or incapable, potentially undermining engagement and trust (Braye, Preston</w:t>
            </w:r>
            <w:r w:rsidRPr="00FC7998">
              <w:rPr>
                <w:rFonts w:ascii="Cambria Math" w:hAnsi="Cambria Math" w:cs="Cambria Math"/>
                <w:sz w:val="24"/>
                <w:szCs w:val="24"/>
              </w:rPr>
              <w:t>‑</w:t>
            </w:r>
            <w:r w:rsidRPr="00FC7998">
              <w:rPr>
                <w:sz w:val="24"/>
                <w:szCs w:val="24"/>
              </w:rPr>
              <w:t xml:space="preserve">Shoot and Orr, 2015). 1 once said to myself and my co-working colleague ‘I want you to believe in me.’ This was a profound moment for us both. </w:t>
            </w:r>
          </w:p>
          <w:p w14:paraId="7B47CB74" w14:textId="77777777" w:rsidR="005D6F43" w:rsidRPr="00FC7998" w:rsidRDefault="005D6F43" w:rsidP="005D6F43">
            <w:pPr>
              <w:spacing w:before="100" w:beforeAutospacing="1" w:after="120" w:line="360" w:lineRule="auto"/>
              <w:rPr>
                <w:sz w:val="24"/>
                <w:szCs w:val="24"/>
              </w:rPr>
            </w:pPr>
            <w:r w:rsidRPr="00FC7998">
              <w:rPr>
                <w:sz w:val="24"/>
                <w:szCs w:val="24"/>
              </w:rPr>
              <w:t xml:space="preserve"> Applying a strengths</w:t>
            </w:r>
            <w:r w:rsidRPr="00FC7998">
              <w:rPr>
                <w:rFonts w:ascii="Cambria Math" w:hAnsi="Cambria Math" w:cs="Cambria Math"/>
                <w:sz w:val="24"/>
                <w:szCs w:val="24"/>
              </w:rPr>
              <w:t>‑</w:t>
            </w:r>
            <w:r w:rsidRPr="00FC7998">
              <w:rPr>
                <w:sz w:val="24"/>
                <w:szCs w:val="24"/>
              </w:rPr>
              <w:t>based perspective in 1’s case enabled us professionals to look beyond the immediate safeguarding risks and acknowledge his enduring sense of identity as a long</w:t>
            </w:r>
            <w:r w:rsidRPr="00FC7998">
              <w:rPr>
                <w:rFonts w:ascii="Cambria Math" w:hAnsi="Cambria Math" w:cs="Cambria Math"/>
                <w:sz w:val="24"/>
                <w:szCs w:val="24"/>
              </w:rPr>
              <w:t>‑</w:t>
            </w:r>
            <w:r w:rsidRPr="00FC7998">
              <w:rPr>
                <w:sz w:val="24"/>
                <w:szCs w:val="24"/>
              </w:rPr>
              <w:t>standing community member and former barber, his capacity for sustained relationships, and the coping strategies he had developed over decades of living with obsessive</w:t>
            </w:r>
            <w:r w:rsidRPr="00FC7998">
              <w:rPr>
                <w:rFonts w:ascii="Cambria Math" w:hAnsi="Cambria Math" w:cs="Cambria Math"/>
                <w:sz w:val="24"/>
                <w:szCs w:val="24"/>
              </w:rPr>
              <w:t>‑</w:t>
            </w:r>
            <w:r w:rsidRPr="00FC7998">
              <w:rPr>
                <w:sz w:val="24"/>
                <w:szCs w:val="24"/>
              </w:rPr>
              <w:t xml:space="preserve">compulsive disorder and anxiety. Recognising these strengths helped </w:t>
            </w:r>
            <w:r w:rsidRPr="00FC7998">
              <w:rPr>
                <w:sz w:val="24"/>
                <w:szCs w:val="24"/>
              </w:rPr>
              <w:lastRenderedPageBreak/>
              <w:t xml:space="preserve">contextualise his attachment to the property, which functioned not only as accommodation but also as a source of continuity, identity and emotional security following multiple bereavements. </w:t>
            </w:r>
          </w:p>
          <w:p w14:paraId="0C55155C" w14:textId="77777777" w:rsidR="005D6F43" w:rsidRPr="00FC7998" w:rsidRDefault="005D6F43" w:rsidP="005D6F43">
            <w:pPr>
              <w:spacing w:before="100" w:beforeAutospacing="1" w:after="120" w:line="360" w:lineRule="auto"/>
              <w:rPr>
                <w:sz w:val="24"/>
                <w:szCs w:val="24"/>
              </w:rPr>
            </w:pPr>
            <w:r w:rsidRPr="00FC7998">
              <w:rPr>
                <w:sz w:val="24"/>
                <w:szCs w:val="24"/>
              </w:rPr>
              <w:t>This approach supported relationship</w:t>
            </w:r>
            <w:r w:rsidRPr="00FC7998">
              <w:rPr>
                <w:rFonts w:ascii="Cambria Math" w:hAnsi="Cambria Math" w:cs="Cambria Math"/>
                <w:sz w:val="24"/>
                <w:szCs w:val="24"/>
              </w:rPr>
              <w:t>‑</w:t>
            </w:r>
            <w:r w:rsidRPr="00FC7998">
              <w:rPr>
                <w:sz w:val="24"/>
                <w:szCs w:val="24"/>
              </w:rPr>
              <w:t>based practice by validating 1’s lived experience while gently encouraging engagement with support, rather than positioning safeguarding solely as a process of enforcement. However, the limitations of a purely strengths</w:t>
            </w:r>
            <w:r w:rsidRPr="00FC7998">
              <w:rPr>
                <w:rFonts w:ascii="Cambria Math" w:hAnsi="Cambria Math" w:cs="Cambria Math"/>
                <w:sz w:val="24"/>
                <w:szCs w:val="24"/>
              </w:rPr>
              <w:t>‑</w:t>
            </w:r>
            <w:r w:rsidRPr="00FC7998">
              <w:rPr>
                <w:sz w:val="24"/>
                <w:szCs w:val="24"/>
              </w:rPr>
              <w:t>based approach were also evident, as an emphasis on autonomy and resilience had to be carefully balanced against escalating risk, fluctuating capacity and serious environmental hazards. As Ruch, Turney and Ward (2018) emphasise, ethically sound practice requires social workers to integrate strengths</w:t>
            </w:r>
            <w:r w:rsidRPr="00FC7998">
              <w:rPr>
                <w:rFonts w:ascii="Cambria Math" w:hAnsi="Cambria Math" w:cs="Cambria Math"/>
                <w:sz w:val="24"/>
                <w:szCs w:val="24"/>
              </w:rPr>
              <w:t>‑</w:t>
            </w:r>
            <w:r w:rsidRPr="00FC7998">
              <w:rPr>
                <w:sz w:val="24"/>
                <w:szCs w:val="24"/>
              </w:rPr>
              <w:t>based engagement with critical professional judgement, ensuring that empowerment does not lead to unmanaged harm. In 1’s case, this balance aligned with the principles of the Social Services and Well</w:t>
            </w:r>
            <w:r w:rsidRPr="00FC7998">
              <w:rPr>
                <w:rFonts w:ascii="Cambria Math" w:hAnsi="Cambria Math" w:cs="Cambria Math"/>
                <w:sz w:val="24"/>
                <w:szCs w:val="24"/>
              </w:rPr>
              <w:t>‑</w:t>
            </w:r>
            <w:r w:rsidRPr="00FC7998">
              <w:rPr>
                <w:sz w:val="24"/>
                <w:szCs w:val="24"/>
              </w:rPr>
              <w:t>being (Wales) Act 2014, allowing practitioners to remain respectful and person</w:t>
            </w:r>
            <w:r w:rsidRPr="00FC7998">
              <w:rPr>
                <w:rFonts w:ascii="Cambria Math" w:hAnsi="Cambria Math" w:cs="Cambria Math"/>
                <w:sz w:val="24"/>
                <w:szCs w:val="24"/>
              </w:rPr>
              <w:t>‑</w:t>
            </w:r>
            <w:r w:rsidRPr="00FC7998">
              <w:rPr>
                <w:sz w:val="24"/>
                <w:szCs w:val="24"/>
              </w:rPr>
              <w:t>centred while continuing proportionate safeguarding oversight in response to ongoing risk.</w:t>
            </w:r>
          </w:p>
          <w:p w14:paraId="37211369" w14:textId="77777777" w:rsidR="005D6F43" w:rsidRPr="00FC7998" w:rsidRDefault="005D6F43" w:rsidP="005D6F43">
            <w:pPr>
              <w:spacing w:before="100" w:beforeAutospacing="1" w:after="120" w:line="360" w:lineRule="auto"/>
              <w:rPr>
                <w:sz w:val="24"/>
                <w:szCs w:val="24"/>
              </w:rPr>
            </w:pPr>
            <w:r w:rsidRPr="00FC7998">
              <w:rPr>
                <w:sz w:val="24"/>
                <w:szCs w:val="24"/>
              </w:rPr>
              <w:t>1’s case exemplifies complexity in safeguarding work. Risks were cumulative rather than singular, and interventions could not eliminate risk entirely. As Adams et al. (2009) note, safeguarding decisions are often made under conditions of uncertainty where increased information can generate further ambiguity.</w:t>
            </w:r>
          </w:p>
          <w:p w14:paraId="0AF26456" w14:textId="77777777" w:rsidR="005D6F43" w:rsidRPr="00FC7998" w:rsidRDefault="005D6F43" w:rsidP="005D6F43">
            <w:pPr>
              <w:spacing w:before="100" w:beforeAutospacing="1" w:after="120" w:line="360" w:lineRule="auto"/>
              <w:rPr>
                <w:sz w:val="24"/>
                <w:szCs w:val="24"/>
              </w:rPr>
            </w:pPr>
            <w:r w:rsidRPr="00FC7998">
              <w:rPr>
                <w:sz w:val="24"/>
                <w:szCs w:val="24"/>
              </w:rPr>
              <w:t>A critical professional decision was not to pursue a Court of Protection application at the current stage. While legally possible under the MCA, all professionals involved concluded that forced removal would likely cause severe emotional harm and may breach Articles 3 and 8 ECHR (HRA, 1998). This decision was documented, reviewed and supported through supervision and multi-agency oversight, evidencing professional accountability and came from building a long-term relationship with 1 and to listen to his views and wishes, often above the noise of legislative red-tape and professional concern.</w:t>
            </w:r>
          </w:p>
          <w:p w14:paraId="0FFFEBC5" w14:textId="77777777" w:rsidR="005D6F43" w:rsidRPr="00FC7998" w:rsidRDefault="005D6F43" w:rsidP="005D6F43">
            <w:pPr>
              <w:spacing w:before="100" w:beforeAutospacing="1" w:after="120" w:line="360" w:lineRule="auto"/>
              <w:rPr>
                <w:sz w:val="24"/>
                <w:szCs w:val="24"/>
              </w:rPr>
            </w:pPr>
          </w:p>
          <w:p w14:paraId="6804A4B4" w14:textId="77777777" w:rsidR="005D6F43" w:rsidRPr="00FC7998" w:rsidRDefault="005D6F43" w:rsidP="005D6F43">
            <w:pPr>
              <w:spacing w:before="100" w:beforeAutospacing="1" w:after="120" w:line="360" w:lineRule="auto"/>
              <w:rPr>
                <w:sz w:val="24"/>
                <w:szCs w:val="24"/>
              </w:rPr>
            </w:pPr>
            <w:r w:rsidRPr="00FC7998">
              <w:rPr>
                <w:sz w:val="24"/>
                <w:szCs w:val="24"/>
              </w:rPr>
              <w:t>Distinctive Welsh dimensions included:</w:t>
            </w:r>
          </w:p>
          <w:p w14:paraId="152F79D1" w14:textId="77777777" w:rsidR="005D6F43" w:rsidRPr="00FC7998" w:rsidRDefault="005D6F43" w:rsidP="005D6F43">
            <w:pPr>
              <w:spacing w:before="100" w:beforeAutospacing="1" w:after="120" w:line="360" w:lineRule="auto"/>
              <w:rPr>
                <w:sz w:val="24"/>
                <w:szCs w:val="24"/>
              </w:rPr>
            </w:pPr>
            <w:r w:rsidRPr="00FC7998">
              <w:rPr>
                <w:sz w:val="24"/>
                <w:szCs w:val="24"/>
              </w:rPr>
              <w:lastRenderedPageBreak/>
              <w:t>•</w:t>
            </w:r>
            <w:r w:rsidRPr="00FC7998">
              <w:rPr>
                <w:sz w:val="24"/>
                <w:szCs w:val="24"/>
              </w:rPr>
              <w:tab/>
              <w:t>Devolved safeguarding legislation</w:t>
            </w:r>
          </w:p>
          <w:p w14:paraId="5960F408" w14:textId="77777777" w:rsidR="005D6F43" w:rsidRPr="00FC7998" w:rsidRDefault="005D6F43" w:rsidP="005D6F43">
            <w:pPr>
              <w:spacing w:before="100" w:beforeAutospacing="1" w:after="120" w:line="360" w:lineRule="auto"/>
              <w:rPr>
                <w:sz w:val="24"/>
                <w:szCs w:val="24"/>
              </w:rPr>
            </w:pPr>
            <w:r w:rsidRPr="00FC7998">
              <w:rPr>
                <w:sz w:val="24"/>
                <w:szCs w:val="24"/>
              </w:rPr>
              <w:t>•</w:t>
            </w:r>
            <w:r w:rsidRPr="00FC7998">
              <w:rPr>
                <w:sz w:val="24"/>
                <w:szCs w:val="24"/>
              </w:rPr>
              <w:tab/>
              <w:t>Statutory Safeguarding Boards</w:t>
            </w:r>
          </w:p>
          <w:p w14:paraId="777EBE14" w14:textId="77777777" w:rsidR="005D6F43" w:rsidRPr="00FC7998" w:rsidRDefault="005D6F43" w:rsidP="005D6F43">
            <w:pPr>
              <w:spacing w:before="100" w:beforeAutospacing="1" w:after="120" w:line="360" w:lineRule="auto"/>
              <w:rPr>
                <w:sz w:val="24"/>
                <w:szCs w:val="24"/>
              </w:rPr>
            </w:pPr>
            <w:r w:rsidRPr="00FC7998">
              <w:rPr>
                <w:sz w:val="24"/>
                <w:szCs w:val="24"/>
              </w:rPr>
              <w:t>•</w:t>
            </w:r>
            <w:r w:rsidRPr="00FC7998">
              <w:rPr>
                <w:sz w:val="24"/>
                <w:szCs w:val="24"/>
              </w:rPr>
              <w:tab/>
              <w:t>Integration of UN human rights principles</w:t>
            </w:r>
          </w:p>
          <w:p w14:paraId="544F0A0A" w14:textId="77777777" w:rsidR="005D6F43" w:rsidRPr="00FC7998" w:rsidRDefault="005D6F43" w:rsidP="005D6F43">
            <w:pPr>
              <w:spacing w:before="100" w:beforeAutospacing="1" w:after="120" w:line="360" w:lineRule="auto"/>
              <w:rPr>
                <w:sz w:val="24"/>
                <w:szCs w:val="24"/>
              </w:rPr>
            </w:pPr>
            <w:r w:rsidRPr="00FC7998">
              <w:rPr>
                <w:sz w:val="24"/>
                <w:szCs w:val="24"/>
              </w:rPr>
              <w:t>•</w:t>
            </w:r>
            <w:r w:rsidRPr="00FC7998">
              <w:rPr>
                <w:sz w:val="24"/>
                <w:szCs w:val="24"/>
              </w:rPr>
              <w:tab/>
              <w:t>Emphasis on wellbeing and prevention</w:t>
            </w:r>
          </w:p>
          <w:p w14:paraId="7740F660" w14:textId="77777777" w:rsidR="005D6F43" w:rsidRPr="00FC7998" w:rsidRDefault="005D6F43" w:rsidP="005D6F43">
            <w:pPr>
              <w:spacing w:before="100" w:beforeAutospacing="1" w:after="120" w:line="360" w:lineRule="auto"/>
              <w:rPr>
                <w:sz w:val="24"/>
                <w:szCs w:val="24"/>
              </w:rPr>
            </w:pPr>
            <w:r w:rsidRPr="00FC7998">
              <w:rPr>
                <w:sz w:val="24"/>
                <w:szCs w:val="24"/>
              </w:rPr>
              <w:t>Community factors, including visibility and stigma in smaller towns, influenced engagement and risk, reinforcing the importance of place based and culturally informed safeguarding practice (Welsh Government, 2019a).</w:t>
            </w:r>
          </w:p>
          <w:p w14:paraId="1238AB6D" w14:textId="77777777" w:rsidR="005D6F43" w:rsidRPr="00FC7998" w:rsidRDefault="005D6F43" w:rsidP="005D6F43">
            <w:pPr>
              <w:spacing w:before="100" w:beforeAutospacing="1" w:after="120" w:line="360" w:lineRule="auto"/>
              <w:rPr>
                <w:sz w:val="24"/>
                <w:szCs w:val="24"/>
              </w:rPr>
            </w:pPr>
            <w:r w:rsidRPr="00FC7998">
              <w:rPr>
                <w:sz w:val="24"/>
                <w:szCs w:val="24"/>
              </w:rPr>
              <w:t>This critically reflective case study has demonstrated the complexity of safeguarding practice with an older adult experiencing severe self</w:t>
            </w:r>
            <w:r w:rsidRPr="00FC7998">
              <w:rPr>
                <w:rFonts w:ascii="Cambria Math" w:hAnsi="Cambria Math" w:cs="Cambria Math"/>
                <w:sz w:val="24"/>
                <w:szCs w:val="24"/>
              </w:rPr>
              <w:t>‑</w:t>
            </w:r>
            <w:r w:rsidRPr="00FC7998">
              <w:rPr>
                <w:sz w:val="24"/>
                <w:szCs w:val="24"/>
              </w:rPr>
              <w:t>neglect within adult social services in Wales and has, hopefully, evidenced my developing professional competence against the Social Care Wales consolidation learning outcomes. Central to this piece has been the integration of analysis within assessment, where safeguarding decisions were informed not by single risk factors but through a holistic, evidence</w:t>
            </w:r>
            <w:r w:rsidRPr="00FC7998">
              <w:rPr>
                <w:rFonts w:ascii="Cambria Math" w:hAnsi="Cambria Math" w:cs="Cambria Math"/>
                <w:sz w:val="24"/>
                <w:szCs w:val="24"/>
              </w:rPr>
              <w:t>‑</w:t>
            </w:r>
            <w:r w:rsidRPr="00FC7998">
              <w:rPr>
                <w:sz w:val="24"/>
                <w:szCs w:val="24"/>
              </w:rPr>
              <w:t>based understanding of cumulative harm, fluctuating mental capacity, emotional attachments, environmental risk and systemic influences. Assessment was ongoing, dynamic and reflexive, enabling professional judgement and relationships to evolve as 1’s circumstances, engagement and risk profile changed over time.</w:t>
            </w:r>
          </w:p>
          <w:p w14:paraId="23153377" w14:textId="77777777" w:rsidR="005D6F43" w:rsidRPr="00FC7998" w:rsidRDefault="005D6F43" w:rsidP="005D6F43">
            <w:pPr>
              <w:spacing w:before="100" w:beforeAutospacing="1" w:after="120" w:line="360" w:lineRule="auto"/>
              <w:rPr>
                <w:sz w:val="24"/>
                <w:szCs w:val="24"/>
              </w:rPr>
            </w:pPr>
            <w:r w:rsidRPr="00FC7998">
              <w:rPr>
                <w:sz w:val="24"/>
                <w:szCs w:val="24"/>
              </w:rPr>
              <w:t>The case also highlighted the importance of collaborative working in managing complex safeguarding concerns. Effective multi</w:t>
            </w:r>
            <w:r w:rsidRPr="00FC7998">
              <w:rPr>
                <w:rFonts w:ascii="Cambria Math" w:hAnsi="Cambria Math" w:cs="Cambria Math"/>
                <w:sz w:val="24"/>
                <w:szCs w:val="24"/>
              </w:rPr>
              <w:t>‑</w:t>
            </w:r>
            <w:r w:rsidRPr="00FC7998">
              <w:rPr>
                <w:sz w:val="24"/>
                <w:szCs w:val="24"/>
              </w:rPr>
              <w:t>agency coordination between adult social care, environmental health, mental health services, advocacy, legal services and housing was essential in ensuring proportionate and defensible responses. Collaboration enabled shared ownership of risk, reduced siloed decision</w:t>
            </w:r>
            <w:r w:rsidRPr="00FC7998">
              <w:rPr>
                <w:rFonts w:ascii="Cambria Math" w:hAnsi="Cambria Math" w:cs="Cambria Math"/>
                <w:sz w:val="24"/>
                <w:szCs w:val="24"/>
              </w:rPr>
              <w:t>‑</w:t>
            </w:r>
            <w:r w:rsidRPr="00FC7998">
              <w:rPr>
                <w:sz w:val="24"/>
                <w:szCs w:val="24"/>
              </w:rPr>
              <w:t>making and supported ethical challenge when professional perspectives diverged, particularly where enforcement duties conflicted with wellbeing</w:t>
            </w:r>
            <w:r w:rsidRPr="00FC7998">
              <w:rPr>
                <w:rFonts w:ascii="Cambria Math" w:hAnsi="Cambria Math" w:cs="Cambria Math"/>
                <w:sz w:val="24"/>
                <w:szCs w:val="24"/>
              </w:rPr>
              <w:t>‑</w:t>
            </w:r>
            <w:r w:rsidRPr="00FC7998">
              <w:rPr>
                <w:sz w:val="24"/>
                <w:szCs w:val="24"/>
              </w:rPr>
              <w:t>focused practice. This collective approach aligned with the Wales Safeguarding Procedures and reinforced the shared responsibility embedded within Welsh safeguarding arrangements.</w:t>
            </w:r>
          </w:p>
          <w:p w14:paraId="7F641EEA" w14:textId="77777777" w:rsidR="005D6F43" w:rsidRPr="00FC7998" w:rsidRDefault="005D6F43" w:rsidP="005D6F43">
            <w:pPr>
              <w:spacing w:before="100" w:beforeAutospacing="1" w:after="120" w:line="360" w:lineRule="auto"/>
              <w:rPr>
                <w:sz w:val="24"/>
                <w:szCs w:val="24"/>
              </w:rPr>
            </w:pPr>
            <w:r w:rsidRPr="00FC7998">
              <w:rPr>
                <w:sz w:val="24"/>
                <w:szCs w:val="24"/>
              </w:rPr>
              <w:lastRenderedPageBreak/>
              <w:t>Throughout the case, I was required to exercise professional judgement in increasingly complex situations, particularly when balancing autonomy, protection and human rights. Decisions were made in conditions of uncertainty, where no intervention offered absolute safety without potential harm. The decision not to pursue coercive measures, such as a Court of Protection application, demonstrated the application of proportionate risk management informed by legal literacy, reflective supervision and sustained relationship</w:t>
            </w:r>
            <w:r w:rsidRPr="00FC7998">
              <w:rPr>
                <w:rFonts w:ascii="Cambria Math" w:hAnsi="Cambria Math" w:cs="Cambria Math"/>
                <w:sz w:val="24"/>
                <w:szCs w:val="24"/>
              </w:rPr>
              <w:t>‑</w:t>
            </w:r>
            <w:r w:rsidRPr="00FC7998">
              <w:rPr>
                <w:sz w:val="24"/>
                <w:szCs w:val="24"/>
              </w:rPr>
              <w:t>based practice. This highlighted that defensible safeguarding practice does not equate to the elimination of risk, but rather its lawful, ethical and transparent management.</w:t>
            </w:r>
          </w:p>
          <w:p w14:paraId="3F02EA2C" w14:textId="77777777" w:rsidR="005D6F43" w:rsidRPr="00FC7998" w:rsidRDefault="005D6F43" w:rsidP="005D6F43">
            <w:pPr>
              <w:spacing w:before="100" w:beforeAutospacing="1" w:after="120" w:line="360" w:lineRule="auto"/>
              <w:rPr>
                <w:sz w:val="24"/>
                <w:szCs w:val="24"/>
              </w:rPr>
            </w:pPr>
            <w:r w:rsidRPr="00FC7998">
              <w:rPr>
                <w:sz w:val="24"/>
                <w:szCs w:val="24"/>
              </w:rPr>
              <w:t>The use of social work theories and models was integral to understanding and responding to 1’s behaviour. Attachment theory provided insight into his resistance to leaving his home following multiple bereavements, strengths</w:t>
            </w:r>
            <w:r w:rsidRPr="00FC7998">
              <w:rPr>
                <w:rFonts w:ascii="Cambria Math" w:hAnsi="Cambria Math" w:cs="Cambria Math"/>
                <w:sz w:val="24"/>
                <w:szCs w:val="24"/>
              </w:rPr>
              <w:t>‑</w:t>
            </w:r>
            <w:r w:rsidRPr="00FC7998">
              <w:rPr>
                <w:sz w:val="24"/>
                <w:szCs w:val="24"/>
              </w:rPr>
              <w:t>based practice supported respectful engagement and recognised resilience, systems theory contextualised the role of reduced informal supports, and person</w:t>
            </w:r>
            <w:r w:rsidRPr="00FC7998">
              <w:rPr>
                <w:rFonts w:ascii="Cambria Math" w:hAnsi="Cambria Math" w:cs="Cambria Math"/>
                <w:sz w:val="24"/>
                <w:szCs w:val="24"/>
              </w:rPr>
              <w:t>‑</w:t>
            </w:r>
            <w:r w:rsidRPr="00FC7998">
              <w:rPr>
                <w:sz w:val="24"/>
                <w:szCs w:val="24"/>
              </w:rPr>
              <w:t>centred and relationship</w:t>
            </w:r>
            <w:r w:rsidRPr="00FC7998">
              <w:rPr>
                <w:rFonts w:ascii="Cambria Math" w:hAnsi="Cambria Math" w:cs="Cambria Math"/>
                <w:sz w:val="24"/>
                <w:szCs w:val="24"/>
              </w:rPr>
              <w:t>‑</w:t>
            </w:r>
            <w:r w:rsidRPr="00FC7998">
              <w:rPr>
                <w:sz w:val="24"/>
                <w:szCs w:val="24"/>
              </w:rPr>
              <w:t>based approaches underpinned sustained engagement. These theoretical frameworks prevented oversimplification of behaviour and enabled trauma</w:t>
            </w:r>
            <w:r w:rsidRPr="00FC7998">
              <w:rPr>
                <w:rFonts w:ascii="Cambria Math" w:hAnsi="Cambria Math" w:cs="Cambria Math"/>
                <w:sz w:val="24"/>
                <w:szCs w:val="24"/>
              </w:rPr>
              <w:t>‑</w:t>
            </w:r>
            <w:r w:rsidRPr="00FC7998">
              <w:rPr>
                <w:sz w:val="24"/>
                <w:szCs w:val="24"/>
              </w:rPr>
              <w:t>informed, ethically grounded decision</w:t>
            </w:r>
            <w:r w:rsidRPr="00FC7998">
              <w:rPr>
                <w:rFonts w:ascii="Cambria Math" w:hAnsi="Cambria Math" w:cs="Cambria Math"/>
                <w:sz w:val="24"/>
                <w:szCs w:val="24"/>
              </w:rPr>
              <w:t>‑</w:t>
            </w:r>
            <w:r w:rsidRPr="00FC7998">
              <w:rPr>
                <w:sz w:val="24"/>
                <w:szCs w:val="24"/>
              </w:rPr>
              <w:t>making.</w:t>
            </w:r>
          </w:p>
          <w:p w14:paraId="6DDE7ADD" w14:textId="77777777" w:rsidR="005D6F43" w:rsidRPr="00FC7998" w:rsidRDefault="005D6F43" w:rsidP="005D6F43">
            <w:pPr>
              <w:spacing w:before="100" w:beforeAutospacing="1" w:after="120" w:line="360" w:lineRule="auto"/>
              <w:rPr>
                <w:sz w:val="24"/>
                <w:szCs w:val="24"/>
              </w:rPr>
            </w:pPr>
            <w:r w:rsidRPr="00FC7998">
              <w:rPr>
                <w:sz w:val="24"/>
                <w:szCs w:val="24"/>
              </w:rPr>
              <w:t>This case was distinctly shaped by the specific dimensions of working in Wales, including devolved legislation, statutory safeguarding boards, the Social Services and Well</w:t>
            </w:r>
            <w:r w:rsidRPr="00FC7998">
              <w:rPr>
                <w:rFonts w:ascii="Cambria Math" w:hAnsi="Cambria Math" w:cs="Cambria Math"/>
                <w:sz w:val="24"/>
                <w:szCs w:val="24"/>
              </w:rPr>
              <w:t>‑</w:t>
            </w:r>
            <w:r w:rsidRPr="00FC7998">
              <w:rPr>
                <w:sz w:val="24"/>
                <w:szCs w:val="24"/>
              </w:rPr>
              <w:t>being (Wales) Act 2014, the Wales Safeguarding Procedures, and the strong emphasis on wellbeing, prevention and least</w:t>
            </w:r>
            <w:r w:rsidRPr="00FC7998">
              <w:rPr>
                <w:rFonts w:ascii="Cambria Math" w:hAnsi="Cambria Math" w:cs="Cambria Math"/>
                <w:sz w:val="24"/>
                <w:szCs w:val="24"/>
              </w:rPr>
              <w:t>‑</w:t>
            </w:r>
            <w:r w:rsidRPr="00FC7998">
              <w:rPr>
                <w:sz w:val="24"/>
                <w:szCs w:val="24"/>
              </w:rPr>
              <w:t>restrictive practice. The Welsh policy context explicitly foregrounds participation, dignity and citizen</w:t>
            </w:r>
            <w:r w:rsidRPr="00FC7998">
              <w:rPr>
                <w:rFonts w:ascii="Cambria Math" w:hAnsi="Cambria Math" w:cs="Cambria Math"/>
                <w:sz w:val="24"/>
                <w:szCs w:val="24"/>
              </w:rPr>
              <w:t>‑</w:t>
            </w:r>
            <w:r w:rsidRPr="00FC7998">
              <w:rPr>
                <w:sz w:val="24"/>
                <w:szCs w:val="24"/>
              </w:rPr>
              <w:t>centred outcomes, which informed the approach taken with 1. Consideration was also given to the Welsh Language (Wales) Measure 2011 and the More Than Just Words framework, reinforcing culturally competent practice even where services were delivered predominantly in English.</w:t>
            </w:r>
          </w:p>
          <w:p w14:paraId="0B1C6B2C" w14:textId="77777777" w:rsidR="005D6F43" w:rsidRPr="00FC7998" w:rsidRDefault="005D6F43" w:rsidP="005D6F43">
            <w:pPr>
              <w:spacing w:before="100" w:beforeAutospacing="1" w:after="120" w:line="360" w:lineRule="auto"/>
              <w:rPr>
                <w:sz w:val="24"/>
                <w:szCs w:val="24"/>
              </w:rPr>
            </w:pPr>
            <w:r w:rsidRPr="00FC7998">
              <w:rPr>
                <w:sz w:val="24"/>
                <w:szCs w:val="24"/>
              </w:rPr>
              <w:t xml:space="preserve">An explicit exploration of power differentials and social work dilemmas ran throughout this work. Safeguarding practice inevitably involves imbalances of power, particularly where the state holds authority to intervene in private lives. Reflective engagement with ethical tensions – including autonomy versus protection, empowerment versus enforcement, and professional anxiety versus proportionality – enabled critical awareness of how power was </w:t>
            </w:r>
            <w:r w:rsidRPr="00FC7998">
              <w:rPr>
                <w:sz w:val="24"/>
                <w:szCs w:val="24"/>
              </w:rPr>
              <w:lastRenderedPageBreak/>
              <w:t>exercised and experienced. Anti</w:t>
            </w:r>
            <w:r w:rsidRPr="00FC7998">
              <w:rPr>
                <w:rFonts w:ascii="Cambria Math" w:hAnsi="Cambria Math" w:cs="Cambria Math"/>
                <w:sz w:val="24"/>
                <w:szCs w:val="24"/>
              </w:rPr>
              <w:t>‑</w:t>
            </w:r>
            <w:r w:rsidRPr="00FC7998">
              <w:rPr>
                <w:sz w:val="24"/>
                <w:szCs w:val="24"/>
              </w:rPr>
              <w:t>oppressive frameworks and Tedam’s 4D2P model supported reflexivity and challenged deficit</w:t>
            </w:r>
            <w:r w:rsidRPr="00FC7998">
              <w:rPr>
                <w:rFonts w:ascii="Cambria Math" w:hAnsi="Cambria Math" w:cs="Cambria Math"/>
                <w:sz w:val="24"/>
                <w:szCs w:val="24"/>
              </w:rPr>
              <w:t>‑</w:t>
            </w:r>
            <w:r w:rsidRPr="00FC7998">
              <w:rPr>
                <w:sz w:val="24"/>
                <w:szCs w:val="24"/>
              </w:rPr>
              <w:t>based narratives.</w:t>
            </w:r>
          </w:p>
          <w:p w14:paraId="5C482643" w14:textId="77777777" w:rsidR="005D6F43" w:rsidRPr="00FC7998" w:rsidRDefault="005D6F43" w:rsidP="005D6F43">
            <w:pPr>
              <w:spacing w:before="100" w:beforeAutospacing="1" w:after="120" w:line="360" w:lineRule="auto"/>
              <w:rPr>
                <w:sz w:val="24"/>
                <w:szCs w:val="24"/>
              </w:rPr>
            </w:pPr>
            <w:r w:rsidRPr="00FC7998">
              <w:rPr>
                <w:sz w:val="24"/>
                <w:szCs w:val="24"/>
              </w:rPr>
              <w:t>The case was firmly grounded in current legislation, policy and procedures, including the SSWB(W)A 2014, Mental Capacity Act 2005, Human Rights Act 1998, Housing Act 2004, Wales Safeguarding Procedures and accompanying Codes of Practice. Consideration was also given to data protection and information sharing, ensuring that information was shared lawfully, proportionately and in line with GDPR and the Data Protection Act 2018, balancing confidentiality with safeguarding imperatives. Equalities legislation, including the Equality Act 2010, informed reflective consideration of age, mental health and socio</w:t>
            </w:r>
            <w:r w:rsidRPr="00FC7998">
              <w:rPr>
                <w:rFonts w:ascii="Cambria Math" w:hAnsi="Cambria Math" w:cs="Cambria Math"/>
                <w:sz w:val="24"/>
                <w:szCs w:val="24"/>
              </w:rPr>
              <w:t>‑</w:t>
            </w:r>
            <w:r w:rsidRPr="00FC7998">
              <w:rPr>
                <w:sz w:val="24"/>
                <w:szCs w:val="24"/>
              </w:rPr>
              <w:t>economic disadvantage, ensuring non</w:t>
            </w:r>
            <w:r w:rsidRPr="00FC7998">
              <w:rPr>
                <w:rFonts w:ascii="Cambria Math" w:hAnsi="Cambria Math" w:cs="Cambria Math"/>
                <w:sz w:val="24"/>
                <w:szCs w:val="24"/>
              </w:rPr>
              <w:t>‑</w:t>
            </w:r>
            <w:r w:rsidRPr="00FC7998">
              <w:rPr>
                <w:sz w:val="24"/>
                <w:szCs w:val="24"/>
              </w:rPr>
              <w:t>discriminatory practice. Health and safety at work considerations were integral given the hazardous property environment, protecting both 1 and professionals involved.</w:t>
            </w:r>
          </w:p>
          <w:p w14:paraId="56F0C9C8" w14:textId="77777777" w:rsidR="005D6F43" w:rsidRPr="00FC7998" w:rsidRDefault="005D6F43" w:rsidP="005D6F43">
            <w:pPr>
              <w:spacing w:before="100" w:beforeAutospacing="1" w:after="120" w:line="360" w:lineRule="auto"/>
              <w:rPr>
                <w:sz w:val="24"/>
                <w:szCs w:val="24"/>
              </w:rPr>
            </w:pPr>
            <w:r w:rsidRPr="00FC7998">
              <w:rPr>
                <w:sz w:val="24"/>
                <w:szCs w:val="24"/>
              </w:rPr>
              <w:t>Finally, safeguarding decisions were underpinned by domestic and international law, including the European Convention on Human Rights and the United Nations Principles for Older Persons. Articles 2, 3 and 8 of the ECHR framed proportionality, necessity and justification for intervention, while international principles reinforced dignity, participation and independence.</w:t>
            </w:r>
          </w:p>
          <w:p w14:paraId="6E79D7A5" w14:textId="77777777" w:rsidR="005D6F43" w:rsidRPr="00FC7998" w:rsidRDefault="005D6F43" w:rsidP="005D6F43">
            <w:pPr>
              <w:spacing w:before="100" w:beforeAutospacing="1" w:after="120" w:line="360" w:lineRule="auto"/>
              <w:rPr>
                <w:sz w:val="24"/>
                <w:szCs w:val="24"/>
              </w:rPr>
            </w:pPr>
            <w:r w:rsidRPr="00FC7998">
              <w:rPr>
                <w:sz w:val="24"/>
                <w:szCs w:val="24"/>
              </w:rPr>
              <w:t>Overall, 1’s case demonstrates that effective safeguarding practice with adults experiencing severe self</w:t>
            </w:r>
            <w:r w:rsidRPr="00FC7998">
              <w:rPr>
                <w:rFonts w:ascii="Cambria Math" w:hAnsi="Cambria Math" w:cs="Cambria Math"/>
                <w:sz w:val="24"/>
                <w:szCs w:val="24"/>
              </w:rPr>
              <w:t>‑</w:t>
            </w:r>
            <w:r w:rsidRPr="00FC7998">
              <w:rPr>
                <w:sz w:val="24"/>
                <w:szCs w:val="24"/>
              </w:rPr>
              <w:t>neglect requires skilled analysis, collaborative working, ethical resilience and reflective professionalism. Remaining alongside 1, despite uncertainty, discomfort and unresolved risk, represented practice that was legally sound, human</w:t>
            </w:r>
            <w:r w:rsidRPr="00FC7998">
              <w:rPr>
                <w:rFonts w:ascii="Cambria Math" w:hAnsi="Cambria Math" w:cs="Cambria Math"/>
                <w:sz w:val="24"/>
                <w:szCs w:val="24"/>
              </w:rPr>
              <w:t>‑</w:t>
            </w:r>
            <w:r w:rsidRPr="00FC7998">
              <w:rPr>
                <w:sz w:val="24"/>
                <w:szCs w:val="24"/>
              </w:rPr>
              <w:t>rights</w:t>
            </w:r>
            <w:r w:rsidRPr="00FC7998">
              <w:rPr>
                <w:rFonts w:ascii="Cambria Math" w:hAnsi="Cambria Math" w:cs="Cambria Math"/>
                <w:sz w:val="24"/>
                <w:szCs w:val="24"/>
              </w:rPr>
              <w:t>‑</w:t>
            </w:r>
            <w:r w:rsidRPr="00FC7998">
              <w:rPr>
                <w:sz w:val="24"/>
                <w:szCs w:val="24"/>
              </w:rPr>
              <w:t>based and consistent with core social work values. This work evidences my readiness to progress as an accountable and reflective practitioner within adult social services in Wales.</w:t>
            </w:r>
          </w:p>
          <w:p w14:paraId="5352B48D" w14:textId="77777777" w:rsidR="005D6F43" w:rsidRPr="00FC7998" w:rsidRDefault="005D6F43" w:rsidP="005D6F43">
            <w:pPr>
              <w:spacing w:before="100" w:beforeAutospacing="1" w:after="120" w:line="360" w:lineRule="auto"/>
              <w:rPr>
                <w:sz w:val="24"/>
                <w:szCs w:val="24"/>
              </w:rPr>
            </w:pPr>
            <w:r w:rsidRPr="00FC7998">
              <w:rPr>
                <w:sz w:val="24"/>
                <w:szCs w:val="24"/>
              </w:rPr>
              <w:t>I must also add to conclude, that work with 1 continues, supported by regular multi</w:t>
            </w:r>
            <w:r w:rsidRPr="00FC7998">
              <w:rPr>
                <w:rFonts w:ascii="Cambria Math" w:hAnsi="Cambria Math" w:cs="Cambria Math"/>
                <w:sz w:val="24"/>
                <w:szCs w:val="24"/>
              </w:rPr>
              <w:t>‑</w:t>
            </w:r>
            <w:r w:rsidRPr="00FC7998">
              <w:rPr>
                <w:sz w:val="24"/>
                <w:szCs w:val="24"/>
              </w:rPr>
              <w:t>agency safeguarding meetings, ongoing input from all professionals involved, and a commitment to maintaining 1 at the centre of the safeguarding process in line with person</w:t>
            </w:r>
            <w:r w:rsidRPr="00FC7998">
              <w:rPr>
                <w:rFonts w:ascii="Cambria Math" w:hAnsi="Cambria Math" w:cs="Cambria Math"/>
                <w:sz w:val="24"/>
                <w:szCs w:val="24"/>
              </w:rPr>
              <w:t>‑</w:t>
            </w:r>
            <w:r w:rsidRPr="00FC7998">
              <w:rPr>
                <w:sz w:val="24"/>
                <w:szCs w:val="24"/>
              </w:rPr>
              <w:t>centred, collaborative and proportionate practice.</w:t>
            </w:r>
          </w:p>
          <w:p w14:paraId="26E5565F" w14:textId="77777777" w:rsidR="005D6F43" w:rsidRPr="00033929" w:rsidRDefault="005D6F43" w:rsidP="005D6F43">
            <w:pPr>
              <w:spacing w:before="100" w:beforeAutospacing="1" w:after="120" w:line="360" w:lineRule="auto"/>
              <w:rPr>
                <w:b/>
                <w:bCs/>
                <w:sz w:val="24"/>
                <w:szCs w:val="24"/>
              </w:rPr>
            </w:pPr>
            <w:r w:rsidRPr="00033929">
              <w:rPr>
                <w:b/>
                <w:bCs/>
                <w:sz w:val="24"/>
                <w:szCs w:val="24"/>
              </w:rPr>
              <w:t xml:space="preserve">(Word Count 4092) </w:t>
            </w: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09A33" w14:textId="77777777" w:rsidR="007D1EDA" w:rsidRDefault="007D1EDA">
      <w:r>
        <w:separator/>
      </w:r>
    </w:p>
  </w:endnote>
  <w:endnote w:type="continuationSeparator" w:id="0">
    <w:p w14:paraId="4815DE3B" w14:textId="77777777" w:rsidR="007D1EDA" w:rsidRDefault="007D1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539BD" w14:textId="77777777" w:rsidR="007D1EDA" w:rsidRDefault="007D1EDA">
      <w:r>
        <w:separator/>
      </w:r>
    </w:p>
  </w:footnote>
  <w:footnote w:type="continuationSeparator" w:id="0">
    <w:p w14:paraId="2A5058A6" w14:textId="77777777" w:rsidR="007D1EDA" w:rsidRDefault="007D1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228"/>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BE0"/>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266D"/>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5757B"/>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06A4C"/>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313A"/>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454E"/>
    <w:rsid w:val="00546187"/>
    <w:rsid w:val="00547B11"/>
    <w:rsid w:val="00557D77"/>
    <w:rsid w:val="00562EAA"/>
    <w:rsid w:val="00563B58"/>
    <w:rsid w:val="005640C4"/>
    <w:rsid w:val="0056684C"/>
    <w:rsid w:val="00573878"/>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D6F43"/>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44AD5"/>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1EDA"/>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225F"/>
    <w:rsid w:val="008F32D9"/>
    <w:rsid w:val="00902A65"/>
    <w:rsid w:val="00903932"/>
    <w:rsid w:val="009079BD"/>
    <w:rsid w:val="00912BD9"/>
    <w:rsid w:val="00916FB2"/>
    <w:rsid w:val="00920E5B"/>
    <w:rsid w:val="00926436"/>
    <w:rsid w:val="00926C53"/>
    <w:rsid w:val="0093018C"/>
    <w:rsid w:val="009351FB"/>
    <w:rsid w:val="0094495F"/>
    <w:rsid w:val="009544C0"/>
    <w:rsid w:val="00954FA4"/>
    <w:rsid w:val="00956AE9"/>
    <w:rsid w:val="00964CC6"/>
    <w:rsid w:val="00967BFA"/>
    <w:rsid w:val="0098094E"/>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B1F"/>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1CD0"/>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5754C"/>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48DF"/>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8F22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2520976@student.uwtsd.ac.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qaissouni@npt.gov.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4714</Words>
  <Characters>26873</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Samantha Qaissouni</cp:lastModifiedBy>
  <cp:revision>2</cp:revision>
  <cp:lastPrinted>2020-02-11T19:20:00Z</cp:lastPrinted>
  <dcterms:created xsi:type="dcterms:W3CDTF">2026-06-05T12:37:00Z</dcterms:created>
  <dcterms:modified xsi:type="dcterms:W3CDTF">2026-06-05T12:37:00Z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