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A45DEE" w14:textId="43D1EAD9" w:rsidR="00C6765C" w:rsidRDefault="00C6765C" w:rsidP="006413B6">
      <w:pPr>
        <w:jc w:val="both"/>
        <w:rPr>
          <w:sz w:val="24"/>
          <w:szCs w:val="24"/>
        </w:rPr>
      </w:pPr>
      <w:r>
        <w:rPr>
          <w:sz w:val="24"/>
          <w:szCs w:val="24"/>
        </w:rPr>
        <w:t xml:space="preserve">A Review of: </w:t>
      </w:r>
      <w:r w:rsidRPr="00C6765C">
        <w:rPr>
          <w:sz w:val="24"/>
          <w:szCs w:val="24"/>
        </w:rPr>
        <w:t>No Woman No War: Women's Participation in Ancient Greek Warfa</w:t>
      </w:r>
      <w:r w:rsidRPr="00C6765C">
        <w:rPr>
          <w:sz w:val="24"/>
          <w:szCs w:val="24"/>
        </w:rPr>
        <w:t>re by</w:t>
      </w:r>
      <w:r w:rsidRPr="00C6765C">
        <w:rPr>
          <w:sz w:val="24"/>
          <w:szCs w:val="24"/>
        </w:rPr>
        <w:t xml:space="preserve"> </w:t>
      </w:r>
      <w:proofErr w:type="spellStart"/>
      <w:r w:rsidRPr="00C6765C">
        <w:rPr>
          <w:sz w:val="24"/>
          <w:szCs w:val="24"/>
        </w:rPr>
        <w:t>Pasi</w:t>
      </w:r>
      <w:proofErr w:type="spellEnd"/>
      <w:r w:rsidRPr="00C6765C">
        <w:rPr>
          <w:sz w:val="24"/>
          <w:szCs w:val="24"/>
        </w:rPr>
        <w:t xml:space="preserve"> Loman</w:t>
      </w:r>
    </w:p>
    <w:p w14:paraId="1F7BDA61" w14:textId="7DEEC763" w:rsidR="00C6765C" w:rsidRPr="00C6765C" w:rsidRDefault="00C6765C" w:rsidP="006413B6">
      <w:pPr>
        <w:jc w:val="both"/>
        <w:rPr>
          <w:sz w:val="20"/>
          <w:szCs w:val="20"/>
        </w:rPr>
      </w:pPr>
      <w:r>
        <w:rPr>
          <w:sz w:val="20"/>
          <w:szCs w:val="20"/>
        </w:rPr>
        <w:t>By Jacob Summers</w:t>
      </w:r>
    </w:p>
    <w:p w14:paraId="3808FD7C" w14:textId="77777777" w:rsidR="00C6765C" w:rsidRDefault="00C6765C" w:rsidP="006413B6">
      <w:pPr>
        <w:jc w:val="both"/>
      </w:pPr>
    </w:p>
    <w:p w14:paraId="71C9B9E7" w14:textId="7FFA151D" w:rsidR="00CF18D8" w:rsidRDefault="00CF18D8" w:rsidP="006413B6">
      <w:pPr>
        <w:jc w:val="both"/>
      </w:pPr>
      <w:r>
        <w:t xml:space="preserve">Loman’s article is an analysis on the extent of the ancient Greek women’s involvement in war, citing that there remains little documentation of the activities of women during war time and hoping to resolve that. The article is comprehensive, covering Plutarch’s stories of Spartan women, the </w:t>
      </w:r>
      <w:proofErr w:type="gramStart"/>
      <w:r>
        <w:t>amazons</w:t>
      </w:r>
      <w:proofErr w:type="gramEnd"/>
      <w:r>
        <w:t xml:space="preserve"> and the role of women in Aristophanes’ Lysistrata. However, while this response does agree with the consensus given that women were important and supportive of war in society, it would also seek to enrich this argument through an analysis of the portrayal of femininity and war in ancient Greek myth, specifically focussing upon Homer’s Iliad. </w:t>
      </w:r>
      <w:proofErr w:type="gramStart"/>
      <w:r>
        <w:t>Due to the fact that</w:t>
      </w:r>
      <w:proofErr w:type="gramEnd"/>
      <w:r>
        <w:t xml:space="preserve"> Greek society saw myths as divinity speaking through a human orator and as vessels for morals handed down to them by the gods, these myths, while completely fictitious, would clarify expectations of women in warlike situations according to Greek society. This essay will argue that Loman’s analysis lacks precision through its lack of a single </w:t>
      </w:r>
      <w:proofErr w:type="gramStart"/>
      <w:r>
        <w:t>time period</w:t>
      </w:r>
      <w:proofErr w:type="gramEnd"/>
      <w:r>
        <w:t xml:space="preserve"> or geographical location, thus undermining the clarity and the credibility of its arguments. This essay will then seek to show that Loman’s analysis of the role of women in war in ancient Greece undermines ancient Greek women’s involvement in and first-hand experience of war through a comparison between the Plutarch’s Spartan women and the role of Aphrodite in the Iliad. It will demonstrate that Loman’s analysis of the role of the warrior woman undermines the reverence that ancient Greek society had for some warrior women figures such as Athena. Finally, </w:t>
      </w:r>
      <w:proofErr w:type="gramStart"/>
      <w:r>
        <w:t>It</w:t>
      </w:r>
      <w:proofErr w:type="gramEnd"/>
      <w:r>
        <w:t xml:space="preserve"> will argue that a limited analysis of Lysistrata yielded limited results regarding the role of women in influencing wars, and it will use a comparison with the role of Eris in the Iliad to cement this.</w:t>
      </w:r>
    </w:p>
    <w:p w14:paraId="62EDC076" w14:textId="0450F125" w:rsidR="00CF18D8" w:rsidRDefault="00CF18D8" w:rsidP="006413B6">
      <w:pPr>
        <w:jc w:val="both"/>
      </w:pPr>
      <w:r>
        <w:t>Firstly, Loman’s argument repeatedly refers to Greek women as a general whole, rather than recognising the cultural differences that would have separated the women inhabiting these poleis. The generalising of these women by Loman is not very helpful as the term “Greek women” infers that there would have been a larger culture that all these women would be included in, however each polis would have varying representations of the ‘ideal’ woman and women in these differing states would have very different lives and rights. This is represented by the difference in responsibilities between Spartan and Athenian women as displayed by Xenophon</w:t>
      </w:r>
      <w:r>
        <w:t xml:space="preserve">, </w:t>
      </w:r>
      <w:r>
        <w:t>claiming that unlike Athenian women, Spartan women would not have to maintain the home, for example.</w:t>
      </w:r>
      <w:r w:rsidR="008C5FA3">
        <w:rPr>
          <w:rStyle w:val="FootnoteReference"/>
        </w:rPr>
        <w:footnoteReference w:id="1"/>
      </w:r>
      <w:r>
        <w:t xml:space="preserve"> This would be completely alien to someone from Athens, thus showing that this dependence on a generalised image of “Greek women” would not be justified. This acts as a continuous hinderance throughout the article, making claims that the involvement of women in Sparta, when discussing Plutarch’s Stories of Spartan women, would affect the involvement of women all over Greece in warfare. However, there can be an argument that the proximity of these states could justify a more general view of the responsibilities of women represented by the similarities in ancient sources. However, this argument is never made. There is also a generalisation made about the </w:t>
      </w:r>
      <w:proofErr w:type="gramStart"/>
      <w:r>
        <w:t>time period</w:t>
      </w:r>
      <w:proofErr w:type="gramEnd"/>
      <w:r>
        <w:t xml:space="preserve"> of the arguments taking place. The </w:t>
      </w:r>
      <w:proofErr w:type="gramStart"/>
      <w:r>
        <w:t>time period</w:t>
      </w:r>
      <w:proofErr w:type="gramEnd"/>
      <w:r>
        <w:t xml:space="preserve"> could include any time that the Hellenes had inhabited what we call Greece, which covers a huge amount of time between the first ‘Greeks’ inhabiting ‘Greece’ until their being conquered by the Romans. Even then, however, the cultures across Greece still differed for a very long time and there would not be a unified and independent “Greece” until </w:t>
      </w:r>
      <w:r w:rsidR="008C5FA3">
        <w:t>much later.</w:t>
      </w:r>
      <w:r>
        <w:t xml:space="preserve"> One can claim however Byzantium was Greece in all but name as it was completely culturally Hellenic. The article does however specify that this was “ancient Greece” presumably talking about the Greeks pre-roman conquest, if this article </w:t>
      </w:r>
      <w:r>
        <w:lastRenderedPageBreak/>
        <w:t xml:space="preserve">was to centre on a singular period such as the classical or archaic periods, then an argument could truly be made. Examples of this are present throughout the article, claiming that women in ancient Greece were instrumental in warfare, though the sentiment might not be incorrect in parts of Greece during specific times and there were places and times where it may not be the case. This generalisation has proved damaging for the overall argument that was attempted to be portrayed by Loman. The issue comes as Loman would use specific examples to back this statement, from specific periods and specific poleis. Though would be a great example of that specific poleis’ dependence on women during war time, it would not work as a generalised example. An argument would be required </w:t>
      </w:r>
      <w:proofErr w:type="gramStart"/>
      <w:r>
        <w:t>in order to</w:t>
      </w:r>
      <w:proofErr w:type="gramEnd"/>
      <w:r>
        <w:t xml:space="preserve"> display that these examples of women being vital to the war effort would show the importance of women during war all over Ancient Greece and not just in these specific poleis. This rigid generalisation of time and place does not account for cultural differences over time or between the poleis of people we would group together as ancient Greek, is a massive weakness and oversight of the article that could easily have been rectified by simply specifying </w:t>
      </w:r>
      <w:proofErr w:type="gramStart"/>
      <w:r>
        <w:t>a time period</w:t>
      </w:r>
      <w:proofErr w:type="gramEnd"/>
      <w:r>
        <w:t xml:space="preserve"> beyond “ancient” and a culture within what was referred to as “Greek”. This consistent mistake made can greatly damage the article itself and remains present throughout the entire piece.</w:t>
      </w:r>
    </w:p>
    <w:p w14:paraId="74DBF5B2" w14:textId="493FCAA5" w:rsidR="00CF18D8" w:rsidRDefault="00CF18D8" w:rsidP="006413B6">
      <w:pPr>
        <w:jc w:val="both"/>
      </w:pPr>
      <w:r>
        <w:t>Secondly, the argument used by Loman that Spartan women were particularly prone to war, even to the point of negating their maternal aspects, not only undermines the femininity of these women but it also undermines their activity in war. It argues that Spartan women would send their sons off to war and cared more about the outcome of the war than if their children died fighting in it. This idea of the unmaternal figure can be contrasted with Aphrodite in the Iliad. Aphrodite is often viewed by both classicists and concurrent Greeks as a symbol of female sexuality and femininity, and thus an analysis of her figure will provide ample insight of expectations and society’s general opinion of women and warfare. One key moment that may be studied is one in which she actively engages in war by saving Aeneas from death in Troy. In the event, she is injured by Diomedes’ spear with the aid of Athena.</w:t>
      </w:r>
      <w:r w:rsidR="008C5FA3">
        <w:rPr>
          <w:rStyle w:val="FootnoteReference"/>
        </w:rPr>
        <w:footnoteReference w:id="2"/>
      </w:r>
      <w:r>
        <w:t xml:space="preserve"> While this at first gives the impression that the figure of Aphrodite demonstrates that women have no place on the battlefield according to the myth, and therefore the society that was its audience, it also shows that she was willing to throw herself into the heat of battle to save her son. This willingness to </w:t>
      </w:r>
      <w:proofErr w:type="gramStart"/>
      <w:r>
        <w:t>enter into</w:t>
      </w:r>
      <w:proofErr w:type="gramEnd"/>
      <w:r>
        <w:t xml:space="preserve"> the battle to save her family demonstrates that she is not daunted by the fighting and shows familiarity with it. This opinion is seconded by </w:t>
      </w:r>
      <w:proofErr w:type="spellStart"/>
      <w:r>
        <w:t>Cyrino</w:t>
      </w:r>
      <w:proofErr w:type="spellEnd"/>
      <w:r>
        <w:t xml:space="preserve">, who argues that while she is nor revered as a goddess of war, she </w:t>
      </w:r>
      <w:r w:rsidR="008C5FA3">
        <w:t>does not</w:t>
      </w:r>
      <w:r>
        <w:t xml:space="preserve"> think twice about entering the war zone to save her child.</w:t>
      </w:r>
      <w:r w:rsidR="008C5FA3">
        <w:rPr>
          <w:rStyle w:val="FootnoteReference"/>
        </w:rPr>
        <w:footnoteReference w:id="3"/>
      </w:r>
      <w:r>
        <w:t xml:space="preserve"> This idea of the mother rushing into battle to save her child contrasts to Loman’s analysis of the Spartan women presented by Plutarch. According to </w:t>
      </w:r>
      <w:proofErr w:type="spellStart"/>
      <w:r>
        <w:t>Cyrino</w:t>
      </w:r>
      <w:proofErr w:type="spellEnd"/>
      <w:r>
        <w:t xml:space="preserve">, Aphrodite was worshiped as ‘Aphrodite </w:t>
      </w:r>
      <w:proofErr w:type="spellStart"/>
      <w:r>
        <w:t>Areia</w:t>
      </w:r>
      <w:proofErr w:type="spellEnd"/>
      <w:r>
        <w:t>’ in Sparta, showing a militant side to the love goddess that would allow her to be symbolic of Greek women in war, but more specifically, Spartan women.</w:t>
      </w:r>
      <w:r w:rsidR="008C5FA3">
        <w:rPr>
          <w:rStyle w:val="FootnoteReference"/>
        </w:rPr>
        <w:footnoteReference w:id="4"/>
      </w:r>
      <w:r>
        <w:t xml:space="preserve"> While both Aphrodite and the Spartan mother are seen to be ferocious and warlike in the examples discussed, Aphrodite is shown to be </w:t>
      </w:r>
      <w:proofErr w:type="gramStart"/>
      <w:r>
        <w:t>more motherly</w:t>
      </w:r>
      <w:proofErr w:type="gramEnd"/>
      <w:r>
        <w:t xml:space="preserve">. She more ably shows a relationship between the feminine consciousness and war because this maternal aspect emphasises her female character, while Plutarch’s Spartan women seem unmaternal and cold, and while they do advocate war, they do not show the same familiarity or willingness to </w:t>
      </w:r>
      <w:proofErr w:type="gramStart"/>
      <w:r>
        <w:t>enter into</w:t>
      </w:r>
      <w:proofErr w:type="gramEnd"/>
      <w:r>
        <w:t xml:space="preserve"> war that Homer’s Aphrodite does. Since Plutarch’s accounts of Spartan women can be dated to at least a millennium after the society that he narrates, the articles use of Plutarch can </w:t>
      </w:r>
      <w:proofErr w:type="gramStart"/>
      <w:r>
        <w:t>be considered to be</w:t>
      </w:r>
      <w:proofErr w:type="gramEnd"/>
      <w:r>
        <w:t xml:space="preserve"> less accurate than a reading of Homer, because while the latter deals in myth and legend, the symbolism and morals would be more reflective of society at that time. Therefore, it can be conjectured that Homer’s representation of a maternal woman willing to step into war to defend her </w:t>
      </w:r>
      <w:r>
        <w:lastRenderedPageBreak/>
        <w:t>family is more viable, thus demonstrating women’s familiarity with war on a first-hand basis rather than the role of the Spartan woman as a soldier-making machine. This essay would argue then that women’s involvement in war could be argued to be far more intense than that which has been argued by Loman. Therefore, while it does agree with Loman’s consensus that women were accustomed to and necessary in war, it argues that women also would have been seen to have first-hand experience in war, as represented through Aphrodite.</w:t>
      </w:r>
    </w:p>
    <w:p w14:paraId="2D546BDD" w14:textId="2155AFDD" w:rsidR="00C6765C" w:rsidRDefault="00C6765C" w:rsidP="006413B6">
      <w:pPr>
        <w:jc w:val="both"/>
      </w:pPr>
      <w:r>
        <w:t xml:space="preserve">Thirdly, Loman’s article argues through an analysis of the symbolism of the amazons that Greek women were passive when it came to war because these women would have been seen as barbarians that Greek women would not seek to emulate. However, the opposite can be argued through an analysis of the figure of Athena in the Iliad. Firstly, as a goddess, Athena would have represented a divine figure to the Greeks, and one which they would seek to emulate. However, her position as a goddess of war, which brings her femininity into contact with the perceived manliness of war, demonstrates that she represents the female warrior. In the Iliad, she is responsible for aiding Diomedes in his attempts to kill Aeneas, injuring </w:t>
      </w:r>
      <w:proofErr w:type="gramStart"/>
      <w:r>
        <w:t>Aphrodite</w:t>
      </w:r>
      <w:proofErr w:type="gramEnd"/>
      <w:r>
        <w:t xml:space="preserve"> and Ares in the process. Having such an important and hands-on approach to the war then, it cannot be denied that Athena’s role as a feminine side of the war contrasts directly with Loman’s argument that Greek women were supposed to view female involvement in war as taboo. Nor can it be argued that Athena has been vilified through the story of the Iliad, as she supports the Greeks in their conquest of the Trojans, and therefore would be seen as benevolent by the Greeks hearing the Iliad. In this way, it cannot be argued that femininity and war would have been seen as opposing ideas because Athena successfully and popularly embodies their combination. In fact, the way in which she outsmarts Ares and wounds him in the stomach demonstrates that the feminine side of war </w:t>
      </w:r>
      <w:proofErr w:type="gramStart"/>
      <w:r>
        <w:t>actually overcomes</w:t>
      </w:r>
      <w:proofErr w:type="gramEnd"/>
      <w:r>
        <w:t xml:space="preserve"> the masculinity of war represented by Ares. There is a clear contrast in Greek mythology between the aspects of war represented by Athena, with Athena symbolising the tactical elements of war and Ares representing the sheer destruction of war, as argued by Burkert.</w:t>
      </w:r>
      <w:r w:rsidR="006413B6">
        <w:rPr>
          <w:rStyle w:val="FootnoteReference"/>
        </w:rPr>
        <w:footnoteReference w:id="5"/>
      </w:r>
      <w:r>
        <w:t xml:space="preserve"> This contrasts with the view that Loman gives of warrior women as barbaric. Not only does this account demonstrate that Athena has the support of the audience, and therefore the society at the time, as they would see Athena as a benevolent protagonist fighting for the Greeks, but it also shows that a combination of femininity and war would not have been seen as barbaric in this time period, but rather Athena represents a tactful side of war which, in comparison, renders the masculine aspect of war, represented by Ares, as barbaric and backwards. This is further affirmed by Burkert, who argues that the glory of victory belongs to Athena alone and not to Ares.</w:t>
      </w:r>
      <w:r w:rsidR="006413B6">
        <w:rPr>
          <w:rStyle w:val="FootnoteReference"/>
        </w:rPr>
        <w:footnoteReference w:id="6"/>
      </w:r>
      <w:r>
        <w:t xml:space="preserve"> Therefore, this essay has disagreed with Loman through an analysis of the woman warrior presented in his article and by contrasting this with the representation of Athena in the Iliad. It has found that Athena as a warrior woman would have been seen as a figure to emulate due to her divinity, and her representation as an intelligent force in the myth rather than a barbaric one further demonstrates this.</w:t>
      </w:r>
    </w:p>
    <w:p w14:paraId="1ABADB3F" w14:textId="00F4012B" w:rsidR="00C6765C" w:rsidRDefault="00C6765C" w:rsidP="006413B6">
      <w:pPr>
        <w:jc w:val="both"/>
      </w:pPr>
      <w:r>
        <w:t xml:space="preserve">Finally, while the article advocates that Greek women had some influence over their husbands and sons, it does not credit them with enough to start or end a conflict. This is demonstrated through its analysis of Aristophanes’ Lysistrata. Through the analysis it seeks to demonstrate that despite withholding sex from their husbands with the aim of ending the war, the women of the play were not pacifist. While it does hint at the other, greater, achievements of the women in this play, it does not analyse them further due to their fictitious nature. This lack of further investigation of the greater achievements of the women in the play undermines the point made by the article that women had an influence upon war through their influence over their husbands. These achievements include holding </w:t>
      </w:r>
      <w:r>
        <w:lastRenderedPageBreak/>
        <w:t xml:space="preserve">the acropolis whilst under siege by the men, calling out men for endangering the lives of women by insipidly creating conflicts and declaring that war was now a woman’s affair. In this way, the essay does not analyse enough of the play to be effective in its argument that women had an influence on wars. This lack of influence or desire to become involved in war and peace that the author demonstrates can clearly be undermined through a study of the character of Eris in the Iliad. Eris’ meddling in the judgement of Paris is never explicitly mentioned, however her influence cannot be denied. According to </w:t>
      </w:r>
      <w:r w:rsidR="006413B6">
        <w:t>Mackie</w:t>
      </w:r>
      <w:r>
        <w:t>, the events of the trojan war would never have happened without the judgement of Paris and the creation of the beauty contest and the golden apple by Eris.</w:t>
      </w:r>
      <w:r w:rsidR="006413B6">
        <w:rPr>
          <w:rStyle w:val="FootnoteReference"/>
        </w:rPr>
        <w:footnoteReference w:id="7"/>
      </w:r>
      <w:r>
        <w:t xml:space="preserve"> Therefore, it becomes clear that without Eris’ meddling the trojan war would not have happened. This would therefore negate the </w:t>
      </w:r>
      <w:proofErr w:type="gramStart"/>
      <w:r>
        <w:t>aforementioned point</w:t>
      </w:r>
      <w:proofErr w:type="gramEnd"/>
      <w:r>
        <w:t xml:space="preserve"> about a woman’s lack of influence or willingness to get involved in the affairs of men as Eris singlehandedly can be credited with having orchestrated the whole trojan war. What is more, since Eris can be equivalated with Enyo, Ares’ sister and fellow goddess of war, this involvement can be seen to be followed with active participation in the trojan war. Therefore, not only did Eris help to create the whole war, but she also took part in it. This would therefore undermine the </w:t>
      </w:r>
      <w:proofErr w:type="gramStart"/>
      <w:r>
        <w:t>aforementioned argument</w:t>
      </w:r>
      <w:proofErr w:type="gramEnd"/>
      <w:r>
        <w:t xml:space="preserve"> that women in ancient Greece had little desire to engage in the politics of men in war since Eris effectively created a war for her own enjoyment. In this way, the article does not go far enough in its analysis of the play Lysistrata, and further analysis would reveal women with agency that are actively attempting to become involved in war. A further comparison with other characters such as Eris/Enyo in the Iliad only further disproves that women are unable to have influence on wars or desire to start or end conflict.</w:t>
      </w:r>
    </w:p>
    <w:p w14:paraId="335FD971" w14:textId="0D79D130" w:rsidR="00C6765C" w:rsidRDefault="00C6765C" w:rsidP="006413B6">
      <w:pPr>
        <w:jc w:val="both"/>
      </w:pPr>
      <w:r>
        <w:t xml:space="preserve">In conclusion this essay has agreed with Loman, but it has also found a few points that it would change for it to make a more compelling case. It has found that Loman downplays the importance of women in war, all the while proving their presence in combat situations. A comparison between the figures of Plutarch’s Spartan women that was employed in the essay and the role of Aphrodite in Homer’s Iliad finds that the intensity of the relationship between women and war in Loman’s essay is undermined. Furthermore, this essay has found issue with the representation of the figure of the warrior woman as barbaric or vilified by Greek society. A comparison between the role of the amazons and the role of Athena in the Iliad has proven that warrior women were revered by Ancient Greek society through the cult of Athena, and the Iliad does nothing that would represent Athena as a barbaric, rudimental, or unintelligent figure. It has also found that its analysis of the role of women in Lysistrata lacked sufficient depth into other aspects of the play that would demonstrate an agency in the women and an active participation in the affairs of men. Furthermore, a comparison with Eris in the Iliad completely negates the argument that women had little desire to engage in or influence war. Finally, this essay has argued against the sweeping generalisations of time and space that have been carried out by the article. Due to the massive cultural differences between the Greek poleis, a study of the role of women in war in any one specified polis in any one given </w:t>
      </w:r>
      <w:proofErr w:type="gramStart"/>
      <w:r>
        <w:t>time period</w:t>
      </w:r>
      <w:proofErr w:type="gramEnd"/>
      <w:r>
        <w:t xml:space="preserve"> would have given Loman’s argument greater credibility.</w:t>
      </w:r>
    </w:p>
    <w:p w14:paraId="4CE987C9" w14:textId="58A9AA60" w:rsidR="00CF18D8" w:rsidRDefault="00CF18D8" w:rsidP="006413B6">
      <w:pPr>
        <w:jc w:val="both"/>
      </w:pPr>
      <w:r>
        <w:br w:type="page"/>
      </w:r>
    </w:p>
    <w:p w14:paraId="472EED9C" w14:textId="3C304592" w:rsidR="004C4D2B" w:rsidRDefault="005D1E47" w:rsidP="006413B6">
      <w:pPr>
        <w:jc w:val="both"/>
      </w:pPr>
      <w:r>
        <w:lastRenderedPageBreak/>
        <w:t>Bibliography</w:t>
      </w:r>
    </w:p>
    <w:p w14:paraId="06543B79" w14:textId="77777777" w:rsidR="006413B6" w:rsidRDefault="006413B6" w:rsidP="006413B6">
      <w:pPr>
        <w:jc w:val="both"/>
      </w:pPr>
      <w:r>
        <w:t xml:space="preserve">Barry, </w:t>
      </w:r>
      <w:r w:rsidRPr="008B4490">
        <w:t>W. D.</w:t>
      </w:r>
      <w:r>
        <w:t xml:space="preserve"> (1996)</w:t>
      </w:r>
      <w:r w:rsidRPr="008B4490">
        <w:t xml:space="preserve"> 'Roof Tiles and Urban Violence in the Ancient World', GRBS 37,</w:t>
      </w:r>
      <w:r>
        <w:t xml:space="preserve"> pp.</w:t>
      </w:r>
      <w:r w:rsidRPr="008B4490">
        <w:t xml:space="preserve"> 55-74</w:t>
      </w:r>
    </w:p>
    <w:p w14:paraId="687A5284" w14:textId="77777777" w:rsidR="006413B6" w:rsidRDefault="006413B6" w:rsidP="006413B6">
      <w:pPr>
        <w:jc w:val="both"/>
      </w:pPr>
      <w:proofErr w:type="spellStart"/>
      <w:r>
        <w:t>Beston</w:t>
      </w:r>
      <w:proofErr w:type="spellEnd"/>
      <w:r>
        <w:t xml:space="preserve">, Paul; </w:t>
      </w:r>
      <w:proofErr w:type="spellStart"/>
      <w:r>
        <w:t>Deacy</w:t>
      </w:r>
      <w:proofErr w:type="spellEnd"/>
      <w:r>
        <w:t xml:space="preserve">, Susan; Fisher, Nick; Hanson, Victor Davis; Hornblower, Simon; </w:t>
      </w:r>
      <w:proofErr w:type="spellStart"/>
      <w:r>
        <w:t>Krentz</w:t>
      </w:r>
      <w:proofErr w:type="spellEnd"/>
      <w:r>
        <w:t>, Peter; Lendon, J.E; Ma, John; Parker, Robert; Rawlings, Louis; Shay, Jonathan; Strauss, Barry S; van Wees, Hans; Burkert, Walter. (2000) War and Violence in Ancient Greece. Duckworth and the Classical Press of Wales, London</w:t>
      </w:r>
    </w:p>
    <w:p w14:paraId="37BC8FAF" w14:textId="77777777" w:rsidR="006413B6" w:rsidRDefault="006413B6" w:rsidP="006413B6">
      <w:pPr>
        <w:jc w:val="both"/>
      </w:pPr>
      <w:proofErr w:type="spellStart"/>
      <w:r w:rsidRPr="008C5FA3">
        <w:t>Cyrino</w:t>
      </w:r>
      <w:proofErr w:type="spellEnd"/>
      <w:r>
        <w:t xml:space="preserve">, </w:t>
      </w:r>
      <w:r w:rsidRPr="006413B6">
        <w:t xml:space="preserve">Monica S. </w:t>
      </w:r>
      <w:r>
        <w:t>(</w:t>
      </w:r>
      <w:r w:rsidRPr="008C5FA3">
        <w:t>2010</w:t>
      </w:r>
      <w:r>
        <w:t>)</w:t>
      </w:r>
      <w:r w:rsidRPr="008C5FA3">
        <w:t xml:space="preserve"> </w:t>
      </w:r>
      <w:r w:rsidRPr="008C5FA3">
        <w:t>Aphrodite</w:t>
      </w:r>
      <w:r>
        <w:t xml:space="preserve"> </w:t>
      </w:r>
      <w:proofErr w:type="spellStart"/>
      <w:r>
        <w:t>routledge</w:t>
      </w:r>
      <w:proofErr w:type="spellEnd"/>
      <w:r>
        <w:t xml:space="preserve">, </w:t>
      </w:r>
      <w:proofErr w:type="spellStart"/>
      <w:r>
        <w:t>london</w:t>
      </w:r>
      <w:proofErr w:type="spellEnd"/>
    </w:p>
    <w:p w14:paraId="57E0FE78" w14:textId="77777777" w:rsidR="006413B6" w:rsidRDefault="006413B6" w:rsidP="006413B6">
      <w:pPr>
        <w:jc w:val="both"/>
      </w:pPr>
      <w:r>
        <w:t xml:space="preserve">Graf, </w:t>
      </w:r>
      <w:r w:rsidRPr="008B4490">
        <w:t>F.</w:t>
      </w:r>
      <w:r w:rsidRPr="008B4490">
        <w:t xml:space="preserve"> </w:t>
      </w:r>
      <w:r w:rsidRPr="008B4490">
        <w:t>(1984) 'Women, War, and Warlike Divinities', ZPE 55, 245-54.</w:t>
      </w:r>
    </w:p>
    <w:p w14:paraId="6D8F2FE3" w14:textId="77777777" w:rsidR="006413B6" w:rsidRDefault="006413B6" w:rsidP="006413B6">
      <w:pPr>
        <w:jc w:val="both"/>
      </w:pPr>
      <w:r w:rsidRPr="004C4D2B">
        <w:t>Loman, P. (2004). No Woman No War: Women's Participation in Ancient Greek Warfare. Greece &amp; Rome, 51(1), 34-54.</w:t>
      </w:r>
    </w:p>
    <w:p w14:paraId="292CFFB1" w14:textId="77777777" w:rsidR="006413B6" w:rsidRDefault="006413B6" w:rsidP="006413B6">
      <w:pPr>
        <w:jc w:val="both"/>
      </w:pPr>
      <w:r w:rsidRPr="0061525A">
        <w:t>MACKIE, C.J.</w:t>
      </w:r>
      <w:r w:rsidRPr="00915C6A">
        <w:t xml:space="preserve"> </w:t>
      </w:r>
      <w:r w:rsidRPr="00915C6A">
        <w:t>(2013</w:t>
      </w:r>
      <w:r>
        <w:t>)</w:t>
      </w:r>
      <w:r w:rsidRPr="0061525A">
        <w:t xml:space="preserve"> ""ILIAD" 24 AND THE JUDGEMENT OF PARIS." The Classical Quarterly 63, no. 1: 1-16. </w:t>
      </w:r>
    </w:p>
    <w:p w14:paraId="3E59F641" w14:textId="77777777" w:rsidR="006413B6" w:rsidRDefault="006413B6" w:rsidP="006413B6">
      <w:pPr>
        <w:jc w:val="both"/>
      </w:pPr>
      <w:proofErr w:type="spellStart"/>
      <w:r w:rsidRPr="0061525A">
        <w:t>Nagler</w:t>
      </w:r>
      <w:proofErr w:type="spellEnd"/>
      <w:r w:rsidRPr="0061525A">
        <w:t>, Michael N.</w:t>
      </w:r>
      <w:r>
        <w:t xml:space="preserve"> </w:t>
      </w:r>
      <w:r w:rsidRPr="00915C6A">
        <w:t>(1988)</w:t>
      </w:r>
      <w:r w:rsidRPr="0061525A">
        <w:t xml:space="preserve"> "Toward a Semantics of Ancient Conflict: Eris in the "Iliad"." The Classical World 82, no. 2: 81-90.</w:t>
      </w:r>
    </w:p>
    <w:p w14:paraId="1C48E3FF" w14:textId="77777777" w:rsidR="006413B6" w:rsidRDefault="006413B6" w:rsidP="006413B6">
      <w:pPr>
        <w:jc w:val="both"/>
      </w:pPr>
      <w:r w:rsidRPr="00CC31D6">
        <w:t>Pomeroy, Sarah (2002), Spartan Women, Oxford: Oxford University Press,</w:t>
      </w:r>
    </w:p>
    <w:p w14:paraId="335F72F2" w14:textId="77777777" w:rsidR="006413B6" w:rsidRDefault="006413B6" w:rsidP="006413B6">
      <w:pPr>
        <w:jc w:val="both"/>
      </w:pPr>
      <w:r>
        <w:t xml:space="preserve">Sailors, Cara Leigh (2007) </w:t>
      </w:r>
      <w:r>
        <w:t>The Function of Mythology and Religion in</w:t>
      </w:r>
      <w:r>
        <w:t xml:space="preserve"> </w:t>
      </w:r>
      <w:r>
        <w:t>Ancient Greek Society.</w:t>
      </w:r>
      <w:r>
        <w:t xml:space="preserve"> </w:t>
      </w:r>
      <w:r w:rsidRPr="00915C6A">
        <w:t>East Tennessee State University</w:t>
      </w:r>
      <w:r>
        <w:t>, Tennessee</w:t>
      </w:r>
    </w:p>
    <w:p w14:paraId="6FC9886D" w14:textId="77777777" w:rsidR="006413B6" w:rsidRDefault="006413B6" w:rsidP="006413B6">
      <w:pPr>
        <w:jc w:val="both"/>
      </w:pPr>
      <w:proofErr w:type="spellStart"/>
      <w:r>
        <w:t>Schaps</w:t>
      </w:r>
      <w:proofErr w:type="spellEnd"/>
      <w:r>
        <w:t xml:space="preserve">, D.M. (1982) The Women of Greece in Wartime. </w:t>
      </w:r>
      <w:r w:rsidRPr="008B4490">
        <w:t>CLASSICAL PHILOLOGY</w:t>
      </w:r>
      <w:r>
        <w:t xml:space="preserve">. </w:t>
      </w:r>
      <w:r w:rsidRPr="008B4490">
        <w:t>Vol. 77, No. 3</w:t>
      </w:r>
      <w:r>
        <w:t xml:space="preserve">. Pp. </w:t>
      </w:r>
      <w:r w:rsidRPr="008B4490">
        <w:t>193-213</w:t>
      </w:r>
    </w:p>
    <w:p w14:paraId="00CFF9FF" w14:textId="112D3BD7" w:rsidR="00915C6A" w:rsidRDefault="00915C6A" w:rsidP="006413B6">
      <w:pPr>
        <w:jc w:val="both"/>
      </w:pPr>
    </w:p>
    <w:p w14:paraId="50DFB339" w14:textId="77777777" w:rsidR="006413B6" w:rsidRDefault="006413B6" w:rsidP="006413B6">
      <w:pPr>
        <w:jc w:val="both"/>
      </w:pPr>
      <w:r w:rsidRPr="00CF18D8">
        <w:t xml:space="preserve">Homer. The Iliad </w:t>
      </w:r>
      <w:r>
        <w:t xml:space="preserve">(1924) </w:t>
      </w:r>
      <w:r w:rsidRPr="00CF18D8">
        <w:t>A.T. Murray, Ph.D.</w:t>
      </w:r>
      <w:r>
        <w:t xml:space="preserve"> (trans.)</w:t>
      </w:r>
      <w:r w:rsidRPr="00CF18D8">
        <w:t xml:space="preserve"> Cambridge, MA., Harvard University </w:t>
      </w:r>
      <w:proofErr w:type="gramStart"/>
      <w:r w:rsidRPr="00CF18D8">
        <w:t>Press;</w:t>
      </w:r>
      <w:proofErr w:type="gramEnd"/>
      <w:r w:rsidRPr="00CF18D8">
        <w:t xml:space="preserve"> </w:t>
      </w:r>
    </w:p>
    <w:p w14:paraId="30EB80AD" w14:textId="77777777" w:rsidR="006413B6" w:rsidRDefault="006413B6" w:rsidP="006413B6">
      <w:pPr>
        <w:jc w:val="both"/>
      </w:pPr>
      <w:r w:rsidRPr="007343D9">
        <w:t xml:space="preserve">Plutarch, </w:t>
      </w:r>
      <w:proofErr w:type="spellStart"/>
      <w:r w:rsidRPr="00CF18D8">
        <w:t>Moralia</w:t>
      </w:r>
      <w:proofErr w:type="spellEnd"/>
      <w:r>
        <w:t xml:space="preserve">. (1932) </w:t>
      </w:r>
      <w:r w:rsidRPr="007343D9">
        <w:t>Frank Cole Babbitt</w:t>
      </w:r>
      <w:r>
        <w:t xml:space="preserve"> (trans.</w:t>
      </w:r>
      <w:r w:rsidRPr="007343D9">
        <w:t>)</w:t>
      </w:r>
      <w:r w:rsidRPr="007343D9">
        <w:t xml:space="preserve"> </w:t>
      </w:r>
      <w:r w:rsidRPr="007343D9">
        <w:t xml:space="preserve">Cambridge, MA. Harvard University Press. </w:t>
      </w:r>
    </w:p>
    <w:p w14:paraId="55B4470F" w14:textId="77777777" w:rsidR="006413B6" w:rsidRDefault="006413B6" w:rsidP="006413B6">
      <w:pPr>
        <w:jc w:val="both"/>
      </w:pPr>
      <w:r w:rsidRPr="007343D9">
        <w:t>Plutarch, Plutarch's Lives</w:t>
      </w:r>
      <w:r>
        <w:t>. Lycurgus (1914)</w:t>
      </w:r>
      <w:r w:rsidRPr="007343D9">
        <w:t xml:space="preserve"> Bernadotte Perrin</w:t>
      </w:r>
      <w:r>
        <w:t>(trans.</w:t>
      </w:r>
      <w:r w:rsidRPr="007343D9">
        <w:t xml:space="preserve">). Cambridge, MA. Harvard University Press. </w:t>
      </w:r>
    </w:p>
    <w:p w14:paraId="0016FEF8" w14:textId="77777777" w:rsidR="006413B6" w:rsidRDefault="006413B6" w:rsidP="006413B6">
      <w:pPr>
        <w:jc w:val="both"/>
      </w:pPr>
      <w:r w:rsidRPr="007343D9">
        <w:t>Pseudo-Xenophon, Constitution of the Athenians</w:t>
      </w:r>
      <w:r>
        <w:t xml:space="preserve"> (1984) </w:t>
      </w:r>
      <w:r w:rsidRPr="007343D9">
        <w:t>E. C. Marchant</w:t>
      </w:r>
      <w:r>
        <w:t xml:space="preserve"> (trans.)</w:t>
      </w:r>
      <w:r w:rsidRPr="007343D9">
        <w:t xml:space="preserve"> </w:t>
      </w:r>
      <w:r w:rsidRPr="007343D9">
        <w:t>Harvard University Press, Cambridge, MA</w:t>
      </w:r>
    </w:p>
    <w:p w14:paraId="0D400E85" w14:textId="77777777" w:rsidR="006413B6" w:rsidRDefault="006413B6" w:rsidP="006413B6">
      <w:pPr>
        <w:jc w:val="both"/>
      </w:pPr>
      <w:r w:rsidRPr="007343D9">
        <w:t>Xenophon, Hellenica</w:t>
      </w:r>
      <w:r>
        <w:t xml:space="preserve"> (</w:t>
      </w:r>
      <w:r w:rsidRPr="007343D9">
        <w:t>1921</w:t>
      </w:r>
      <w:r>
        <w:t xml:space="preserve">) </w:t>
      </w:r>
      <w:r w:rsidRPr="007343D9">
        <w:t>Carleton L. Brownson</w:t>
      </w:r>
      <w:r>
        <w:t xml:space="preserve"> (trans.)</w:t>
      </w:r>
      <w:r w:rsidRPr="007343D9">
        <w:t xml:space="preserve"> </w:t>
      </w:r>
      <w:r w:rsidRPr="007343D9">
        <w:t>Harvard University Press, Cambridge, MA</w:t>
      </w:r>
    </w:p>
    <w:sectPr w:rsidR="006413B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8F99D" w14:textId="77777777" w:rsidR="00F7593D" w:rsidRDefault="00F7593D" w:rsidP="00687937">
      <w:pPr>
        <w:spacing w:after="0" w:line="240" w:lineRule="auto"/>
      </w:pPr>
      <w:r>
        <w:separator/>
      </w:r>
    </w:p>
  </w:endnote>
  <w:endnote w:type="continuationSeparator" w:id="0">
    <w:p w14:paraId="2A35075B" w14:textId="77777777" w:rsidR="00F7593D" w:rsidRDefault="00F7593D" w:rsidP="00687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E9661" w14:textId="02C4CE4C" w:rsidR="00C6765C" w:rsidRDefault="00C6765C">
    <w:pPr>
      <w:pStyle w:val="Footer"/>
    </w:pPr>
    <w:r>
      <w:t>Jacob Summers</w:t>
    </w:r>
    <w:r>
      <w:br/>
      <w:t>1801142</w:t>
    </w:r>
    <w:r>
      <w:tab/>
      <w:t>Article Review</w:t>
    </w:r>
    <w:r>
      <w:tab/>
      <w:t>23/05/2021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FA2ED5" w14:textId="77777777" w:rsidR="00F7593D" w:rsidRDefault="00F7593D" w:rsidP="00687937">
      <w:pPr>
        <w:spacing w:after="0" w:line="240" w:lineRule="auto"/>
      </w:pPr>
      <w:r>
        <w:separator/>
      </w:r>
    </w:p>
  </w:footnote>
  <w:footnote w:type="continuationSeparator" w:id="0">
    <w:p w14:paraId="75146CD4" w14:textId="77777777" w:rsidR="00F7593D" w:rsidRDefault="00F7593D" w:rsidP="00687937">
      <w:pPr>
        <w:spacing w:after="0" w:line="240" w:lineRule="auto"/>
      </w:pPr>
      <w:r>
        <w:continuationSeparator/>
      </w:r>
    </w:p>
  </w:footnote>
  <w:footnote w:id="1">
    <w:p w14:paraId="72DFC483" w14:textId="10E3CB63" w:rsidR="008C5FA3" w:rsidRDefault="008C5FA3">
      <w:pPr>
        <w:pStyle w:val="FootnoteText"/>
      </w:pPr>
      <w:r>
        <w:rPr>
          <w:rStyle w:val="FootnoteReference"/>
        </w:rPr>
        <w:footnoteRef/>
      </w:r>
      <w:r>
        <w:t xml:space="preserve"> </w:t>
      </w:r>
      <w:r w:rsidRPr="008C5FA3">
        <w:t>Pomeroy 2002, p. 96</w:t>
      </w:r>
    </w:p>
  </w:footnote>
  <w:footnote w:id="2">
    <w:p w14:paraId="2D46F159" w14:textId="591C4D51" w:rsidR="008C5FA3" w:rsidRDefault="008C5FA3">
      <w:pPr>
        <w:pStyle w:val="FootnoteText"/>
      </w:pPr>
      <w:r>
        <w:rPr>
          <w:rStyle w:val="FootnoteReference"/>
        </w:rPr>
        <w:footnoteRef/>
      </w:r>
      <w:r>
        <w:t xml:space="preserve"> </w:t>
      </w:r>
      <w:proofErr w:type="spellStart"/>
      <w:r w:rsidRPr="008C5FA3">
        <w:t>Hom</w:t>
      </w:r>
      <w:proofErr w:type="spellEnd"/>
      <w:r w:rsidRPr="008C5FA3">
        <w:t>. Ili</w:t>
      </w:r>
      <w:r>
        <w:t>.</w:t>
      </w:r>
      <w:r w:rsidRPr="008C5FA3">
        <w:t xml:space="preserve"> </w:t>
      </w:r>
      <w:r w:rsidRPr="008C5FA3">
        <w:t>5.525-528</w:t>
      </w:r>
    </w:p>
  </w:footnote>
  <w:footnote w:id="3">
    <w:p w14:paraId="7845FAD0" w14:textId="46874FFE" w:rsidR="008C5FA3" w:rsidRDefault="008C5FA3">
      <w:pPr>
        <w:pStyle w:val="FootnoteText"/>
      </w:pPr>
      <w:r>
        <w:rPr>
          <w:rStyle w:val="FootnoteReference"/>
        </w:rPr>
        <w:footnoteRef/>
      </w:r>
      <w:r>
        <w:t xml:space="preserve"> </w:t>
      </w:r>
      <w:proofErr w:type="spellStart"/>
      <w:r w:rsidRPr="008C5FA3">
        <w:t>Cyrino</w:t>
      </w:r>
      <w:proofErr w:type="spellEnd"/>
      <w:r>
        <w:t xml:space="preserve"> </w:t>
      </w:r>
      <w:r w:rsidRPr="008C5FA3">
        <w:t xml:space="preserve">2010 </w:t>
      </w:r>
      <w:r>
        <w:t>49</w:t>
      </w:r>
    </w:p>
  </w:footnote>
  <w:footnote w:id="4">
    <w:p w14:paraId="2F4E0225" w14:textId="6EC24FE1" w:rsidR="008C5FA3" w:rsidRDefault="008C5FA3">
      <w:pPr>
        <w:pStyle w:val="FootnoteText"/>
      </w:pPr>
      <w:r>
        <w:rPr>
          <w:rStyle w:val="FootnoteReference"/>
        </w:rPr>
        <w:footnoteRef/>
      </w:r>
      <w:r>
        <w:t xml:space="preserve"> </w:t>
      </w:r>
      <w:proofErr w:type="spellStart"/>
      <w:r w:rsidRPr="008C5FA3">
        <w:t>Cyrino</w:t>
      </w:r>
      <w:proofErr w:type="spellEnd"/>
      <w:r w:rsidRPr="008C5FA3">
        <w:t xml:space="preserve"> 2010 49</w:t>
      </w:r>
    </w:p>
  </w:footnote>
  <w:footnote w:id="5">
    <w:p w14:paraId="36A458CD" w14:textId="52166969" w:rsidR="006413B6" w:rsidRDefault="006413B6">
      <w:pPr>
        <w:pStyle w:val="FootnoteText"/>
      </w:pPr>
      <w:r>
        <w:rPr>
          <w:rStyle w:val="FootnoteReference"/>
        </w:rPr>
        <w:footnoteRef/>
      </w:r>
      <w:r>
        <w:t xml:space="preserve"> Burkert </w:t>
      </w:r>
      <w:r w:rsidRPr="006413B6">
        <w:t>2000</w:t>
      </w:r>
      <w:r>
        <w:t xml:space="preserve"> 285</w:t>
      </w:r>
    </w:p>
  </w:footnote>
  <w:footnote w:id="6">
    <w:p w14:paraId="6F486642" w14:textId="0AE893AD" w:rsidR="006413B6" w:rsidRDefault="006413B6">
      <w:pPr>
        <w:pStyle w:val="FootnoteText"/>
      </w:pPr>
      <w:r>
        <w:rPr>
          <w:rStyle w:val="FootnoteReference"/>
        </w:rPr>
        <w:footnoteRef/>
      </w:r>
      <w:r>
        <w:t xml:space="preserve"> </w:t>
      </w:r>
      <w:r w:rsidRPr="006413B6">
        <w:t>Burkert 2000 285</w:t>
      </w:r>
    </w:p>
  </w:footnote>
  <w:footnote w:id="7">
    <w:p w14:paraId="287390C3" w14:textId="4CFA93D7" w:rsidR="006413B6" w:rsidRDefault="006413B6">
      <w:pPr>
        <w:pStyle w:val="FootnoteText"/>
      </w:pPr>
      <w:r>
        <w:rPr>
          <w:rStyle w:val="FootnoteReference"/>
        </w:rPr>
        <w:footnoteRef/>
      </w:r>
      <w:r>
        <w:t xml:space="preserve"> Mackie 2013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98288" w14:textId="3AF4EB66" w:rsidR="00C6765C" w:rsidRDefault="00C6765C">
    <w:pPr>
      <w:pStyle w:val="Header"/>
    </w:pPr>
    <w:r>
      <w:tab/>
      <w:t>University of Wales Trinity Saint David</w:t>
    </w:r>
    <w:r>
      <w:br/>
    </w:r>
    <w:r>
      <w:tab/>
      <w:t>(HPAH6044)</w:t>
    </w:r>
  </w:p>
  <w:p w14:paraId="45226C29" w14:textId="77777777" w:rsidR="00C6765C" w:rsidRDefault="00C676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522CEB"/>
    <w:multiLevelType w:val="hybridMultilevel"/>
    <w:tmpl w:val="6862D89E"/>
    <w:lvl w:ilvl="0" w:tplc="E52EBBE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F24539"/>
    <w:multiLevelType w:val="hybridMultilevel"/>
    <w:tmpl w:val="432C6C56"/>
    <w:lvl w:ilvl="0" w:tplc="21E847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845599"/>
    <w:multiLevelType w:val="hybridMultilevel"/>
    <w:tmpl w:val="331062AE"/>
    <w:lvl w:ilvl="0" w:tplc="75B053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7DA"/>
    <w:rsid w:val="000F34E2"/>
    <w:rsid w:val="002D5948"/>
    <w:rsid w:val="00396D01"/>
    <w:rsid w:val="003D1887"/>
    <w:rsid w:val="004217DA"/>
    <w:rsid w:val="004C4D2B"/>
    <w:rsid w:val="004C5EA1"/>
    <w:rsid w:val="005D1E47"/>
    <w:rsid w:val="0061525A"/>
    <w:rsid w:val="006413B6"/>
    <w:rsid w:val="00687937"/>
    <w:rsid w:val="007343D9"/>
    <w:rsid w:val="007458CD"/>
    <w:rsid w:val="007D38D7"/>
    <w:rsid w:val="007D438E"/>
    <w:rsid w:val="008B4490"/>
    <w:rsid w:val="008C5FA3"/>
    <w:rsid w:val="00915C6A"/>
    <w:rsid w:val="009442A2"/>
    <w:rsid w:val="00AC2AFE"/>
    <w:rsid w:val="00C6765C"/>
    <w:rsid w:val="00CC31D6"/>
    <w:rsid w:val="00CD3886"/>
    <w:rsid w:val="00CF18D8"/>
    <w:rsid w:val="00E61928"/>
    <w:rsid w:val="00EF01CD"/>
    <w:rsid w:val="00F75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A3283"/>
  <w15:chartTrackingRefBased/>
  <w15:docId w15:val="{078B51EC-C14E-4D6F-B186-026B04A5B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8793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87937"/>
    <w:rPr>
      <w:sz w:val="20"/>
      <w:szCs w:val="20"/>
    </w:rPr>
  </w:style>
  <w:style w:type="character" w:styleId="FootnoteReference">
    <w:name w:val="footnote reference"/>
    <w:basedOn w:val="DefaultParagraphFont"/>
    <w:uiPriority w:val="99"/>
    <w:semiHidden/>
    <w:unhideWhenUsed/>
    <w:rsid w:val="00687937"/>
    <w:rPr>
      <w:vertAlign w:val="superscript"/>
    </w:rPr>
  </w:style>
  <w:style w:type="paragraph" w:styleId="ListParagraph">
    <w:name w:val="List Paragraph"/>
    <w:basedOn w:val="Normal"/>
    <w:uiPriority w:val="34"/>
    <w:qFormat/>
    <w:rsid w:val="00E61928"/>
    <w:pPr>
      <w:ind w:left="720"/>
      <w:contextualSpacing/>
    </w:pPr>
  </w:style>
  <w:style w:type="character" w:styleId="Hyperlink">
    <w:name w:val="Hyperlink"/>
    <w:basedOn w:val="DefaultParagraphFont"/>
    <w:uiPriority w:val="99"/>
    <w:unhideWhenUsed/>
    <w:rsid w:val="0061525A"/>
    <w:rPr>
      <w:color w:val="0563C1" w:themeColor="hyperlink"/>
      <w:u w:val="single"/>
    </w:rPr>
  </w:style>
  <w:style w:type="character" w:styleId="UnresolvedMention">
    <w:name w:val="Unresolved Mention"/>
    <w:basedOn w:val="DefaultParagraphFont"/>
    <w:uiPriority w:val="99"/>
    <w:semiHidden/>
    <w:unhideWhenUsed/>
    <w:rsid w:val="0061525A"/>
    <w:rPr>
      <w:color w:val="605E5C"/>
      <w:shd w:val="clear" w:color="auto" w:fill="E1DFDD"/>
    </w:rPr>
  </w:style>
  <w:style w:type="paragraph" w:styleId="Header">
    <w:name w:val="header"/>
    <w:basedOn w:val="Normal"/>
    <w:link w:val="HeaderChar"/>
    <w:uiPriority w:val="99"/>
    <w:unhideWhenUsed/>
    <w:rsid w:val="00C676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765C"/>
  </w:style>
  <w:style w:type="paragraph" w:styleId="Footer">
    <w:name w:val="footer"/>
    <w:basedOn w:val="Normal"/>
    <w:link w:val="FooterChar"/>
    <w:uiPriority w:val="99"/>
    <w:unhideWhenUsed/>
    <w:rsid w:val="00C676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76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2EAF6D-2C00-453E-867F-28AEB9A97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5</Pages>
  <Words>2642</Words>
  <Characters>15062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Summers (1801142)</dc:creator>
  <cp:keywords/>
  <dc:description/>
  <cp:lastModifiedBy>Jacob Summers (1801142)</cp:lastModifiedBy>
  <cp:revision>3</cp:revision>
  <dcterms:created xsi:type="dcterms:W3CDTF">2021-05-23T15:32:00Z</dcterms:created>
  <dcterms:modified xsi:type="dcterms:W3CDTF">2021-05-23T22:57:00Z</dcterms:modified>
</cp:coreProperties>
</file>