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F5A02D" w14:textId="77777777" w:rsidR="00D048EC" w:rsidRPr="00D048EC" w:rsidRDefault="00D048EC" w:rsidP="00D048EC">
      <w:pPr>
        <w:spacing w:before="80" w:after="80"/>
        <w:jc w:val="center"/>
        <w:rPr>
          <w:rFonts w:ascii="Arial" w:hAnsi="Arial" w:cs="Arial"/>
          <w:color w:val="000000" w:themeColor="text1"/>
        </w:rPr>
      </w:pPr>
    </w:p>
    <w:p w14:paraId="130EA5C2" w14:textId="77777777" w:rsidR="00D048EC" w:rsidRPr="00D048EC" w:rsidRDefault="00D048EC" w:rsidP="00D048EC">
      <w:pPr>
        <w:spacing w:before="160" w:after="80"/>
        <w:jc w:val="center"/>
        <w:rPr>
          <w:rFonts w:ascii="Arial" w:hAnsi="Arial" w:cs="Arial"/>
          <w:color w:val="000000" w:themeColor="text1"/>
        </w:rPr>
      </w:pPr>
      <w:r w:rsidRPr="00D048EC">
        <w:rPr>
          <w:rFonts w:ascii="Arial" w:hAnsi="Arial" w:cs="Arial"/>
          <w:noProof/>
          <w:color w:val="000000" w:themeColor="text1"/>
        </w:rPr>
        <w:drawing>
          <wp:inline distT="0" distB="0" distL="0" distR="0" wp14:anchorId="199742A9" wp14:editId="5AE5091C">
            <wp:extent cx="1428750" cy="1428750"/>
            <wp:effectExtent l="0" t="0" r="0" b="0"/>
            <wp:docPr id="1202536335" name="Picture 1202536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1428750" cy="1428750"/>
                    </a:xfrm>
                    <a:prstGeom prst="rect">
                      <a:avLst/>
                    </a:prstGeom>
                  </pic:spPr>
                </pic:pic>
              </a:graphicData>
            </a:graphic>
          </wp:inline>
        </w:drawing>
      </w:r>
    </w:p>
    <w:p w14:paraId="33F9BAED" w14:textId="77777777" w:rsidR="00D048EC" w:rsidRPr="00D048EC" w:rsidRDefault="00D048EC" w:rsidP="00D048EC">
      <w:pPr>
        <w:spacing w:before="80" w:after="80"/>
        <w:jc w:val="center"/>
        <w:rPr>
          <w:rFonts w:ascii="Arial" w:hAnsi="Arial" w:cs="Arial"/>
          <w:color w:val="000000" w:themeColor="text1"/>
        </w:rPr>
      </w:pPr>
    </w:p>
    <w:p w14:paraId="6FAC3EE4" w14:textId="3F582F4A" w:rsidR="00D048EC" w:rsidRPr="00D048EC" w:rsidRDefault="00D048EC" w:rsidP="00D048EC">
      <w:pPr>
        <w:spacing w:before="80" w:after="80"/>
        <w:jc w:val="center"/>
        <w:rPr>
          <w:rFonts w:ascii="Arial" w:hAnsi="Arial" w:cs="Arial"/>
          <w:color w:val="000000" w:themeColor="text1"/>
        </w:rPr>
      </w:pPr>
      <w:r w:rsidRPr="00D048EC">
        <w:rPr>
          <w:rFonts w:ascii="Arial" w:hAnsi="Arial" w:cs="Arial"/>
          <w:b/>
          <w:bCs/>
          <w:color w:val="000000" w:themeColor="text1"/>
        </w:rPr>
        <w:t>University of Wales Trinity Saint David (UWTSD)</w:t>
      </w:r>
    </w:p>
    <w:p w14:paraId="69C3925C" w14:textId="77777777" w:rsidR="00D048EC" w:rsidRPr="00D048EC" w:rsidRDefault="00D048EC" w:rsidP="00D048EC">
      <w:pPr>
        <w:spacing w:before="80" w:after="80"/>
        <w:jc w:val="center"/>
        <w:rPr>
          <w:rFonts w:ascii="Arial" w:hAnsi="Arial" w:cs="Arial"/>
          <w:color w:val="000000" w:themeColor="text1"/>
        </w:rPr>
      </w:pPr>
    </w:p>
    <w:p w14:paraId="2D907674" w14:textId="20E6BC04" w:rsidR="00D048EC" w:rsidRPr="00D048EC" w:rsidRDefault="00D048EC" w:rsidP="00D048EC">
      <w:pPr>
        <w:jc w:val="center"/>
        <w:rPr>
          <w:rFonts w:ascii="Arial" w:hAnsi="Arial" w:cs="Arial"/>
          <w:b/>
          <w:bCs/>
          <w:color w:val="000000" w:themeColor="text1"/>
        </w:rPr>
      </w:pPr>
      <w:r w:rsidRPr="00D048EC">
        <w:rPr>
          <w:rFonts w:ascii="Arial" w:hAnsi="Arial" w:cs="Arial"/>
          <w:b/>
          <w:bCs/>
          <w:color w:val="000000" w:themeColor="text1"/>
        </w:rPr>
        <w:t>Module code and Name: LCHS7003</w:t>
      </w:r>
      <w:r w:rsidRPr="00D048EC">
        <w:rPr>
          <w:rFonts w:ascii="Arial" w:hAnsi="Arial" w:cs="Arial"/>
          <w:b/>
          <w:bCs/>
          <w:color w:val="000000" w:themeColor="text1"/>
        </w:rPr>
        <w:t xml:space="preserve"> </w:t>
      </w:r>
      <w:r w:rsidRPr="00D048EC">
        <w:rPr>
          <w:rFonts w:ascii="Arial" w:hAnsi="Arial" w:cs="Arial"/>
          <w:b/>
          <w:bCs/>
          <w:color w:val="000000" w:themeColor="text1"/>
        </w:rPr>
        <w:t>Community Care and Management of Longer-term Conditions</w:t>
      </w:r>
    </w:p>
    <w:p w14:paraId="1A1D1350" w14:textId="77777777" w:rsidR="00D048EC" w:rsidRPr="00D048EC" w:rsidRDefault="00D048EC" w:rsidP="00D048EC">
      <w:pPr>
        <w:jc w:val="center"/>
        <w:rPr>
          <w:rFonts w:ascii="Arial" w:hAnsi="Arial" w:cs="Arial"/>
          <w:b/>
          <w:bCs/>
          <w:color w:val="000000" w:themeColor="text1"/>
        </w:rPr>
      </w:pPr>
    </w:p>
    <w:p w14:paraId="45A671AE" w14:textId="4D009AA5" w:rsidR="00D048EC" w:rsidRPr="00D048EC" w:rsidRDefault="00D048EC" w:rsidP="00D048EC">
      <w:pPr>
        <w:jc w:val="center"/>
        <w:rPr>
          <w:rFonts w:ascii="Arial" w:hAnsi="Arial" w:cs="Arial"/>
          <w:b/>
          <w:bCs/>
          <w:color w:val="000000" w:themeColor="text1"/>
        </w:rPr>
      </w:pPr>
      <w:r w:rsidRPr="00D048EC">
        <w:rPr>
          <w:rFonts w:ascii="Arial" w:hAnsi="Arial" w:cs="Arial"/>
          <w:b/>
          <w:bCs/>
          <w:color w:val="000000" w:themeColor="text1"/>
        </w:rPr>
        <w:t xml:space="preserve">Assessment Title: Chronic kidney disease (CKD) </w:t>
      </w:r>
    </w:p>
    <w:p w14:paraId="1D63F375" w14:textId="4E03B4A2" w:rsidR="00D048EC" w:rsidRPr="00D048EC" w:rsidRDefault="00D048EC" w:rsidP="00D048EC">
      <w:pPr>
        <w:jc w:val="center"/>
        <w:rPr>
          <w:rFonts w:ascii="Arial" w:hAnsi="Arial" w:cs="Arial"/>
          <w:b/>
          <w:bCs/>
          <w:color w:val="000000" w:themeColor="text1"/>
        </w:rPr>
      </w:pPr>
      <w:r w:rsidRPr="00D048EC">
        <w:rPr>
          <w:rFonts w:ascii="Arial" w:hAnsi="Arial" w:cs="Arial"/>
          <w:b/>
          <w:bCs/>
          <w:color w:val="000000" w:themeColor="text1"/>
        </w:rPr>
        <w:t xml:space="preserve">Student Name: </w:t>
      </w:r>
      <w:r w:rsidRPr="00D048EC">
        <w:rPr>
          <w:rFonts w:ascii="Arial" w:hAnsi="Arial" w:cs="Arial"/>
          <w:b/>
          <w:bCs/>
          <w:color w:val="000000" w:themeColor="text1"/>
        </w:rPr>
        <w:t>Mohammed Amaan</w:t>
      </w:r>
    </w:p>
    <w:p w14:paraId="1E7FA1C7" w14:textId="77777777" w:rsidR="00D048EC" w:rsidRPr="00D048EC" w:rsidRDefault="00D048EC" w:rsidP="00D048EC">
      <w:pPr>
        <w:jc w:val="center"/>
        <w:rPr>
          <w:rFonts w:ascii="Arial" w:hAnsi="Arial" w:cs="Arial"/>
          <w:b/>
          <w:bCs/>
          <w:color w:val="000000" w:themeColor="text1"/>
        </w:rPr>
      </w:pPr>
    </w:p>
    <w:p w14:paraId="216E13B4" w14:textId="03908AC4" w:rsidR="00D048EC" w:rsidRPr="00D048EC" w:rsidRDefault="00D048EC" w:rsidP="00D048EC">
      <w:pPr>
        <w:jc w:val="center"/>
        <w:rPr>
          <w:rFonts w:ascii="Arial" w:hAnsi="Arial" w:cs="Arial"/>
          <w:b/>
          <w:bCs/>
          <w:color w:val="000000" w:themeColor="text1"/>
        </w:rPr>
      </w:pPr>
      <w:r w:rsidRPr="00D048EC">
        <w:rPr>
          <w:rFonts w:ascii="Arial" w:hAnsi="Arial" w:cs="Arial"/>
          <w:b/>
          <w:bCs/>
          <w:color w:val="000000" w:themeColor="text1"/>
        </w:rPr>
        <w:t>Student ID: 26</w:t>
      </w:r>
      <w:r w:rsidRPr="00D048EC">
        <w:rPr>
          <w:rFonts w:ascii="Arial" w:hAnsi="Arial" w:cs="Arial"/>
          <w:b/>
          <w:bCs/>
          <w:color w:val="000000" w:themeColor="text1"/>
        </w:rPr>
        <w:t>12142</w:t>
      </w:r>
    </w:p>
    <w:p w14:paraId="16F6B403" w14:textId="77777777" w:rsidR="00D048EC" w:rsidRPr="00D048EC" w:rsidRDefault="00D048EC" w:rsidP="00D048EC">
      <w:pPr>
        <w:rPr>
          <w:rFonts w:ascii="Arial" w:hAnsi="Arial" w:cs="Arial"/>
          <w:color w:val="000000" w:themeColor="text1"/>
        </w:rPr>
      </w:pPr>
    </w:p>
    <w:p w14:paraId="673AE430" w14:textId="77777777" w:rsidR="00D048EC" w:rsidRPr="00D048EC" w:rsidRDefault="00D048EC">
      <w:pPr>
        <w:spacing w:after="200"/>
        <w:rPr>
          <w:rFonts w:ascii="Arial" w:hAnsi="Arial" w:cs="Arial"/>
          <w:color w:val="000000" w:themeColor="text1"/>
        </w:rPr>
      </w:pPr>
    </w:p>
    <w:p w14:paraId="0F6FCE83" w14:textId="77777777" w:rsidR="00D048EC" w:rsidRPr="00D048EC" w:rsidRDefault="00D048EC">
      <w:pPr>
        <w:spacing w:after="200"/>
        <w:rPr>
          <w:rFonts w:ascii="Arial" w:hAnsi="Arial" w:cs="Arial"/>
          <w:color w:val="000000" w:themeColor="text1"/>
        </w:rPr>
      </w:pPr>
    </w:p>
    <w:p w14:paraId="1CAA2F9A" w14:textId="77777777" w:rsidR="00D048EC" w:rsidRPr="00D048EC" w:rsidRDefault="00D048EC">
      <w:pPr>
        <w:spacing w:after="200"/>
        <w:rPr>
          <w:rFonts w:ascii="Arial" w:hAnsi="Arial" w:cs="Arial"/>
          <w:color w:val="000000" w:themeColor="text1"/>
        </w:rPr>
      </w:pPr>
    </w:p>
    <w:p w14:paraId="0136ED89" w14:textId="77777777" w:rsidR="00D048EC" w:rsidRPr="00D048EC" w:rsidRDefault="00D048EC">
      <w:pPr>
        <w:spacing w:after="200"/>
        <w:rPr>
          <w:rFonts w:ascii="Arial" w:hAnsi="Arial" w:cs="Arial"/>
          <w:color w:val="000000" w:themeColor="text1"/>
        </w:rPr>
      </w:pPr>
    </w:p>
    <w:p w14:paraId="38B06A50" w14:textId="77777777" w:rsidR="00D048EC" w:rsidRPr="00D048EC" w:rsidRDefault="00D048EC">
      <w:pPr>
        <w:spacing w:after="200"/>
        <w:rPr>
          <w:rFonts w:ascii="Arial" w:hAnsi="Arial" w:cs="Arial"/>
          <w:color w:val="000000" w:themeColor="text1"/>
        </w:rPr>
      </w:pPr>
    </w:p>
    <w:p w14:paraId="76503F0F" w14:textId="77777777" w:rsidR="00D048EC" w:rsidRPr="00D048EC" w:rsidRDefault="00D048EC">
      <w:pPr>
        <w:spacing w:after="200"/>
        <w:rPr>
          <w:rFonts w:ascii="Arial" w:hAnsi="Arial" w:cs="Arial"/>
          <w:color w:val="000000" w:themeColor="text1"/>
        </w:rPr>
      </w:pPr>
    </w:p>
    <w:p w14:paraId="55EA854C" w14:textId="77777777" w:rsidR="00D048EC" w:rsidRPr="00D048EC" w:rsidRDefault="00D048EC">
      <w:pPr>
        <w:spacing w:after="200"/>
        <w:rPr>
          <w:rFonts w:ascii="Arial" w:hAnsi="Arial" w:cs="Arial"/>
          <w:color w:val="000000" w:themeColor="text1"/>
        </w:rPr>
      </w:pPr>
    </w:p>
    <w:p w14:paraId="5F78ED05" w14:textId="77777777" w:rsidR="00D048EC" w:rsidRPr="00D048EC" w:rsidRDefault="00D048EC">
      <w:pPr>
        <w:spacing w:after="200"/>
        <w:rPr>
          <w:rFonts w:ascii="Arial" w:hAnsi="Arial" w:cs="Arial"/>
          <w:color w:val="000000" w:themeColor="text1"/>
        </w:rPr>
      </w:pPr>
    </w:p>
    <w:p w14:paraId="035BACD8" w14:textId="77777777" w:rsidR="00D048EC" w:rsidRPr="00D048EC" w:rsidRDefault="00D048EC">
      <w:pPr>
        <w:spacing w:after="200"/>
        <w:rPr>
          <w:rFonts w:ascii="Arial" w:hAnsi="Arial" w:cs="Arial"/>
          <w:color w:val="000000" w:themeColor="text1"/>
        </w:rPr>
      </w:pPr>
    </w:p>
    <w:p w14:paraId="527EF264" w14:textId="77777777" w:rsidR="00D048EC" w:rsidRPr="00D048EC" w:rsidRDefault="00D048EC">
      <w:pPr>
        <w:spacing w:after="200"/>
        <w:rPr>
          <w:rFonts w:ascii="Arial" w:hAnsi="Arial" w:cs="Arial"/>
          <w:color w:val="000000" w:themeColor="text1"/>
        </w:rPr>
      </w:pPr>
    </w:p>
    <w:p w14:paraId="25915D88" w14:textId="77777777" w:rsidR="00D048EC" w:rsidRPr="00D048EC" w:rsidRDefault="00D048EC">
      <w:pPr>
        <w:spacing w:after="200"/>
        <w:rPr>
          <w:rFonts w:ascii="Arial" w:hAnsi="Arial" w:cs="Arial"/>
          <w:color w:val="000000" w:themeColor="text1"/>
        </w:rPr>
      </w:pPr>
    </w:p>
    <w:p w14:paraId="168DCF64" w14:textId="77777777" w:rsidR="00D048EC" w:rsidRPr="00D048EC" w:rsidRDefault="00D048EC">
      <w:pPr>
        <w:spacing w:after="200"/>
        <w:rPr>
          <w:rFonts w:ascii="Arial" w:hAnsi="Arial" w:cs="Arial"/>
          <w:color w:val="000000" w:themeColor="text1"/>
        </w:rPr>
      </w:pPr>
    </w:p>
    <w:p w14:paraId="6BE561E6" w14:textId="77777777" w:rsidR="00D048EC" w:rsidRPr="00D048EC" w:rsidRDefault="00D048EC">
      <w:pPr>
        <w:spacing w:after="200"/>
        <w:rPr>
          <w:rFonts w:ascii="Arial" w:hAnsi="Arial" w:cs="Arial"/>
          <w:color w:val="000000" w:themeColor="text1"/>
        </w:rPr>
      </w:pPr>
    </w:p>
    <w:p w14:paraId="7183F95D" w14:textId="77777777" w:rsidR="00D048EC" w:rsidRPr="00D048EC" w:rsidRDefault="00D048EC">
      <w:pPr>
        <w:spacing w:after="200"/>
        <w:rPr>
          <w:rFonts w:ascii="Arial" w:hAnsi="Arial" w:cs="Arial"/>
          <w:color w:val="000000" w:themeColor="text1"/>
        </w:rPr>
      </w:pPr>
    </w:p>
    <w:p w14:paraId="49DAB061" w14:textId="77777777" w:rsidR="00D048EC" w:rsidRPr="00D048EC" w:rsidRDefault="00D048EC">
      <w:pPr>
        <w:spacing w:after="200"/>
        <w:rPr>
          <w:rFonts w:ascii="Arial" w:hAnsi="Arial" w:cs="Arial"/>
          <w:color w:val="000000" w:themeColor="text1"/>
        </w:rPr>
      </w:pPr>
    </w:p>
    <w:p w14:paraId="44B7FF2E" w14:textId="77777777" w:rsidR="00D048EC" w:rsidRPr="00D048EC" w:rsidRDefault="00D048EC">
      <w:pPr>
        <w:spacing w:after="200"/>
        <w:rPr>
          <w:rFonts w:ascii="Arial" w:hAnsi="Arial" w:cs="Arial"/>
          <w:color w:val="000000" w:themeColor="text1"/>
        </w:rPr>
      </w:pPr>
    </w:p>
    <w:p w14:paraId="6C41EFA2" w14:textId="77777777" w:rsidR="00D048EC" w:rsidRPr="00D048EC" w:rsidRDefault="00D048EC">
      <w:pPr>
        <w:spacing w:after="200"/>
        <w:rPr>
          <w:rFonts w:ascii="Arial" w:hAnsi="Arial" w:cs="Arial"/>
          <w:color w:val="000000" w:themeColor="text1"/>
        </w:rPr>
      </w:pPr>
    </w:p>
    <w:p w14:paraId="7D0DEBD5" w14:textId="77777777" w:rsidR="00D048EC" w:rsidRPr="00D048EC" w:rsidRDefault="00D048EC">
      <w:pPr>
        <w:spacing w:after="200"/>
        <w:rPr>
          <w:rFonts w:ascii="Arial" w:hAnsi="Arial" w:cs="Arial"/>
          <w:color w:val="000000" w:themeColor="text1"/>
        </w:rPr>
      </w:pPr>
    </w:p>
    <w:p w14:paraId="6EA3C064" w14:textId="77777777" w:rsidR="00D048EC" w:rsidRPr="00D048EC" w:rsidRDefault="00D048EC">
      <w:pPr>
        <w:spacing w:after="200"/>
        <w:rPr>
          <w:rFonts w:ascii="Arial" w:hAnsi="Arial" w:cs="Arial"/>
          <w:color w:val="000000" w:themeColor="text1"/>
        </w:rPr>
      </w:pPr>
    </w:p>
    <w:p w14:paraId="1D08B61F" w14:textId="77777777" w:rsidR="00D048EC" w:rsidRPr="00D048EC" w:rsidRDefault="00D048EC">
      <w:pPr>
        <w:spacing w:after="200"/>
        <w:rPr>
          <w:rFonts w:ascii="Arial" w:hAnsi="Arial" w:cs="Arial"/>
          <w:color w:val="000000" w:themeColor="text1"/>
        </w:rPr>
      </w:pPr>
    </w:p>
    <w:p w14:paraId="09D48A27" w14:textId="77777777" w:rsidR="00D048EC" w:rsidRPr="00D048EC" w:rsidRDefault="00D048EC">
      <w:pPr>
        <w:spacing w:after="200"/>
        <w:rPr>
          <w:rFonts w:ascii="Arial" w:hAnsi="Arial" w:cs="Arial"/>
          <w:color w:val="000000" w:themeColor="text1"/>
        </w:rPr>
      </w:pPr>
    </w:p>
    <w:p w14:paraId="48224DEA" w14:textId="723F84BF" w:rsidR="00B35613" w:rsidRPr="00D048EC" w:rsidRDefault="00000000">
      <w:pPr>
        <w:spacing w:after="200"/>
        <w:rPr>
          <w:rFonts w:ascii="Arial" w:hAnsi="Arial" w:cs="Arial"/>
          <w:color w:val="000000" w:themeColor="text1"/>
        </w:rPr>
      </w:pPr>
      <w:r w:rsidRPr="00D048EC">
        <w:rPr>
          <w:rFonts w:ascii="Arial" w:hAnsi="Arial" w:cs="Arial"/>
          <w:b/>
          <w:bCs/>
          <w:color w:val="000000" w:themeColor="text1"/>
          <w:sz w:val="36"/>
          <w:szCs w:val="36"/>
        </w:rPr>
        <w:t>Contents</w:t>
      </w:r>
    </w:p>
    <w:p w14:paraId="6713EA0E" w14:textId="77777777" w:rsidR="00B35613" w:rsidRPr="00D048EC" w:rsidRDefault="00000000">
      <w:pPr>
        <w:tabs>
          <w:tab w:val="right" w:leader="dot" w:pos="9026"/>
        </w:tabs>
        <w:spacing w:after="60" w:line="360" w:lineRule="auto"/>
        <w:rPr>
          <w:rFonts w:ascii="Arial" w:hAnsi="Arial" w:cs="Arial"/>
          <w:color w:val="000000" w:themeColor="text1"/>
        </w:rPr>
      </w:pPr>
      <w:r w:rsidRPr="00D048EC">
        <w:rPr>
          <w:rFonts w:ascii="Arial" w:hAnsi="Arial" w:cs="Arial"/>
          <w:color w:val="000000" w:themeColor="text1"/>
        </w:rPr>
        <w:t>1. Introduction</w:t>
      </w:r>
      <w:r w:rsidRPr="00D048EC">
        <w:rPr>
          <w:rFonts w:ascii="Arial" w:hAnsi="Arial" w:cs="Arial"/>
          <w:color w:val="000000" w:themeColor="text1"/>
        </w:rPr>
        <w:tab/>
        <w:t>3</w:t>
      </w:r>
    </w:p>
    <w:p w14:paraId="020706C3" w14:textId="77777777" w:rsidR="00B35613" w:rsidRPr="00D048EC" w:rsidRDefault="00000000">
      <w:pPr>
        <w:tabs>
          <w:tab w:val="right" w:leader="dot" w:pos="9026"/>
        </w:tabs>
        <w:spacing w:after="60" w:line="360" w:lineRule="auto"/>
        <w:rPr>
          <w:rFonts w:ascii="Arial" w:hAnsi="Arial" w:cs="Arial"/>
          <w:color w:val="000000" w:themeColor="text1"/>
        </w:rPr>
      </w:pPr>
      <w:r w:rsidRPr="00D048EC">
        <w:rPr>
          <w:rFonts w:ascii="Arial" w:hAnsi="Arial" w:cs="Arial"/>
          <w:color w:val="000000" w:themeColor="text1"/>
        </w:rPr>
        <w:t>2. Understanding chronic kidney disease</w:t>
      </w:r>
      <w:r w:rsidRPr="00D048EC">
        <w:rPr>
          <w:rFonts w:ascii="Arial" w:hAnsi="Arial" w:cs="Arial"/>
          <w:color w:val="000000" w:themeColor="text1"/>
        </w:rPr>
        <w:tab/>
        <w:t>3</w:t>
      </w:r>
    </w:p>
    <w:p w14:paraId="629B1AFD" w14:textId="77777777" w:rsidR="00B35613" w:rsidRPr="00D048EC" w:rsidRDefault="00000000">
      <w:pPr>
        <w:tabs>
          <w:tab w:val="right" w:leader="dot" w:pos="9026"/>
        </w:tabs>
        <w:spacing w:after="60" w:line="360" w:lineRule="auto"/>
        <w:rPr>
          <w:rFonts w:ascii="Arial" w:hAnsi="Arial" w:cs="Arial"/>
          <w:color w:val="000000" w:themeColor="text1"/>
        </w:rPr>
      </w:pPr>
      <w:r w:rsidRPr="00D048EC">
        <w:rPr>
          <w:rFonts w:ascii="Arial" w:hAnsi="Arial" w:cs="Arial"/>
          <w:color w:val="000000" w:themeColor="text1"/>
        </w:rPr>
        <w:t>3. Why CKD matters: the scale of the problem</w:t>
      </w:r>
      <w:r w:rsidRPr="00D048EC">
        <w:rPr>
          <w:rFonts w:ascii="Arial" w:hAnsi="Arial" w:cs="Arial"/>
          <w:color w:val="000000" w:themeColor="text1"/>
        </w:rPr>
        <w:tab/>
        <w:t>4</w:t>
      </w:r>
    </w:p>
    <w:p w14:paraId="736745EF" w14:textId="77777777" w:rsidR="00B35613" w:rsidRPr="00D048EC" w:rsidRDefault="00000000">
      <w:pPr>
        <w:tabs>
          <w:tab w:val="right" w:leader="dot" w:pos="9026"/>
        </w:tabs>
        <w:spacing w:after="60" w:line="360" w:lineRule="auto"/>
        <w:rPr>
          <w:rFonts w:ascii="Arial" w:hAnsi="Arial" w:cs="Arial"/>
          <w:color w:val="000000" w:themeColor="text1"/>
        </w:rPr>
      </w:pPr>
      <w:r w:rsidRPr="00D048EC">
        <w:rPr>
          <w:rFonts w:ascii="Arial" w:hAnsi="Arial" w:cs="Arial"/>
          <w:color w:val="000000" w:themeColor="text1"/>
        </w:rPr>
        <w:t>4. Causes and risk factors</w:t>
      </w:r>
      <w:r w:rsidRPr="00D048EC">
        <w:rPr>
          <w:rFonts w:ascii="Arial" w:hAnsi="Arial" w:cs="Arial"/>
          <w:color w:val="000000" w:themeColor="text1"/>
        </w:rPr>
        <w:tab/>
        <w:t>5</w:t>
      </w:r>
    </w:p>
    <w:p w14:paraId="5BF2D37D" w14:textId="77777777" w:rsidR="00B35613" w:rsidRPr="00D048EC" w:rsidRDefault="00000000">
      <w:pPr>
        <w:tabs>
          <w:tab w:val="right" w:leader="dot" w:pos="9026"/>
        </w:tabs>
        <w:spacing w:after="60" w:line="360" w:lineRule="auto"/>
        <w:rPr>
          <w:rFonts w:ascii="Arial" w:hAnsi="Arial" w:cs="Arial"/>
          <w:color w:val="000000" w:themeColor="text1"/>
        </w:rPr>
      </w:pPr>
      <w:r w:rsidRPr="00D048EC">
        <w:rPr>
          <w:rFonts w:ascii="Arial" w:hAnsi="Arial" w:cs="Arial"/>
          <w:color w:val="000000" w:themeColor="text1"/>
        </w:rPr>
        <w:t>5. Detecting CKD</w:t>
      </w:r>
      <w:r w:rsidRPr="00D048EC">
        <w:rPr>
          <w:rFonts w:ascii="Arial" w:hAnsi="Arial" w:cs="Arial"/>
          <w:color w:val="000000" w:themeColor="text1"/>
        </w:rPr>
        <w:tab/>
        <w:t>6</w:t>
      </w:r>
    </w:p>
    <w:p w14:paraId="0DA85162" w14:textId="77777777" w:rsidR="00B35613" w:rsidRPr="00D048EC" w:rsidRDefault="00000000">
      <w:pPr>
        <w:tabs>
          <w:tab w:val="right" w:leader="dot" w:pos="9026"/>
        </w:tabs>
        <w:spacing w:after="60" w:line="360" w:lineRule="auto"/>
        <w:rPr>
          <w:rFonts w:ascii="Arial" w:hAnsi="Arial" w:cs="Arial"/>
          <w:color w:val="000000" w:themeColor="text1"/>
        </w:rPr>
      </w:pPr>
      <w:r w:rsidRPr="00D048EC">
        <w:rPr>
          <w:rFonts w:ascii="Arial" w:hAnsi="Arial" w:cs="Arial"/>
          <w:color w:val="000000" w:themeColor="text1"/>
        </w:rPr>
        <w:t>6. Treating and slowing CKD</w:t>
      </w:r>
      <w:r w:rsidRPr="00D048EC">
        <w:rPr>
          <w:rFonts w:ascii="Arial" w:hAnsi="Arial" w:cs="Arial"/>
          <w:color w:val="000000" w:themeColor="text1"/>
        </w:rPr>
        <w:tab/>
        <w:t>7</w:t>
      </w:r>
    </w:p>
    <w:p w14:paraId="0D46D075" w14:textId="77777777" w:rsidR="00B35613" w:rsidRPr="00D048EC" w:rsidRDefault="00000000">
      <w:pPr>
        <w:tabs>
          <w:tab w:val="right" w:leader="dot" w:pos="9026"/>
        </w:tabs>
        <w:spacing w:after="60" w:line="360" w:lineRule="auto"/>
        <w:rPr>
          <w:rFonts w:ascii="Arial" w:hAnsi="Arial" w:cs="Arial"/>
          <w:color w:val="000000" w:themeColor="text1"/>
        </w:rPr>
      </w:pPr>
      <w:r w:rsidRPr="00D048EC">
        <w:rPr>
          <w:rFonts w:ascii="Arial" w:hAnsi="Arial" w:cs="Arial"/>
          <w:color w:val="000000" w:themeColor="text1"/>
        </w:rPr>
        <w:t>7. Chronic disease models applied to CKD</w:t>
      </w:r>
      <w:r w:rsidRPr="00D048EC">
        <w:rPr>
          <w:rFonts w:ascii="Arial" w:hAnsi="Arial" w:cs="Arial"/>
          <w:color w:val="000000" w:themeColor="text1"/>
        </w:rPr>
        <w:tab/>
        <w:t>8</w:t>
      </w:r>
    </w:p>
    <w:p w14:paraId="70B7C04A" w14:textId="77777777" w:rsidR="00B35613" w:rsidRPr="00D048EC" w:rsidRDefault="00000000">
      <w:pPr>
        <w:tabs>
          <w:tab w:val="right" w:leader="dot" w:pos="9026"/>
        </w:tabs>
        <w:spacing w:after="60" w:line="360" w:lineRule="auto"/>
        <w:rPr>
          <w:rFonts w:ascii="Arial" w:hAnsi="Arial" w:cs="Arial"/>
          <w:color w:val="000000" w:themeColor="text1"/>
        </w:rPr>
      </w:pPr>
      <w:r w:rsidRPr="00D048EC">
        <w:rPr>
          <w:rFonts w:ascii="Arial" w:hAnsi="Arial" w:cs="Arial"/>
          <w:color w:val="000000" w:themeColor="text1"/>
        </w:rPr>
        <w:t>8. Living with CKD: self-management and health literacy</w:t>
      </w:r>
      <w:r w:rsidRPr="00D048EC">
        <w:rPr>
          <w:rFonts w:ascii="Arial" w:hAnsi="Arial" w:cs="Arial"/>
          <w:color w:val="000000" w:themeColor="text1"/>
        </w:rPr>
        <w:tab/>
        <w:t>10</w:t>
      </w:r>
    </w:p>
    <w:p w14:paraId="5458C208" w14:textId="77777777" w:rsidR="00B35613" w:rsidRPr="00D048EC" w:rsidRDefault="00000000">
      <w:pPr>
        <w:tabs>
          <w:tab w:val="right" w:leader="dot" w:pos="9026"/>
        </w:tabs>
        <w:spacing w:after="60" w:line="360" w:lineRule="auto"/>
        <w:rPr>
          <w:rFonts w:ascii="Arial" w:hAnsi="Arial" w:cs="Arial"/>
          <w:color w:val="000000" w:themeColor="text1"/>
        </w:rPr>
      </w:pPr>
      <w:r w:rsidRPr="00D048EC">
        <w:rPr>
          <w:rFonts w:ascii="Arial" w:hAnsi="Arial" w:cs="Arial"/>
          <w:color w:val="000000" w:themeColor="text1"/>
        </w:rPr>
        <w:t>9. Advanced CKD and kidney failure</w:t>
      </w:r>
      <w:r w:rsidRPr="00D048EC">
        <w:rPr>
          <w:rFonts w:ascii="Arial" w:hAnsi="Arial" w:cs="Arial"/>
          <w:color w:val="000000" w:themeColor="text1"/>
        </w:rPr>
        <w:tab/>
        <w:t>11</w:t>
      </w:r>
    </w:p>
    <w:p w14:paraId="6C187D27" w14:textId="77777777" w:rsidR="00B35613" w:rsidRPr="00D048EC" w:rsidRDefault="00000000">
      <w:pPr>
        <w:tabs>
          <w:tab w:val="right" w:leader="dot" w:pos="9026"/>
        </w:tabs>
        <w:spacing w:after="60" w:line="360" w:lineRule="auto"/>
        <w:rPr>
          <w:rFonts w:ascii="Arial" w:hAnsi="Arial" w:cs="Arial"/>
          <w:color w:val="000000" w:themeColor="text1"/>
        </w:rPr>
      </w:pPr>
      <w:r w:rsidRPr="00D048EC">
        <w:rPr>
          <w:rFonts w:ascii="Arial" w:hAnsi="Arial" w:cs="Arial"/>
          <w:color w:val="000000" w:themeColor="text1"/>
        </w:rPr>
        <w:t>10. Policy and system perspectives</w:t>
      </w:r>
      <w:r w:rsidRPr="00D048EC">
        <w:rPr>
          <w:rFonts w:ascii="Arial" w:hAnsi="Arial" w:cs="Arial"/>
          <w:color w:val="000000" w:themeColor="text1"/>
        </w:rPr>
        <w:tab/>
        <w:t>11</w:t>
      </w:r>
    </w:p>
    <w:p w14:paraId="02862F9E" w14:textId="77777777" w:rsidR="00B35613" w:rsidRPr="00D048EC" w:rsidRDefault="00000000">
      <w:pPr>
        <w:tabs>
          <w:tab w:val="right" w:leader="dot" w:pos="9026"/>
        </w:tabs>
        <w:spacing w:after="60" w:line="360" w:lineRule="auto"/>
        <w:rPr>
          <w:rFonts w:ascii="Arial" w:hAnsi="Arial" w:cs="Arial"/>
          <w:color w:val="000000" w:themeColor="text1"/>
        </w:rPr>
      </w:pPr>
      <w:r w:rsidRPr="00D048EC">
        <w:rPr>
          <w:rFonts w:ascii="Arial" w:hAnsi="Arial" w:cs="Arial"/>
          <w:color w:val="000000" w:themeColor="text1"/>
        </w:rPr>
        <w:t>11. Conclusions and recommendations</w:t>
      </w:r>
      <w:r w:rsidRPr="00D048EC">
        <w:rPr>
          <w:rFonts w:ascii="Arial" w:hAnsi="Arial" w:cs="Arial"/>
          <w:color w:val="000000" w:themeColor="text1"/>
        </w:rPr>
        <w:tab/>
        <w:t>12</w:t>
      </w:r>
    </w:p>
    <w:p w14:paraId="70DD69FB" w14:textId="77777777" w:rsidR="00B35613" w:rsidRPr="00D048EC" w:rsidRDefault="00000000">
      <w:pPr>
        <w:tabs>
          <w:tab w:val="right" w:leader="dot" w:pos="9026"/>
        </w:tabs>
        <w:spacing w:after="60" w:line="360" w:lineRule="auto"/>
        <w:rPr>
          <w:rFonts w:ascii="Arial" w:hAnsi="Arial" w:cs="Arial"/>
          <w:color w:val="000000" w:themeColor="text1"/>
        </w:rPr>
      </w:pPr>
      <w:r w:rsidRPr="00D048EC">
        <w:rPr>
          <w:rFonts w:ascii="Arial" w:hAnsi="Arial" w:cs="Arial"/>
          <w:color w:val="000000" w:themeColor="text1"/>
        </w:rPr>
        <w:t>12. Where to find support</w:t>
      </w:r>
      <w:r w:rsidRPr="00D048EC">
        <w:rPr>
          <w:rFonts w:ascii="Arial" w:hAnsi="Arial" w:cs="Arial"/>
          <w:color w:val="000000" w:themeColor="text1"/>
        </w:rPr>
        <w:tab/>
        <w:t>12</w:t>
      </w:r>
    </w:p>
    <w:p w14:paraId="7937BB1E" w14:textId="77777777" w:rsidR="00B35613" w:rsidRPr="00D048EC" w:rsidRDefault="00000000">
      <w:pPr>
        <w:tabs>
          <w:tab w:val="right" w:leader="dot" w:pos="9026"/>
        </w:tabs>
        <w:spacing w:after="60" w:line="360" w:lineRule="auto"/>
        <w:rPr>
          <w:rFonts w:ascii="Arial" w:hAnsi="Arial" w:cs="Arial"/>
          <w:color w:val="000000" w:themeColor="text1"/>
        </w:rPr>
      </w:pPr>
      <w:r w:rsidRPr="00D048EC">
        <w:rPr>
          <w:rFonts w:ascii="Arial" w:hAnsi="Arial" w:cs="Arial"/>
          <w:color w:val="000000" w:themeColor="text1"/>
        </w:rPr>
        <w:t>References</w:t>
      </w:r>
      <w:r w:rsidRPr="00D048EC">
        <w:rPr>
          <w:rFonts w:ascii="Arial" w:hAnsi="Arial" w:cs="Arial"/>
          <w:color w:val="000000" w:themeColor="text1"/>
        </w:rPr>
        <w:tab/>
        <w:t>13</w:t>
      </w:r>
    </w:p>
    <w:p w14:paraId="6A126542" w14:textId="77777777" w:rsidR="00B35613" w:rsidRPr="00D048EC" w:rsidRDefault="00000000">
      <w:pPr>
        <w:rPr>
          <w:rFonts w:ascii="Arial" w:hAnsi="Arial" w:cs="Arial"/>
          <w:color w:val="000000" w:themeColor="text1"/>
        </w:rPr>
      </w:pPr>
      <w:r w:rsidRPr="00D048EC">
        <w:rPr>
          <w:rFonts w:ascii="Arial" w:hAnsi="Arial" w:cs="Arial"/>
          <w:color w:val="000000" w:themeColor="text1"/>
        </w:rPr>
        <w:br w:type="page"/>
      </w:r>
    </w:p>
    <w:p w14:paraId="5EC37C73" w14:textId="77777777" w:rsidR="00B35613" w:rsidRPr="00D048EC" w:rsidRDefault="00000000">
      <w:pPr>
        <w:pStyle w:val="Heading1"/>
        <w:keepNext/>
        <w:spacing w:line="360" w:lineRule="auto"/>
        <w:rPr>
          <w:rFonts w:ascii="Arial" w:hAnsi="Arial" w:cs="Arial"/>
          <w:color w:val="000000" w:themeColor="text1"/>
        </w:rPr>
      </w:pPr>
      <w:r w:rsidRPr="00D048EC">
        <w:rPr>
          <w:rFonts w:ascii="Arial" w:hAnsi="Arial" w:cs="Arial"/>
          <w:color w:val="000000" w:themeColor="text1"/>
        </w:rPr>
        <w:lastRenderedPageBreak/>
        <w:t>1. Introduction</w:t>
      </w:r>
    </w:p>
    <w:p w14:paraId="0C8A4210" w14:textId="77777777" w:rsidR="00B35613" w:rsidRPr="00D048EC" w:rsidRDefault="00000000">
      <w:pPr>
        <w:spacing w:after="120" w:line="360" w:lineRule="auto"/>
        <w:jc w:val="both"/>
        <w:rPr>
          <w:rFonts w:ascii="Arial" w:hAnsi="Arial" w:cs="Arial"/>
          <w:color w:val="000000" w:themeColor="text1"/>
        </w:rPr>
      </w:pPr>
      <w:r w:rsidRPr="00D048EC">
        <w:rPr>
          <w:rFonts w:ascii="Arial" w:hAnsi="Arial" w:cs="Arial"/>
          <w:color w:val="000000" w:themeColor="text1"/>
        </w:rPr>
        <w:t>Chronic kidney disease (CKD) is a long-term condition in which the kidneys gradually lose their ability to filter waste and excess fluid from the blood. It is common, usually causes no symptoms in its early stages, and is closely linked with heart disease, so many people discover it late [1], [2]. This booklet is written for adults in the UK who are at risk of CKD, who have recently been diagnosed, or who support someone living with the condition.</w:t>
      </w:r>
    </w:p>
    <w:p w14:paraId="2F152413" w14:textId="77777777" w:rsidR="00B35613" w:rsidRPr="00D048EC" w:rsidRDefault="00000000">
      <w:pPr>
        <w:spacing w:after="120" w:line="360" w:lineRule="auto"/>
        <w:jc w:val="both"/>
        <w:rPr>
          <w:rFonts w:ascii="Arial" w:hAnsi="Arial" w:cs="Arial"/>
          <w:color w:val="000000" w:themeColor="text1"/>
        </w:rPr>
      </w:pPr>
      <w:r w:rsidRPr="00D048EC">
        <w:rPr>
          <w:rFonts w:ascii="Arial" w:hAnsi="Arial" w:cs="Arial"/>
          <w:color w:val="000000" w:themeColor="text1"/>
        </w:rPr>
        <w:t>It has three aims: to explain CKD in plain language, to summarise the strongest current evidence on detection and treatment, and to examine critically where evidence and health policy still leave gaps. Because health information only helps when people can understand and act on it [3], technical terms are explained when first used, key messages are boxed, and tables and figures appear where they clarify more than text. The evidence combines national guidelines [4], [5], large randomised trials, systematic reviews and UK policy reports. This booklet is for education and does not replace advice from your GP, pharmacist or kidney team.</w:t>
      </w:r>
    </w:p>
    <w:p w14:paraId="5915B296" w14:textId="77777777" w:rsidR="00B35613" w:rsidRPr="00D048EC" w:rsidRDefault="00000000">
      <w:pPr>
        <w:pStyle w:val="Heading1"/>
        <w:keepNext/>
        <w:spacing w:line="360" w:lineRule="auto"/>
        <w:rPr>
          <w:rFonts w:ascii="Arial" w:hAnsi="Arial" w:cs="Arial"/>
          <w:color w:val="000000" w:themeColor="text1"/>
        </w:rPr>
      </w:pPr>
      <w:r w:rsidRPr="00D048EC">
        <w:rPr>
          <w:rFonts w:ascii="Arial" w:hAnsi="Arial" w:cs="Arial"/>
          <w:color w:val="000000" w:themeColor="text1"/>
        </w:rPr>
        <w:t>2. Understanding chronic kidney disease</w:t>
      </w:r>
    </w:p>
    <w:p w14:paraId="3070FB7C" w14:textId="77777777" w:rsidR="00B35613" w:rsidRPr="00D048EC" w:rsidRDefault="00000000">
      <w:pPr>
        <w:pStyle w:val="Heading2"/>
        <w:keepNext/>
        <w:spacing w:line="360" w:lineRule="auto"/>
        <w:rPr>
          <w:rFonts w:ascii="Arial" w:hAnsi="Arial" w:cs="Arial"/>
          <w:color w:val="000000" w:themeColor="text1"/>
        </w:rPr>
      </w:pPr>
      <w:r w:rsidRPr="00D048EC">
        <w:rPr>
          <w:rFonts w:ascii="Arial" w:hAnsi="Arial" w:cs="Arial"/>
          <w:color w:val="000000" w:themeColor="text1"/>
        </w:rPr>
        <w:t>2.1 What the kidneys do</w:t>
      </w:r>
    </w:p>
    <w:p w14:paraId="796C9976" w14:textId="77777777" w:rsidR="00B35613" w:rsidRPr="00D048EC" w:rsidRDefault="00000000">
      <w:pPr>
        <w:spacing w:after="120" w:line="360" w:lineRule="auto"/>
        <w:jc w:val="both"/>
        <w:rPr>
          <w:rFonts w:ascii="Arial" w:hAnsi="Arial" w:cs="Arial"/>
          <w:color w:val="000000" w:themeColor="text1"/>
        </w:rPr>
      </w:pPr>
      <w:r w:rsidRPr="00D048EC">
        <w:rPr>
          <w:rFonts w:ascii="Arial" w:hAnsi="Arial" w:cs="Arial"/>
          <w:color w:val="000000" w:themeColor="text1"/>
        </w:rPr>
        <w:t>Most people have two kidneys, each about the size of a fist. Every day they filter the blood, remove waste, balance water and salts, help control blood pressure, and produce hormones that support red blood cell production and bone health [6], [7]. Because the kidneys have large spare capacity, a person can lose a substantial amount of function before feeling unwell, which is why CKD is often called a silent condition [8].</w:t>
      </w:r>
    </w:p>
    <w:p w14:paraId="564846C4" w14:textId="77777777" w:rsidR="00B35613" w:rsidRPr="00D048EC" w:rsidRDefault="00000000">
      <w:pPr>
        <w:pStyle w:val="Heading2"/>
        <w:keepNext/>
        <w:spacing w:line="360" w:lineRule="auto"/>
        <w:rPr>
          <w:rFonts w:ascii="Arial" w:hAnsi="Arial" w:cs="Arial"/>
          <w:color w:val="000000" w:themeColor="text1"/>
        </w:rPr>
      </w:pPr>
      <w:r w:rsidRPr="00D048EC">
        <w:rPr>
          <w:rFonts w:ascii="Arial" w:hAnsi="Arial" w:cs="Arial"/>
          <w:color w:val="000000" w:themeColor="text1"/>
        </w:rPr>
        <w:t>2.2 How CKD is defined and staged</w:t>
      </w:r>
    </w:p>
    <w:p w14:paraId="2DCFB3A2" w14:textId="77777777" w:rsidR="00B35613" w:rsidRPr="00D048EC" w:rsidRDefault="00000000">
      <w:pPr>
        <w:spacing w:after="120" w:line="360" w:lineRule="auto"/>
        <w:jc w:val="both"/>
        <w:rPr>
          <w:rFonts w:ascii="Arial" w:hAnsi="Arial" w:cs="Arial"/>
          <w:color w:val="000000" w:themeColor="text1"/>
        </w:rPr>
      </w:pPr>
      <w:r w:rsidRPr="00D048EC">
        <w:rPr>
          <w:rFonts w:ascii="Arial" w:hAnsi="Arial" w:cs="Arial"/>
          <w:color w:val="000000" w:themeColor="text1"/>
        </w:rPr>
        <w:t>CKD is diagnosed when kidney function is reduced, or kidney damage is evident, for more than three months [5], [4]. Two simple tests are central. The estimated glomerular filtration rate (eGFR) is calculated from a blood creatinine level and estimates how well the kidneys are filtering. The albumin-to-creatinine ratio (ACR) is a urine test that detects protein leaking through damaged kidney filters. Both matter because the risks of kidney failure, heart disease and death rise as eGFR falls and as ACR rises [9], [10]. Table 1 combines the two measures into the risk categories used in UK and international guidelines.</w:t>
      </w:r>
    </w:p>
    <w:p w14:paraId="142B0CF2" w14:textId="77777777" w:rsidR="00B35613" w:rsidRPr="00D048EC" w:rsidRDefault="00000000">
      <w:pPr>
        <w:keepNext/>
        <w:spacing w:before="120" w:after="80" w:line="276" w:lineRule="auto"/>
        <w:rPr>
          <w:rFonts w:ascii="Arial" w:hAnsi="Arial" w:cs="Arial"/>
          <w:color w:val="000000" w:themeColor="text1"/>
        </w:rPr>
      </w:pPr>
      <w:r w:rsidRPr="00D048EC">
        <w:rPr>
          <w:rFonts w:ascii="Arial" w:hAnsi="Arial" w:cs="Arial"/>
          <w:b/>
          <w:bCs/>
          <w:color w:val="000000" w:themeColor="text1"/>
        </w:rPr>
        <w:lastRenderedPageBreak/>
        <w:t>Table 1. CKD risk categories by eGFR and ACR. Adapted from KDIGO CKD Work Group [5].</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2"/>
        <w:gridCol w:w="2008"/>
        <w:gridCol w:w="2008"/>
        <w:gridCol w:w="2008"/>
      </w:tblGrid>
      <w:tr w:rsidR="00B35613" w:rsidRPr="00D048EC" w14:paraId="2F286245" w14:textId="77777777">
        <w:tblPrEx>
          <w:tblCellMar>
            <w:top w:w="0" w:type="dxa"/>
            <w:bottom w:w="0" w:type="dxa"/>
          </w:tblCellMar>
        </w:tblPrEx>
        <w:trPr>
          <w:tblHeader/>
        </w:trPr>
        <w:tc>
          <w:tcPr>
            <w:tcW w:w="3002" w:type="dxa"/>
            <w:tcBorders>
              <w:top w:val="single" w:sz="4" w:space="0" w:color="B7C9CC"/>
              <w:left w:val="single" w:sz="4" w:space="0" w:color="B7C9CC"/>
              <w:bottom w:val="single" w:sz="4" w:space="0" w:color="B7C9CC"/>
              <w:right w:val="single" w:sz="4" w:space="0" w:color="B7C9CC"/>
            </w:tcBorders>
            <w:shd w:val="clear" w:color="auto" w:fill="1F5F6B"/>
            <w:tcMar>
              <w:top w:w="60" w:type="dxa"/>
              <w:left w:w="110" w:type="dxa"/>
              <w:bottom w:w="60" w:type="dxa"/>
              <w:right w:w="110" w:type="dxa"/>
            </w:tcMar>
          </w:tcPr>
          <w:p w14:paraId="529C5124" w14:textId="77777777" w:rsidR="00B35613" w:rsidRPr="00D048EC" w:rsidRDefault="00000000">
            <w:pPr>
              <w:keepNext/>
              <w:spacing w:before="40" w:after="40" w:line="259" w:lineRule="auto"/>
              <w:rPr>
                <w:rFonts w:ascii="Arial" w:hAnsi="Arial" w:cs="Arial"/>
                <w:color w:val="000000" w:themeColor="text1"/>
              </w:rPr>
            </w:pPr>
            <w:r w:rsidRPr="00D048EC">
              <w:rPr>
                <w:rFonts w:ascii="Arial" w:hAnsi="Arial" w:cs="Arial"/>
                <w:b/>
                <w:bCs/>
                <w:color w:val="000000" w:themeColor="text1"/>
              </w:rPr>
              <w:t>eGFR category</w:t>
            </w:r>
          </w:p>
        </w:tc>
        <w:tc>
          <w:tcPr>
            <w:tcW w:w="2008" w:type="dxa"/>
            <w:tcBorders>
              <w:top w:val="single" w:sz="4" w:space="0" w:color="B7C9CC"/>
              <w:left w:val="single" w:sz="4" w:space="0" w:color="B7C9CC"/>
              <w:bottom w:val="single" w:sz="4" w:space="0" w:color="B7C9CC"/>
              <w:right w:val="single" w:sz="4" w:space="0" w:color="B7C9CC"/>
            </w:tcBorders>
            <w:shd w:val="clear" w:color="auto" w:fill="1F5F6B"/>
            <w:tcMar>
              <w:top w:w="60" w:type="dxa"/>
              <w:left w:w="110" w:type="dxa"/>
              <w:bottom w:w="60" w:type="dxa"/>
              <w:right w:w="110" w:type="dxa"/>
            </w:tcMar>
          </w:tcPr>
          <w:p w14:paraId="51E1B8E1" w14:textId="77777777" w:rsidR="00B35613" w:rsidRPr="00D048EC" w:rsidRDefault="00000000">
            <w:pPr>
              <w:keepNext/>
              <w:spacing w:before="40" w:after="40" w:line="259" w:lineRule="auto"/>
              <w:rPr>
                <w:rFonts w:ascii="Arial" w:hAnsi="Arial" w:cs="Arial"/>
                <w:color w:val="000000" w:themeColor="text1"/>
              </w:rPr>
            </w:pPr>
            <w:r w:rsidRPr="00D048EC">
              <w:rPr>
                <w:rFonts w:ascii="Arial" w:hAnsi="Arial" w:cs="Arial"/>
                <w:b/>
                <w:bCs/>
                <w:color w:val="000000" w:themeColor="text1"/>
              </w:rPr>
              <w:t>A1: ACR below 3 mg/mmol</w:t>
            </w:r>
          </w:p>
        </w:tc>
        <w:tc>
          <w:tcPr>
            <w:tcW w:w="2008" w:type="dxa"/>
            <w:tcBorders>
              <w:top w:val="single" w:sz="4" w:space="0" w:color="B7C9CC"/>
              <w:left w:val="single" w:sz="4" w:space="0" w:color="B7C9CC"/>
              <w:bottom w:val="single" w:sz="4" w:space="0" w:color="B7C9CC"/>
              <w:right w:val="single" w:sz="4" w:space="0" w:color="B7C9CC"/>
            </w:tcBorders>
            <w:shd w:val="clear" w:color="auto" w:fill="1F5F6B"/>
            <w:tcMar>
              <w:top w:w="60" w:type="dxa"/>
              <w:left w:w="110" w:type="dxa"/>
              <w:bottom w:w="60" w:type="dxa"/>
              <w:right w:w="110" w:type="dxa"/>
            </w:tcMar>
          </w:tcPr>
          <w:p w14:paraId="5B7E71AB" w14:textId="77777777" w:rsidR="00B35613" w:rsidRPr="00D048EC" w:rsidRDefault="00000000">
            <w:pPr>
              <w:keepNext/>
              <w:spacing w:before="40" w:after="40" w:line="259" w:lineRule="auto"/>
              <w:rPr>
                <w:rFonts w:ascii="Arial" w:hAnsi="Arial" w:cs="Arial"/>
                <w:color w:val="000000" w:themeColor="text1"/>
              </w:rPr>
            </w:pPr>
            <w:r w:rsidRPr="00D048EC">
              <w:rPr>
                <w:rFonts w:ascii="Arial" w:hAnsi="Arial" w:cs="Arial"/>
                <w:b/>
                <w:bCs/>
                <w:color w:val="000000" w:themeColor="text1"/>
              </w:rPr>
              <w:t>A2: ACR 3–30 mg/mmol</w:t>
            </w:r>
          </w:p>
        </w:tc>
        <w:tc>
          <w:tcPr>
            <w:tcW w:w="2008" w:type="dxa"/>
            <w:tcBorders>
              <w:top w:val="single" w:sz="4" w:space="0" w:color="B7C9CC"/>
              <w:left w:val="single" w:sz="4" w:space="0" w:color="B7C9CC"/>
              <w:bottom w:val="single" w:sz="4" w:space="0" w:color="B7C9CC"/>
              <w:right w:val="single" w:sz="4" w:space="0" w:color="B7C9CC"/>
            </w:tcBorders>
            <w:shd w:val="clear" w:color="auto" w:fill="1F5F6B"/>
            <w:tcMar>
              <w:top w:w="60" w:type="dxa"/>
              <w:left w:w="110" w:type="dxa"/>
              <w:bottom w:w="60" w:type="dxa"/>
              <w:right w:w="110" w:type="dxa"/>
            </w:tcMar>
          </w:tcPr>
          <w:p w14:paraId="1CDB9679" w14:textId="77777777" w:rsidR="00B35613" w:rsidRPr="00D048EC" w:rsidRDefault="00000000">
            <w:pPr>
              <w:keepNext/>
              <w:spacing w:before="40" w:after="40" w:line="259" w:lineRule="auto"/>
              <w:rPr>
                <w:rFonts w:ascii="Arial" w:hAnsi="Arial" w:cs="Arial"/>
                <w:color w:val="000000" w:themeColor="text1"/>
              </w:rPr>
            </w:pPr>
            <w:r w:rsidRPr="00D048EC">
              <w:rPr>
                <w:rFonts w:ascii="Arial" w:hAnsi="Arial" w:cs="Arial"/>
                <w:b/>
                <w:bCs/>
                <w:color w:val="000000" w:themeColor="text1"/>
              </w:rPr>
              <w:t>A3: ACR above 30 mg/mmol</w:t>
            </w:r>
          </w:p>
        </w:tc>
      </w:tr>
      <w:tr w:rsidR="00B35613" w:rsidRPr="00D048EC" w14:paraId="0680763F" w14:textId="77777777">
        <w:tblPrEx>
          <w:tblCellMar>
            <w:top w:w="0" w:type="dxa"/>
            <w:bottom w:w="0" w:type="dxa"/>
          </w:tblCellMar>
        </w:tblPrEx>
        <w:trPr>
          <w:cantSplit/>
        </w:trPr>
        <w:tc>
          <w:tcPr>
            <w:tcW w:w="3002" w:type="dxa"/>
            <w:tcBorders>
              <w:top w:val="single" w:sz="4" w:space="0" w:color="B7C9CC"/>
              <w:left w:val="single" w:sz="4" w:space="0" w:color="B7C9CC"/>
              <w:bottom w:val="single" w:sz="4" w:space="0" w:color="B7C9CC"/>
              <w:right w:val="single" w:sz="4" w:space="0" w:color="B7C9CC"/>
            </w:tcBorders>
            <w:shd w:val="clear" w:color="auto" w:fill="F4F8F9"/>
            <w:tcMar>
              <w:top w:w="60" w:type="dxa"/>
              <w:left w:w="110" w:type="dxa"/>
              <w:bottom w:w="60" w:type="dxa"/>
              <w:right w:w="110" w:type="dxa"/>
            </w:tcMar>
          </w:tcPr>
          <w:p w14:paraId="3B4EC164" w14:textId="77777777" w:rsidR="00B35613" w:rsidRPr="00D048EC" w:rsidRDefault="00000000">
            <w:pPr>
              <w:keepNext/>
              <w:spacing w:before="40" w:after="40" w:line="259" w:lineRule="auto"/>
              <w:rPr>
                <w:rFonts w:ascii="Arial" w:hAnsi="Arial" w:cs="Arial"/>
                <w:color w:val="000000" w:themeColor="text1"/>
              </w:rPr>
            </w:pPr>
            <w:r w:rsidRPr="00D048EC">
              <w:rPr>
                <w:rFonts w:ascii="Arial" w:hAnsi="Arial" w:cs="Arial"/>
                <w:b/>
                <w:bCs/>
                <w:color w:val="000000" w:themeColor="text1"/>
              </w:rPr>
              <w:t>G</w:t>
            </w:r>
            <w:proofErr w:type="gramStart"/>
            <w:r w:rsidRPr="00D048EC">
              <w:rPr>
                <w:rFonts w:ascii="Arial" w:hAnsi="Arial" w:cs="Arial"/>
                <w:b/>
                <w:bCs/>
                <w:color w:val="000000" w:themeColor="text1"/>
              </w:rPr>
              <w:t>1  ≥</w:t>
            </w:r>
            <w:proofErr w:type="gramEnd"/>
            <w:r w:rsidRPr="00D048EC">
              <w:rPr>
                <w:rFonts w:ascii="Arial" w:hAnsi="Arial" w:cs="Arial"/>
                <w:b/>
                <w:bCs/>
                <w:color w:val="000000" w:themeColor="text1"/>
              </w:rPr>
              <w:t>90 (normal or high)</w:t>
            </w:r>
          </w:p>
        </w:tc>
        <w:tc>
          <w:tcPr>
            <w:tcW w:w="2008" w:type="dxa"/>
            <w:tcBorders>
              <w:top w:val="single" w:sz="4" w:space="0" w:color="B7C9CC"/>
              <w:left w:val="single" w:sz="4" w:space="0" w:color="B7C9CC"/>
              <w:bottom w:val="single" w:sz="4" w:space="0" w:color="B7C9CC"/>
              <w:right w:val="single" w:sz="4" w:space="0" w:color="B7C9CC"/>
            </w:tcBorders>
            <w:shd w:val="clear" w:color="auto" w:fill="BFE3B4"/>
            <w:tcMar>
              <w:top w:w="60" w:type="dxa"/>
              <w:left w:w="110" w:type="dxa"/>
              <w:bottom w:w="60" w:type="dxa"/>
              <w:right w:w="110" w:type="dxa"/>
            </w:tcMar>
          </w:tcPr>
          <w:p w14:paraId="575DE860" w14:textId="77777777" w:rsidR="00B35613" w:rsidRPr="00D048EC" w:rsidRDefault="00000000">
            <w:pPr>
              <w:keepNext/>
              <w:spacing w:before="40" w:after="40" w:line="259" w:lineRule="auto"/>
              <w:jc w:val="center"/>
              <w:rPr>
                <w:rFonts w:ascii="Arial" w:hAnsi="Arial" w:cs="Arial"/>
                <w:color w:val="000000" w:themeColor="text1"/>
              </w:rPr>
            </w:pPr>
            <w:r w:rsidRPr="00D048EC">
              <w:rPr>
                <w:rFonts w:ascii="Arial" w:hAnsi="Arial" w:cs="Arial"/>
                <w:color w:val="000000" w:themeColor="text1"/>
              </w:rPr>
              <w:t>Low risk</w:t>
            </w:r>
          </w:p>
        </w:tc>
        <w:tc>
          <w:tcPr>
            <w:tcW w:w="2008" w:type="dxa"/>
            <w:tcBorders>
              <w:top w:val="single" w:sz="4" w:space="0" w:color="B7C9CC"/>
              <w:left w:val="single" w:sz="4" w:space="0" w:color="B7C9CC"/>
              <w:bottom w:val="single" w:sz="4" w:space="0" w:color="B7C9CC"/>
              <w:right w:val="single" w:sz="4" w:space="0" w:color="B7C9CC"/>
            </w:tcBorders>
            <w:shd w:val="clear" w:color="auto" w:fill="F7E9A0"/>
            <w:tcMar>
              <w:top w:w="60" w:type="dxa"/>
              <w:left w:w="110" w:type="dxa"/>
              <w:bottom w:w="60" w:type="dxa"/>
              <w:right w:w="110" w:type="dxa"/>
            </w:tcMar>
          </w:tcPr>
          <w:p w14:paraId="48A89CEA" w14:textId="77777777" w:rsidR="00B35613" w:rsidRPr="00D048EC" w:rsidRDefault="00000000">
            <w:pPr>
              <w:keepNext/>
              <w:spacing w:before="40" w:after="40" w:line="259" w:lineRule="auto"/>
              <w:jc w:val="center"/>
              <w:rPr>
                <w:rFonts w:ascii="Arial" w:hAnsi="Arial" w:cs="Arial"/>
                <w:color w:val="000000" w:themeColor="text1"/>
              </w:rPr>
            </w:pPr>
            <w:r w:rsidRPr="00D048EC">
              <w:rPr>
                <w:rFonts w:ascii="Arial" w:hAnsi="Arial" w:cs="Arial"/>
                <w:color w:val="000000" w:themeColor="text1"/>
              </w:rPr>
              <w:t>Moderate</w:t>
            </w:r>
          </w:p>
        </w:tc>
        <w:tc>
          <w:tcPr>
            <w:tcW w:w="2008" w:type="dxa"/>
            <w:tcBorders>
              <w:top w:val="single" w:sz="4" w:space="0" w:color="B7C9CC"/>
              <w:left w:val="single" w:sz="4" w:space="0" w:color="B7C9CC"/>
              <w:bottom w:val="single" w:sz="4" w:space="0" w:color="B7C9CC"/>
              <w:right w:val="single" w:sz="4" w:space="0" w:color="B7C9CC"/>
            </w:tcBorders>
            <w:shd w:val="clear" w:color="auto" w:fill="F5BE7E"/>
            <w:tcMar>
              <w:top w:w="60" w:type="dxa"/>
              <w:left w:w="110" w:type="dxa"/>
              <w:bottom w:w="60" w:type="dxa"/>
              <w:right w:w="110" w:type="dxa"/>
            </w:tcMar>
          </w:tcPr>
          <w:p w14:paraId="0798A862" w14:textId="77777777" w:rsidR="00B35613" w:rsidRPr="00D048EC" w:rsidRDefault="00000000">
            <w:pPr>
              <w:keepNext/>
              <w:spacing w:before="40" w:after="40" w:line="259" w:lineRule="auto"/>
              <w:jc w:val="center"/>
              <w:rPr>
                <w:rFonts w:ascii="Arial" w:hAnsi="Arial" w:cs="Arial"/>
                <w:color w:val="000000" w:themeColor="text1"/>
              </w:rPr>
            </w:pPr>
            <w:r w:rsidRPr="00D048EC">
              <w:rPr>
                <w:rFonts w:ascii="Arial" w:hAnsi="Arial" w:cs="Arial"/>
                <w:color w:val="000000" w:themeColor="text1"/>
              </w:rPr>
              <w:t>High</w:t>
            </w:r>
          </w:p>
        </w:tc>
      </w:tr>
      <w:tr w:rsidR="00B35613" w:rsidRPr="00D048EC" w14:paraId="2FFEB795" w14:textId="77777777">
        <w:tblPrEx>
          <w:tblCellMar>
            <w:top w:w="0" w:type="dxa"/>
            <w:bottom w:w="0" w:type="dxa"/>
          </w:tblCellMar>
        </w:tblPrEx>
        <w:trPr>
          <w:cantSplit/>
        </w:trPr>
        <w:tc>
          <w:tcPr>
            <w:tcW w:w="3002" w:type="dxa"/>
            <w:tcBorders>
              <w:top w:val="single" w:sz="4" w:space="0" w:color="B7C9CC"/>
              <w:left w:val="single" w:sz="4" w:space="0" w:color="B7C9CC"/>
              <w:bottom w:val="single" w:sz="4" w:space="0" w:color="B7C9CC"/>
              <w:right w:val="single" w:sz="4" w:space="0" w:color="B7C9CC"/>
            </w:tcBorders>
            <w:shd w:val="clear" w:color="auto" w:fill="F4F8F9"/>
            <w:tcMar>
              <w:top w:w="60" w:type="dxa"/>
              <w:left w:w="110" w:type="dxa"/>
              <w:bottom w:w="60" w:type="dxa"/>
              <w:right w:w="110" w:type="dxa"/>
            </w:tcMar>
          </w:tcPr>
          <w:p w14:paraId="0944FCAC" w14:textId="77777777" w:rsidR="00B35613" w:rsidRPr="00D048EC" w:rsidRDefault="00000000">
            <w:pPr>
              <w:keepNext/>
              <w:spacing w:before="40" w:after="40" w:line="259" w:lineRule="auto"/>
              <w:rPr>
                <w:rFonts w:ascii="Arial" w:hAnsi="Arial" w:cs="Arial"/>
                <w:color w:val="000000" w:themeColor="text1"/>
              </w:rPr>
            </w:pPr>
            <w:r w:rsidRPr="00D048EC">
              <w:rPr>
                <w:rFonts w:ascii="Arial" w:hAnsi="Arial" w:cs="Arial"/>
                <w:b/>
                <w:bCs/>
                <w:color w:val="000000" w:themeColor="text1"/>
              </w:rPr>
              <w:t>G</w:t>
            </w:r>
            <w:proofErr w:type="gramStart"/>
            <w:r w:rsidRPr="00D048EC">
              <w:rPr>
                <w:rFonts w:ascii="Arial" w:hAnsi="Arial" w:cs="Arial"/>
                <w:b/>
                <w:bCs/>
                <w:color w:val="000000" w:themeColor="text1"/>
              </w:rPr>
              <w:t>2  60</w:t>
            </w:r>
            <w:proofErr w:type="gramEnd"/>
            <w:r w:rsidRPr="00D048EC">
              <w:rPr>
                <w:rFonts w:ascii="Arial" w:hAnsi="Arial" w:cs="Arial"/>
                <w:b/>
                <w:bCs/>
                <w:color w:val="000000" w:themeColor="text1"/>
              </w:rPr>
              <w:t>–89 (mildly reduced)</w:t>
            </w:r>
          </w:p>
        </w:tc>
        <w:tc>
          <w:tcPr>
            <w:tcW w:w="2008" w:type="dxa"/>
            <w:tcBorders>
              <w:top w:val="single" w:sz="4" w:space="0" w:color="B7C9CC"/>
              <w:left w:val="single" w:sz="4" w:space="0" w:color="B7C9CC"/>
              <w:bottom w:val="single" w:sz="4" w:space="0" w:color="B7C9CC"/>
              <w:right w:val="single" w:sz="4" w:space="0" w:color="B7C9CC"/>
            </w:tcBorders>
            <w:shd w:val="clear" w:color="auto" w:fill="BFE3B4"/>
            <w:tcMar>
              <w:top w:w="60" w:type="dxa"/>
              <w:left w:w="110" w:type="dxa"/>
              <w:bottom w:w="60" w:type="dxa"/>
              <w:right w:w="110" w:type="dxa"/>
            </w:tcMar>
          </w:tcPr>
          <w:p w14:paraId="369E0549" w14:textId="77777777" w:rsidR="00B35613" w:rsidRPr="00D048EC" w:rsidRDefault="00000000">
            <w:pPr>
              <w:keepNext/>
              <w:spacing w:before="40" w:after="40" w:line="259" w:lineRule="auto"/>
              <w:jc w:val="center"/>
              <w:rPr>
                <w:rFonts w:ascii="Arial" w:hAnsi="Arial" w:cs="Arial"/>
                <w:color w:val="000000" w:themeColor="text1"/>
              </w:rPr>
            </w:pPr>
            <w:r w:rsidRPr="00D048EC">
              <w:rPr>
                <w:rFonts w:ascii="Arial" w:hAnsi="Arial" w:cs="Arial"/>
                <w:color w:val="000000" w:themeColor="text1"/>
              </w:rPr>
              <w:t>Low risk</w:t>
            </w:r>
          </w:p>
        </w:tc>
        <w:tc>
          <w:tcPr>
            <w:tcW w:w="2008" w:type="dxa"/>
            <w:tcBorders>
              <w:top w:val="single" w:sz="4" w:space="0" w:color="B7C9CC"/>
              <w:left w:val="single" w:sz="4" w:space="0" w:color="B7C9CC"/>
              <w:bottom w:val="single" w:sz="4" w:space="0" w:color="B7C9CC"/>
              <w:right w:val="single" w:sz="4" w:space="0" w:color="B7C9CC"/>
            </w:tcBorders>
            <w:shd w:val="clear" w:color="auto" w:fill="F7E9A0"/>
            <w:tcMar>
              <w:top w:w="60" w:type="dxa"/>
              <w:left w:w="110" w:type="dxa"/>
              <w:bottom w:w="60" w:type="dxa"/>
              <w:right w:w="110" w:type="dxa"/>
            </w:tcMar>
          </w:tcPr>
          <w:p w14:paraId="673DA133" w14:textId="77777777" w:rsidR="00B35613" w:rsidRPr="00D048EC" w:rsidRDefault="00000000">
            <w:pPr>
              <w:keepNext/>
              <w:spacing w:before="40" w:after="40" w:line="259" w:lineRule="auto"/>
              <w:jc w:val="center"/>
              <w:rPr>
                <w:rFonts w:ascii="Arial" w:hAnsi="Arial" w:cs="Arial"/>
                <w:color w:val="000000" w:themeColor="text1"/>
              </w:rPr>
            </w:pPr>
            <w:r w:rsidRPr="00D048EC">
              <w:rPr>
                <w:rFonts w:ascii="Arial" w:hAnsi="Arial" w:cs="Arial"/>
                <w:color w:val="000000" w:themeColor="text1"/>
              </w:rPr>
              <w:t>Moderate</w:t>
            </w:r>
          </w:p>
        </w:tc>
        <w:tc>
          <w:tcPr>
            <w:tcW w:w="2008" w:type="dxa"/>
            <w:tcBorders>
              <w:top w:val="single" w:sz="4" w:space="0" w:color="B7C9CC"/>
              <w:left w:val="single" w:sz="4" w:space="0" w:color="B7C9CC"/>
              <w:bottom w:val="single" w:sz="4" w:space="0" w:color="B7C9CC"/>
              <w:right w:val="single" w:sz="4" w:space="0" w:color="B7C9CC"/>
            </w:tcBorders>
            <w:shd w:val="clear" w:color="auto" w:fill="F5BE7E"/>
            <w:tcMar>
              <w:top w:w="60" w:type="dxa"/>
              <w:left w:w="110" w:type="dxa"/>
              <w:bottom w:w="60" w:type="dxa"/>
              <w:right w:w="110" w:type="dxa"/>
            </w:tcMar>
          </w:tcPr>
          <w:p w14:paraId="425E2002" w14:textId="77777777" w:rsidR="00B35613" w:rsidRPr="00D048EC" w:rsidRDefault="00000000">
            <w:pPr>
              <w:keepNext/>
              <w:spacing w:before="40" w:after="40" w:line="259" w:lineRule="auto"/>
              <w:jc w:val="center"/>
              <w:rPr>
                <w:rFonts w:ascii="Arial" w:hAnsi="Arial" w:cs="Arial"/>
                <w:color w:val="000000" w:themeColor="text1"/>
              </w:rPr>
            </w:pPr>
            <w:r w:rsidRPr="00D048EC">
              <w:rPr>
                <w:rFonts w:ascii="Arial" w:hAnsi="Arial" w:cs="Arial"/>
                <w:color w:val="000000" w:themeColor="text1"/>
              </w:rPr>
              <w:t>High</w:t>
            </w:r>
          </w:p>
        </w:tc>
      </w:tr>
      <w:tr w:rsidR="00B35613" w:rsidRPr="00D048EC" w14:paraId="1DB5FFF5" w14:textId="77777777">
        <w:tblPrEx>
          <w:tblCellMar>
            <w:top w:w="0" w:type="dxa"/>
            <w:bottom w:w="0" w:type="dxa"/>
          </w:tblCellMar>
        </w:tblPrEx>
        <w:trPr>
          <w:cantSplit/>
        </w:trPr>
        <w:tc>
          <w:tcPr>
            <w:tcW w:w="3002" w:type="dxa"/>
            <w:tcBorders>
              <w:top w:val="single" w:sz="4" w:space="0" w:color="B7C9CC"/>
              <w:left w:val="single" w:sz="4" w:space="0" w:color="B7C9CC"/>
              <w:bottom w:val="single" w:sz="4" w:space="0" w:color="B7C9CC"/>
              <w:right w:val="single" w:sz="4" w:space="0" w:color="B7C9CC"/>
            </w:tcBorders>
            <w:shd w:val="clear" w:color="auto" w:fill="F4F8F9"/>
            <w:tcMar>
              <w:top w:w="60" w:type="dxa"/>
              <w:left w:w="110" w:type="dxa"/>
              <w:bottom w:w="60" w:type="dxa"/>
              <w:right w:w="110" w:type="dxa"/>
            </w:tcMar>
          </w:tcPr>
          <w:p w14:paraId="59D59436" w14:textId="77777777" w:rsidR="00B35613" w:rsidRPr="00D048EC" w:rsidRDefault="00000000">
            <w:pPr>
              <w:keepNext/>
              <w:spacing w:before="40" w:after="40" w:line="259" w:lineRule="auto"/>
              <w:rPr>
                <w:rFonts w:ascii="Arial" w:hAnsi="Arial" w:cs="Arial"/>
                <w:color w:val="000000" w:themeColor="text1"/>
              </w:rPr>
            </w:pPr>
            <w:r w:rsidRPr="00D048EC">
              <w:rPr>
                <w:rFonts w:ascii="Arial" w:hAnsi="Arial" w:cs="Arial"/>
                <w:b/>
                <w:bCs/>
                <w:color w:val="000000" w:themeColor="text1"/>
              </w:rPr>
              <w:t>G3</w:t>
            </w:r>
            <w:proofErr w:type="gramStart"/>
            <w:r w:rsidRPr="00D048EC">
              <w:rPr>
                <w:rFonts w:ascii="Arial" w:hAnsi="Arial" w:cs="Arial"/>
                <w:b/>
                <w:bCs/>
                <w:color w:val="000000" w:themeColor="text1"/>
              </w:rPr>
              <w:t>a  45</w:t>
            </w:r>
            <w:proofErr w:type="gramEnd"/>
            <w:r w:rsidRPr="00D048EC">
              <w:rPr>
                <w:rFonts w:ascii="Arial" w:hAnsi="Arial" w:cs="Arial"/>
                <w:b/>
                <w:bCs/>
                <w:color w:val="000000" w:themeColor="text1"/>
              </w:rPr>
              <w:t>–59 (mild to moderate)</w:t>
            </w:r>
          </w:p>
        </w:tc>
        <w:tc>
          <w:tcPr>
            <w:tcW w:w="2008" w:type="dxa"/>
            <w:tcBorders>
              <w:top w:val="single" w:sz="4" w:space="0" w:color="B7C9CC"/>
              <w:left w:val="single" w:sz="4" w:space="0" w:color="B7C9CC"/>
              <w:bottom w:val="single" w:sz="4" w:space="0" w:color="B7C9CC"/>
              <w:right w:val="single" w:sz="4" w:space="0" w:color="B7C9CC"/>
            </w:tcBorders>
            <w:shd w:val="clear" w:color="auto" w:fill="F7E9A0"/>
            <w:tcMar>
              <w:top w:w="60" w:type="dxa"/>
              <w:left w:w="110" w:type="dxa"/>
              <w:bottom w:w="60" w:type="dxa"/>
              <w:right w:w="110" w:type="dxa"/>
            </w:tcMar>
          </w:tcPr>
          <w:p w14:paraId="71A3C796" w14:textId="77777777" w:rsidR="00B35613" w:rsidRPr="00D048EC" w:rsidRDefault="00000000">
            <w:pPr>
              <w:keepNext/>
              <w:spacing w:before="40" w:after="40" w:line="259" w:lineRule="auto"/>
              <w:jc w:val="center"/>
              <w:rPr>
                <w:rFonts w:ascii="Arial" w:hAnsi="Arial" w:cs="Arial"/>
                <w:color w:val="000000" w:themeColor="text1"/>
              </w:rPr>
            </w:pPr>
            <w:r w:rsidRPr="00D048EC">
              <w:rPr>
                <w:rFonts w:ascii="Arial" w:hAnsi="Arial" w:cs="Arial"/>
                <w:color w:val="000000" w:themeColor="text1"/>
              </w:rPr>
              <w:t>Moderate</w:t>
            </w:r>
          </w:p>
        </w:tc>
        <w:tc>
          <w:tcPr>
            <w:tcW w:w="2008" w:type="dxa"/>
            <w:tcBorders>
              <w:top w:val="single" w:sz="4" w:space="0" w:color="B7C9CC"/>
              <w:left w:val="single" w:sz="4" w:space="0" w:color="B7C9CC"/>
              <w:bottom w:val="single" w:sz="4" w:space="0" w:color="B7C9CC"/>
              <w:right w:val="single" w:sz="4" w:space="0" w:color="B7C9CC"/>
            </w:tcBorders>
            <w:shd w:val="clear" w:color="auto" w:fill="F5BE7E"/>
            <w:tcMar>
              <w:top w:w="60" w:type="dxa"/>
              <w:left w:w="110" w:type="dxa"/>
              <w:bottom w:w="60" w:type="dxa"/>
              <w:right w:w="110" w:type="dxa"/>
            </w:tcMar>
          </w:tcPr>
          <w:p w14:paraId="332CBBE1" w14:textId="77777777" w:rsidR="00B35613" w:rsidRPr="00D048EC" w:rsidRDefault="00000000">
            <w:pPr>
              <w:keepNext/>
              <w:spacing w:before="40" w:after="40" w:line="259" w:lineRule="auto"/>
              <w:jc w:val="center"/>
              <w:rPr>
                <w:rFonts w:ascii="Arial" w:hAnsi="Arial" w:cs="Arial"/>
                <w:color w:val="000000" w:themeColor="text1"/>
              </w:rPr>
            </w:pPr>
            <w:r w:rsidRPr="00D048EC">
              <w:rPr>
                <w:rFonts w:ascii="Arial" w:hAnsi="Arial" w:cs="Arial"/>
                <w:color w:val="000000" w:themeColor="text1"/>
              </w:rPr>
              <w:t>High</w:t>
            </w:r>
          </w:p>
        </w:tc>
        <w:tc>
          <w:tcPr>
            <w:tcW w:w="2008" w:type="dxa"/>
            <w:tcBorders>
              <w:top w:val="single" w:sz="4" w:space="0" w:color="B7C9CC"/>
              <w:left w:val="single" w:sz="4" w:space="0" w:color="B7C9CC"/>
              <w:bottom w:val="single" w:sz="4" w:space="0" w:color="B7C9CC"/>
              <w:right w:val="single" w:sz="4" w:space="0" w:color="B7C9CC"/>
            </w:tcBorders>
            <w:shd w:val="clear" w:color="auto" w:fill="E88A82"/>
            <w:tcMar>
              <w:top w:w="60" w:type="dxa"/>
              <w:left w:w="110" w:type="dxa"/>
              <w:bottom w:w="60" w:type="dxa"/>
              <w:right w:w="110" w:type="dxa"/>
            </w:tcMar>
          </w:tcPr>
          <w:p w14:paraId="56308047" w14:textId="77777777" w:rsidR="00B35613" w:rsidRPr="00D048EC" w:rsidRDefault="00000000">
            <w:pPr>
              <w:keepNext/>
              <w:spacing w:before="40" w:after="40" w:line="259" w:lineRule="auto"/>
              <w:jc w:val="center"/>
              <w:rPr>
                <w:rFonts w:ascii="Arial" w:hAnsi="Arial" w:cs="Arial"/>
                <w:color w:val="000000" w:themeColor="text1"/>
              </w:rPr>
            </w:pPr>
            <w:r w:rsidRPr="00D048EC">
              <w:rPr>
                <w:rFonts w:ascii="Arial" w:hAnsi="Arial" w:cs="Arial"/>
                <w:color w:val="000000" w:themeColor="text1"/>
              </w:rPr>
              <w:t>Very high</w:t>
            </w:r>
          </w:p>
        </w:tc>
      </w:tr>
      <w:tr w:rsidR="00B35613" w:rsidRPr="00D048EC" w14:paraId="4F98D615" w14:textId="77777777">
        <w:tblPrEx>
          <w:tblCellMar>
            <w:top w:w="0" w:type="dxa"/>
            <w:bottom w:w="0" w:type="dxa"/>
          </w:tblCellMar>
        </w:tblPrEx>
        <w:trPr>
          <w:cantSplit/>
        </w:trPr>
        <w:tc>
          <w:tcPr>
            <w:tcW w:w="3002" w:type="dxa"/>
            <w:tcBorders>
              <w:top w:val="single" w:sz="4" w:space="0" w:color="B7C9CC"/>
              <w:left w:val="single" w:sz="4" w:space="0" w:color="B7C9CC"/>
              <w:bottom w:val="single" w:sz="4" w:space="0" w:color="B7C9CC"/>
              <w:right w:val="single" w:sz="4" w:space="0" w:color="B7C9CC"/>
            </w:tcBorders>
            <w:shd w:val="clear" w:color="auto" w:fill="F4F8F9"/>
            <w:tcMar>
              <w:top w:w="60" w:type="dxa"/>
              <w:left w:w="110" w:type="dxa"/>
              <w:bottom w:w="60" w:type="dxa"/>
              <w:right w:w="110" w:type="dxa"/>
            </w:tcMar>
          </w:tcPr>
          <w:p w14:paraId="6A291D83" w14:textId="77777777" w:rsidR="00B35613" w:rsidRPr="00D048EC" w:rsidRDefault="00000000">
            <w:pPr>
              <w:keepNext/>
              <w:spacing w:before="40" w:after="40" w:line="259" w:lineRule="auto"/>
              <w:rPr>
                <w:rFonts w:ascii="Arial" w:hAnsi="Arial" w:cs="Arial"/>
                <w:color w:val="000000" w:themeColor="text1"/>
              </w:rPr>
            </w:pPr>
            <w:r w:rsidRPr="00D048EC">
              <w:rPr>
                <w:rFonts w:ascii="Arial" w:hAnsi="Arial" w:cs="Arial"/>
                <w:b/>
                <w:bCs/>
                <w:color w:val="000000" w:themeColor="text1"/>
              </w:rPr>
              <w:t>G3</w:t>
            </w:r>
            <w:proofErr w:type="gramStart"/>
            <w:r w:rsidRPr="00D048EC">
              <w:rPr>
                <w:rFonts w:ascii="Arial" w:hAnsi="Arial" w:cs="Arial"/>
                <w:b/>
                <w:bCs/>
                <w:color w:val="000000" w:themeColor="text1"/>
              </w:rPr>
              <w:t>b  30</w:t>
            </w:r>
            <w:proofErr w:type="gramEnd"/>
            <w:r w:rsidRPr="00D048EC">
              <w:rPr>
                <w:rFonts w:ascii="Arial" w:hAnsi="Arial" w:cs="Arial"/>
                <w:b/>
                <w:bCs/>
                <w:color w:val="000000" w:themeColor="text1"/>
              </w:rPr>
              <w:t>–44 (moderate to severe)</w:t>
            </w:r>
          </w:p>
        </w:tc>
        <w:tc>
          <w:tcPr>
            <w:tcW w:w="2008" w:type="dxa"/>
            <w:tcBorders>
              <w:top w:val="single" w:sz="4" w:space="0" w:color="B7C9CC"/>
              <w:left w:val="single" w:sz="4" w:space="0" w:color="B7C9CC"/>
              <w:bottom w:val="single" w:sz="4" w:space="0" w:color="B7C9CC"/>
              <w:right w:val="single" w:sz="4" w:space="0" w:color="B7C9CC"/>
            </w:tcBorders>
            <w:shd w:val="clear" w:color="auto" w:fill="F5BE7E"/>
            <w:tcMar>
              <w:top w:w="60" w:type="dxa"/>
              <w:left w:w="110" w:type="dxa"/>
              <w:bottom w:w="60" w:type="dxa"/>
              <w:right w:w="110" w:type="dxa"/>
            </w:tcMar>
          </w:tcPr>
          <w:p w14:paraId="465E1DAE" w14:textId="77777777" w:rsidR="00B35613" w:rsidRPr="00D048EC" w:rsidRDefault="00000000">
            <w:pPr>
              <w:keepNext/>
              <w:spacing w:before="40" w:after="40" w:line="259" w:lineRule="auto"/>
              <w:jc w:val="center"/>
              <w:rPr>
                <w:rFonts w:ascii="Arial" w:hAnsi="Arial" w:cs="Arial"/>
                <w:color w:val="000000" w:themeColor="text1"/>
              </w:rPr>
            </w:pPr>
            <w:r w:rsidRPr="00D048EC">
              <w:rPr>
                <w:rFonts w:ascii="Arial" w:hAnsi="Arial" w:cs="Arial"/>
                <w:color w:val="000000" w:themeColor="text1"/>
              </w:rPr>
              <w:t>High</w:t>
            </w:r>
          </w:p>
        </w:tc>
        <w:tc>
          <w:tcPr>
            <w:tcW w:w="2008" w:type="dxa"/>
            <w:tcBorders>
              <w:top w:val="single" w:sz="4" w:space="0" w:color="B7C9CC"/>
              <w:left w:val="single" w:sz="4" w:space="0" w:color="B7C9CC"/>
              <w:bottom w:val="single" w:sz="4" w:space="0" w:color="B7C9CC"/>
              <w:right w:val="single" w:sz="4" w:space="0" w:color="B7C9CC"/>
            </w:tcBorders>
            <w:shd w:val="clear" w:color="auto" w:fill="E88A82"/>
            <w:tcMar>
              <w:top w:w="60" w:type="dxa"/>
              <w:left w:w="110" w:type="dxa"/>
              <w:bottom w:w="60" w:type="dxa"/>
              <w:right w:w="110" w:type="dxa"/>
            </w:tcMar>
          </w:tcPr>
          <w:p w14:paraId="23A5760D" w14:textId="77777777" w:rsidR="00B35613" w:rsidRPr="00D048EC" w:rsidRDefault="00000000">
            <w:pPr>
              <w:keepNext/>
              <w:spacing w:before="40" w:after="40" w:line="259" w:lineRule="auto"/>
              <w:jc w:val="center"/>
              <w:rPr>
                <w:rFonts w:ascii="Arial" w:hAnsi="Arial" w:cs="Arial"/>
                <w:color w:val="000000" w:themeColor="text1"/>
              </w:rPr>
            </w:pPr>
            <w:r w:rsidRPr="00D048EC">
              <w:rPr>
                <w:rFonts w:ascii="Arial" w:hAnsi="Arial" w:cs="Arial"/>
                <w:color w:val="000000" w:themeColor="text1"/>
              </w:rPr>
              <w:t>Very high</w:t>
            </w:r>
          </w:p>
        </w:tc>
        <w:tc>
          <w:tcPr>
            <w:tcW w:w="2008" w:type="dxa"/>
            <w:tcBorders>
              <w:top w:val="single" w:sz="4" w:space="0" w:color="B7C9CC"/>
              <w:left w:val="single" w:sz="4" w:space="0" w:color="B7C9CC"/>
              <w:bottom w:val="single" w:sz="4" w:space="0" w:color="B7C9CC"/>
              <w:right w:val="single" w:sz="4" w:space="0" w:color="B7C9CC"/>
            </w:tcBorders>
            <w:shd w:val="clear" w:color="auto" w:fill="E88A82"/>
            <w:tcMar>
              <w:top w:w="60" w:type="dxa"/>
              <w:left w:w="110" w:type="dxa"/>
              <w:bottom w:w="60" w:type="dxa"/>
              <w:right w:w="110" w:type="dxa"/>
            </w:tcMar>
          </w:tcPr>
          <w:p w14:paraId="1DAEA266" w14:textId="77777777" w:rsidR="00B35613" w:rsidRPr="00D048EC" w:rsidRDefault="00000000">
            <w:pPr>
              <w:keepNext/>
              <w:spacing w:before="40" w:after="40" w:line="259" w:lineRule="auto"/>
              <w:jc w:val="center"/>
              <w:rPr>
                <w:rFonts w:ascii="Arial" w:hAnsi="Arial" w:cs="Arial"/>
                <w:color w:val="000000" w:themeColor="text1"/>
              </w:rPr>
            </w:pPr>
            <w:r w:rsidRPr="00D048EC">
              <w:rPr>
                <w:rFonts w:ascii="Arial" w:hAnsi="Arial" w:cs="Arial"/>
                <w:color w:val="000000" w:themeColor="text1"/>
              </w:rPr>
              <w:t>Very high</w:t>
            </w:r>
          </w:p>
        </w:tc>
      </w:tr>
      <w:tr w:rsidR="00B35613" w:rsidRPr="00D048EC" w14:paraId="7170DF78" w14:textId="77777777">
        <w:tblPrEx>
          <w:tblCellMar>
            <w:top w:w="0" w:type="dxa"/>
            <w:bottom w:w="0" w:type="dxa"/>
          </w:tblCellMar>
        </w:tblPrEx>
        <w:trPr>
          <w:cantSplit/>
        </w:trPr>
        <w:tc>
          <w:tcPr>
            <w:tcW w:w="3002" w:type="dxa"/>
            <w:tcBorders>
              <w:top w:val="single" w:sz="4" w:space="0" w:color="B7C9CC"/>
              <w:left w:val="single" w:sz="4" w:space="0" w:color="B7C9CC"/>
              <w:bottom w:val="single" w:sz="4" w:space="0" w:color="B7C9CC"/>
              <w:right w:val="single" w:sz="4" w:space="0" w:color="B7C9CC"/>
            </w:tcBorders>
            <w:shd w:val="clear" w:color="auto" w:fill="F4F8F9"/>
            <w:tcMar>
              <w:top w:w="60" w:type="dxa"/>
              <w:left w:w="110" w:type="dxa"/>
              <w:bottom w:w="60" w:type="dxa"/>
              <w:right w:w="110" w:type="dxa"/>
            </w:tcMar>
          </w:tcPr>
          <w:p w14:paraId="3559B1DB" w14:textId="77777777" w:rsidR="00B35613" w:rsidRPr="00D048EC" w:rsidRDefault="00000000">
            <w:pPr>
              <w:keepNext/>
              <w:spacing w:before="40" w:after="40" w:line="259" w:lineRule="auto"/>
              <w:rPr>
                <w:rFonts w:ascii="Arial" w:hAnsi="Arial" w:cs="Arial"/>
                <w:color w:val="000000" w:themeColor="text1"/>
              </w:rPr>
            </w:pPr>
            <w:r w:rsidRPr="00D048EC">
              <w:rPr>
                <w:rFonts w:ascii="Arial" w:hAnsi="Arial" w:cs="Arial"/>
                <w:b/>
                <w:bCs/>
                <w:color w:val="000000" w:themeColor="text1"/>
              </w:rPr>
              <w:t>G</w:t>
            </w:r>
            <w:proofErr w:type="gramStart"/>
            <w:r w:rsidRPr="00D048EC">
              <w:rPr>
                <w:rFonts w:ascii="Arial" w:hAnsi="Arial" w:cs="Arial"/>
                <w:b/>
                <w:bCs/>
                <w:color w:val="000000" w:themeColor="text1"/>
              </w:rPr>
              <w:t>4  15</w:t>
            </w:r>
            <w:proofErr w:type="gramEnd"/>
            <w:r w:rsidRPr="00D048EC">
              <w:rPr>
                <w:rFonts w:ascii="Arial" w:hAnsi="Arial" w:cs="Arial"/>
                <w:b/>
                <w:bCs/>
                <w:color w:val="000000" w:themeColor="text1"/>
              </w:rPr>
              <w:t>–29 (severely reduced)</w:t>
            </w:r>
          </w:p>
        </w:tc>
        <w:tc>
          <w:tcPr>
            <w:tcW w:w="2008" w:type="dxa"/>
            <w:tcBorders>
              <w:top w:val="single" w:sz="4" w:space="0" w:color="B7C9CC"/>
              <w:left w:val="single" w:sz="4" w:space="0" w:color="B7C9CC"/>
              <w:bottom w:val="single" w:sz="4" w:space="0" w:color="B7C9CC"/>
              <w:right w:val="single" w:sz="4" w:space="0" w:color="B7C9CC"/>
            </w:tcBorders>
            <w:shd w:val="clear" w:color="auto" w:fill="E88A82"/>
            <w:tcMar>
              <w:top w:w="60" w:type="dxa"/>
              <w:left w:w="110" w:type="dxa"/>
              <w:bottom w:w="60" w:type="dxa"/>
              <w:right w:w="110" w:type="dxa"/>
            </w:tcMar>
          </w:tcPr>
          <w:p w14:paraId="4D08EA50" w14:textId="77777777" w:rsidR="00B35613" w:rsidRPr="00D048EC" w:rsidRDefault="00000000">
            <w:pPr>
              <w:keepNext/>
              <w:spacing w:before="40" w:after="40" w:line="259" w:lineRule="auto"/>
              <w:jc w:val="center"/>
              <w:rPr>
                <w:rFonts w:ascii="Arial" w:hAnsi="Arial" w:cs="Arial"/>
                <w:color w:val="000000" w:themeColor="text1"/>
              </w:rPr>
            </w:pPr>
            <w:r w:rsidRPr="00D048EC">
              <w:rPr>
                <w:rFonts w:ascii="Arial" w:hAnsi="Arial" w:cs="Arial"/>
                <w:color w:val="000000" w:themeColor="text1"/>
              </w:rPr>
              <w:t>Very high</w:t>
            </w:r>
          </w:p>
        </w:tc>
        <w:tc>
          <w:tcPr>
            <w:tcW w:w="2008" w:type="dxa"/>
            <w:tcBorders>
              <w:top w:val="single" w:sz="4" w:space="0" w:color="B7C9CC"/>
              <w:left w:val="single" w:sz="4" w:space="0" w:color="B7C9CC"/>
              <w:bottom w:val="single" w:sz="4" w:space="0" w:color="B7C9CC"/>
              <w:right w:val="single" w:sz="4" w:space="0" w:color="B7C9CC"/>
            </w:tcBorders>
            <w:shd w:val="clear" w:color="auto" w:fill="E88A82"/>
            <w:tcMar>
              <w:top w:w="60" w:type="dxa"/>
              <w:left w:w="110" w:type="dxa"/>
              <w:bottom w:w="60" w:type="dxa"/>
              <w:right w:w="110" w:type="dxa"/>
            </w:tcMar>
          </w:tcPr>
          <w:p w14:paraId="6A11CB0A" w14:textId="77777777" w:rsidR="00B35613" w:rsidRPr="00D048EC" w:rsidRDefault="00000000">
            <w:pPr>
              <w:keepNext/>
              <w:spacing w:before="40" w:after="40" w:line="259" w:lineRule="auto"/>
              <w:jc w:val="center"/>
              <w:rPr>
                <w:rFonts w:ascii="Arial" w:hAnsi="Arial" w:cs="Arial"/>
                <w:color w:val="000000" w:themeColor="text1"/>
              </w:rPr>
            </w:pPr>
            <w:r w:rsidRPr="00D048EC">
              <w:rPr>
                <w:rFonts w:ascii="Arial" w:hAnsi="Arial" w:cs="Arial"/>
                <w:color w:val="000000" w:themeColor="text1"/>
              </w:rPr>
              <w:t>Very high</w:t>
            </w:r>
          </w:p>
        </w:tc>
        <w:tc>
          <w:tcPr>
            <w:tcW w:w="2008" w:type="dxa"/>
            <w:tcBorders>
              <w:top w:val="single" w:sz="4" w:space="0" w:color="B7C9CC"/>
              <w:left w:val="single" w:sz="4" w:space="0" w:color="B7C9CC"/>
              <w:bottom w:val="single" w:sz="4" w:space="0" w:color="B7C9CC"/>
              <w:right w:val="single" w:sz="4" w:space="0" w:color="B7C9CC"/>
            </w:tcBorders>
            <w:shd w:val="clear" w:color="auto" w:fill="E88A82"/>
            <w:tcMar>
              <w:top w:w="60" w:type="dxa"/>
              <w:left w:w="110" w:type="dxa"/>
              <w:bottom w:w="60" w:type="dxa"/>
              <w:right w:w="110" w:type="dxa"/>
            </w:tcMar>
          </w:tcPr>
          <w:p w14:paraId="47A71F84" w14:textId="77777777" w:rsidR="00B35613" w:rsidRPr="00D048EC" w:rsidRDefault="00000000">
            <w:pPr>
              <w:keepNext/>
              <w:spacing w:before="40" w:after="40" w:line="259" w:lineRule="auto"/>
              <w:jc w:val="center"/>
              <w:rPr>
                <w:rFonts w:ascii="Arial" w:hAnsi="Arial" w:cs="Arial"/>
                <w:color w:val="000000" w:themeColor="text1"/>
              </w:rPr>
            </w:pPr>
            <w:r w:rsidRPr="00D048EC">
              <w:rPr>
                <w:rFonts w:ascii="Arial" w:hAnsi="Arial" w:cs="Arial"/>
                <w:color w:val="000000" w:themeColor="text1"/>
              </w:rPr>
              <w:t>Very high</w:t>
            </w:r>
          </w:p>
        </w:tc>
      </w:tr>
      <w:tr w:rsidR="00B35613" w:rsidRPr="00D048EC" w14:paraId="46CE9ADC" w14:textId="77777777">
        <w:tblPrEx>
          <w:tblCellMar>
            <w:top w:w="0" w:type="dxa"/>
            <w:bottom w:w="0" w:type="dxa"/>
          </w:tblCellMar>
        </w:tblPrEx>
        <w:trPr>
          <w:cantSplit/>
        </w:trPr>
        <w:tc>
          <w:tcPr>
            <w:tcW w:w="3002" w:type="dxa"/>
            <w:tcBorders>
              <w:top w:val="single" w:sz="4" w:space="0" w:color="B7C9CC"/>
              <w:left w:val="single" w:sz="4" w:space="0" w:color="B7C9CC"/>
              <w:bottom w:val="single" w:sz="4" w:space="0" w:color="B7C9CC"/>
              <w:right w:val="single" w:sz="4" w:space="0" w:color="B7C9CC"/>
            </w:tcBorders>
            <w:shd w:val="clear" w:color="auto" w:fill="F4F8F9"/>
            <w:tcMar>
              <w:top w:w="60" w:type="dxa"/>
              <w:left w:w="110" w:type="dxa"/>
              <w:bottom w:w="60" w:type="dxa"/>
              <w:right w:w="110" w:type="dxa"/>
            </w:tcMar>
          </w:tcPr>
          <w:p w14:paraId="1239FA9A" w14:textId="77777777" w:rsidR="00B35613" w:rsidRPr="00D048EC" w:rsidRDefault="00000000">
            <w:pPr>
              <w:keepNext/>
              <w:spacing w:before="40" w:after="40" w:line="259" w:lineRule="auto"/>
              <w:rPr>
                <w:rFonts w:ascii="Arial" w:hAnsi="Arial" w:cs="Arial"/>
                <w:color w:val="000000" w:themeColor="text1"/>
              </w:rPr>
            </w:pPr>
            <w:r w:rsidRPr="00D048EC">
              <w:rPr>
                <w:rFonts w:ascii="Arial" w:hAnsi="Arial" w:cs="Arial"/>
                <w:b/>
                <w:bCs/>
                <w:color w:val="000000" w:themeColor="text1"/>
              </w:rPr>
              <w:t>G</w:t>
            </w:r>
            <w:proofErr w:type="gramStart"/>
            <w:r w:rsidRPr="00D048EC">
              <w:rPr>
                <w:rFonts w:ascii="Arial" w:hAnsi="Arial" w:cs="Arial"/>
                <w:b/>
                <w:bCs/>
                <w:color w:val="000000" w:themeColor="text1"/>
              </w:rPr>
              <w:t>5  &lt;</w:t>
            </w:r>
            <w:proofErr w:type="gramEnd"/>
            <w:r w:rsidRPr="00D048EC">
              <w:rPr>
                <w:rFonts w:ascii="Arial" w:hAnsi="Arial" w:cs="Arial"/>
                <w:b/>
                <w:bCs/>
                <w:color w:val="000000" w:themeColor="text1"/>
              </w:rPr>
              <w:t>15 (kidney failure)</w:t>
            </w:r>
          </w:p>
        </w:tc>
        <w:tc>
          <w:tcPr>
            <w:tcW w:w="2008" w:type="dxa"/>
            <w:tcBorders>
              <w:top w:val="single" w:sz="4" w:space="0" w:color="B7C9CC"/>
              <w:left w:val="single" w:sz="4" w:space="0" w:color="B7C9CC"/>
              <w:bottom w:val="single" w:sz="4" w:space="0" w:color="B7C9CC"/>
              <w:right w:val="single" w:sz="4" w:space="0" w:color="B7C9CC"/>
            </w:tcBorders>
            <w:shd w:val="clear" w:color="auto" w:fill="E88A82"/>
            <w:tcMar>
              <w:top w:w="60" w:type="dxa"/>
              <w:left w:w="110" w:type="dxa"/>
              <w:bottom w:w="60" w:type="dxa"/>
              <w:right w:w="110" w:type="dxa"/>
            </w:tcMar>
          </w:tcPr>
          <w:p w14:paraId="554FB119" w14:textId="77777777" w:rsidR="00B35613" w:rsidRPr="00D048EC" w:rsidRDefault="00000000">
            <w:pPr>
              <w:keepNext/>
              <w:spacing w:before="40" w:after="40" w:line="259" w:lineRule="auto"/>
              <w:jc w:val="center"/>
              <w:rPr>
                <w:rFonts w:ascii="Arial" w:hAnsi="Arial" w:cs="Arial"/>
                <w:color w:val="000000" w:themeColor="text1"/>
              </w:rPr>
            </w:pPr>
            <w:r w:rsidRPr="00D048EC">
              <w:rPr>
                <w:rFonts w:ascii="Arial" w:hAnsi="Arial" w:cs="Arial"/>
                <w:color w:val="000000" w:themeColor="text1"/>
              </w:rPr>
              <w:t>Very high</w:t>
            </w:r>
          </w:p>
        </w:tc>
        <w:tc>
          <w:tcPr>
            <w:tcW w:w="2008" w:type="dxa"/>
            <w:tcBorders>
              <w:top w:val="single" w:sz="4" w:space="0" w:color="B7C9CC"/>
              <w:left w:val="single" w:sz="4" w:space="0" w:color="B7C9CC"/>
              <w:bottom w:val="single" w:sz="4" w:space="0" w:color="B7C9CC"/>
              <w:right w:val="single" w:sz="4" w:space="0" w:color="B7C9CC"/>
            </w:tcBorders>
            <w:shd w:val="clear" w:color="auto" w:fill="E88A82"/>
            <w:tcMar>
              <w:top w:w="60" w:type="dxa"/>
              <w:left w:w="110" w:type="dxa"/>
              <w:bottom w:w="60" w:type="dxa"/>
              <w:right w:w="110" w:type="dxa"/>
            </w:tcMar>
          </w:tcPr>
          <w:p w14:paraId="6D49ED09" w14:textId="77777777" w:rsidR="00B35613" w:rsidRPr="00D048EC" w:rsidRDefault="00000000">
            <w:pPr>
              <w:keepNext/>
              <w:spacing w:before="40" w:after="40" w:line="259" w:lineRule="auto"/>
              <w:jc w:val="center"/>
              <w:rPr>
                <w:rFonts w:ascii="Arial" w:hAnsi="Arial" w:cs="Arial"/>
                <w:color w:val="000000" w:themeColor="text1"/>
              </w:rPr>
            </w:pPr>
            <w:r w:rsidRPr="00D048EC">
              <w:rPr>
                <w:rFonts w:ascii="Arial" w:hAnsi="Arial" w:cs="Arial"/>
                <w:color w:val="000000" w:themeColor="text1"/>
              </w:rPr>
              <w:t>Very high</w:t>
            </w:r>
          </w:p>
        </w:tc>
        <w:tc>
          <w:tcPr>
            <w:tcW w:w="2008" w:type="dxa"/>
            <w:tcBorders>
              <w:top w:val="single" w:sz="4" w:space="0" w:color="B7C9CC"/>
              <w:left w:val="single" w:sz="4" w:space="0" w:color="B7C9CC"/>
              <w:bottom w:val="single" w:sz="4" w:space="0" w:color="B7C9CC"/>
              <w:right w:val="single" w:sz="4" w:space="0" w:color="B7C9CC"/>
            </w:tcBorders>
            <w:shd w:val="clear" w:color="auto" w:fill="E88A82"/>
            <w:tcMar>
              <w:top w:w="60" w:type="dxa"/>
              <w:left w:w="110" w:type="dxa"/>
              <w:bottom w:w="60" w:type="dxa"/>
              <w:right w:w="110" w:type="dxa"/>
            </w:tcMar>
          </w:tcPr>
          <w:p w14:paraId="4817741F" w14:textId="77777777" w:rsidR="00B35613" w:rsidRPr="00D048EC" w:rsidRDefault="00000000">
            <w:pPr>
              <w:keepNext/>
              <w:spacing w:before="40" w:after="40" w:line="259" w:lineRule="auto"/>
              <w:jc w:val="center"/>
              <w:rPr>
                <w:rFonts w:ascii="Arial" w:hAnsi="Arial" w:cs="Arial"/>
                <w:color w:val="000000" w:themeColor="text1"/>
              </w:rPr>
            </w:pPr>
            <w:r w:rsidRPr="00D048EC">
              <w:rPr>
                <w:rFonts w:ascii="Arial" w:hAnsi="Arial" w:cs="Arial"/>
                <w:color w:val="000000" w:themeColor="text1"/>
              </w:rPr>
              <w:t>Very high</w:t>
            </w:r>
          </w:p>
        </w:tc>
      </w:tr>
    </w:tbl>
    <w:p w14:paraId="7F17BC57" w14:textId="77777777" w:rsidR="00B35613" w:rsidRPr="00D048EC" w:rsidRDefault="00000000">
      <w:pPr>
        <w:spacing w:before="60" w:after="160" w:line="276" w:lineRule="auto"/>
        <w:jc w:val="both"/>
        <w:rPr>
          <w:rFonts w:ascii="Arial" w:hAnsi="Arial" w:cs="Arial"/>
          <w:color w:val="000000" w:themeColor="text1"/>
        </w:rPr>
      </w:pPr>
      <w:r w:rsidRPr="00D048EC">
        <w:rPr>
          <w:rFonts w:ascii="Arial" w:hAnsi="Arial" w:cs="Arial"/>
          <w:i/>
          <w:iCs/>
          <w:color w:val="000000" w:themeColor="text1"/>
        </w:rPr>
        <w:t>eGFR is measured in mL/min/1.73 m². Stages G1 and G2 count as CKD only when other signs of kidney damage, such as a raised ACR, are present.</w:t>
      </w:r>
    </w:p>
    <w:p w14:paraId="7A22CCEB" w14:textId="302B361E" w:rsidR="00B35613" w:rsidRDefault="00000000" w:rsidP="00A12B5C">
      <w:pPr>
        <w:spacing w:after="120" w:line="360" w:lineRule="auto"/>
        <w:jc w:val="both"/>
        <w:rPr>
          <w:rFonts w:ascii="Arial" w:hAnsi="Arial" w:cs="Arial"/>
          <w:color w:val="000000" w:themeColor="text1"/>
        </w:rPr>
      </w:pPr>
      <w:r w:rsidRPr="00D048EC">
        <w:rPr>
          <w:rFonts w:ascii="Arial" w:hAnsi="Arial" w:cs="Arial"/>
          <w:color w:val="000000" w:themeColor="text1"/>
        </w:rPr>
        <w:t>Numbers need context, however. eGFR naturally declines with age, so a modestly reduced value in an otherwise healthy older adult may reflect ageing rather than disease, and critics argue that labelling such people risks anxiety and unnecessary treatment [11]. Supporters of earlier identification reply that albuminuria and falling eGFR reveal genuine risk that would otherwise be missed [12]. A practical resolution is to look beyond a single number. The Kidney Failure Risk Equation uses age, sex, eGFR and ACR to estimate the five-year chance of needing dialysis or a transplant [13], and NICE advises using it to guide referral and monitoring [4].</w:t>
      </w:r>
    </w:p>
    <w:p w14:paraId="5A75317A" w14:textId="77777777" w:rsidR="00A12B5C" w:rsidRDefault="00A12B5C" w:rsidP="00A12B5C">
      <w:pPr>
        <w:spacing w:after="120" w:line="360" w:lineRule="auto"/>
        <w:jc w:val="both"/>
        <w:rPr>
          <w:rFonts w:ascii="Arial" w:hAnsi="Arial" w:cs="Arial"/>
          <w:color w:val="000000" w:themeColor="text1"/>
        </w:rPr>
      </w:pPr>
    </w:p>
    <w:p w14:paraId="623DAB16" w14:textId="77777777" w:rsidR="00A12B5C" w:rsidRPr="00D048EC" w:rsidRDefault="00A12B5C" w:rsidP="00A12B5C">
      <w:pPr>
        <w:spacing w:before="60" w:after="60" w:line="276" w:lineRule="auto"/>
        <w:rPr>
          <w:rFonts w:ascii="Arial" w:hAnsi="Arial" w:cs="Arial"/>
          <w:color w:val="000000" w:themeColor="text1"/>
        </w:rPr>
      </w:pPr>
      <w:r w:rsidRPr="00D048EC">
        <w:rPr>
          <w:rFonts w:ascii="Arial" w:hAnsi="Arial" w:cs="Arial"/>
          <w:b/>
          <w:bCs/>
          <w:color w:val="000000" w:themeColor="text1"/>
          <w:sz w:val="24"/>
          <w:szCs w:val="24"/>
        </w:rPr>
        <w:t>Key points</w:t>
      </w:r>
    </w:p>
    <w:p w14:paraId="72D96918" w14:textId="77777777" w:rsidR="00A12B5C" w:rsidRPr="00D048EC" w:rsidRDefault="00A12B5C" w:rsidP="00A12B5C">
      <w:pPr>
        <w:pStyle w:val="ListParagraph"/>
        <w:numPr>
          <w:ilvl w:val="0"/>
          <w:numId w:val="3"/>
        </w:numPr>
        <w:spacing w:after="40" w:line="300" w:lineRule="auto"/>
        <w:jc w:val="both"/>
        <w:rPr>
          <w:rFonts w:ascii="Arial" w:hAnsi="Arial" w:cs="Arial"/>
          <w:color w:val="000000" w:themeColor="text1"/>
        </w:rPr>
      </w:pPr>
      <w:r w:rsidRPr="00D048EC">
        <w:rPr>
          <w:rFonts w:ascii="Arial" w:hAnsi="Arial" w:cs="Arial"/>
          <w:color w:val="000000" w:themeColor="text1"/>
        </w:rPr>
        <w:t>CKD means reduced kidney function or kidney damage lasting more than three months.</w:t>
      </w:r>
    </w:p>
    <w:p w14:paraId="19A1B276" w14:textId="77777777" w:rsidR="00A12B5C" w:rsidRPr="00D048EC" w:rsidRDefault="00A12B5C" w:rsidP="00A12B5C">
      <w:pPr>
        <w:pStyle w:val="ListParagraph"/>
        <w:numPr>
          <w:ilvl w:val="0"/>
          <w:numId w:val="3"/>
        </w:numPr>
        <w:spacing w:after="40" w:line="300" w:lineRule="auto"/>
        <w:jc w:val="both"/>
        <w:rPr>
          <w:rFonts w:ascii="Arial" w:hAnsi="Arial" w:cs="Arial"/>
          <w:color w:val="000000" w:themeColor="text1"/>
        </w:rPr>
      </w:pPr>
      <w:r w:rsidRPr="00D048EC">
        <w:rPr>
          <w:rFonts w:ascii="Arial" w:hAnsi="Arial" w:cs="Arial"/>
          <w:color w:val="000000" w:themeColor="text1"/>
        </w:rPr>
        <w:t>Two tests define it: eGFR (blood) and ACR (urine).</w:t>
      </w:r>
    </w:p>
    <w:p w14:paraId="4A687F43" w14:textId="6B480C57" w:rsidR="00D048EC" w:rsidRPr="00A12B5C" w:rsidRDefault="00A12B5C" w:rsidP="00A12B5C">
      <w:pPr>
        <w:pStyle w:val="ListParagraph"/>
        <w:numPr>
          <w:ilvl w:val="0"/>
          <w:numId w:val="3"/>
        </w:numPr>
        <w:spacing w:after="120"/>
        <w:rPr>
          <w:rFonts w:ascii="Arial" w:hAnsi="Arial" w:cs="Arial"/>
          <w:color w:val="000000" w:themeColor="text1"/>
        </w:rPr>
      </w:pPr>
      <w:r w:rsidRPr="00A12B5C">
        <w:rPr>
          <w:rFonts w:ascii="Arial" w:hAnsi="Arial" w:cs="Arial"/>
          <w:color w:val="000000" w:themeColor="text1"/>
        </w:rPr>
        <w:t>Risk depends on both results together, not on either alone.</w:t>
      </w:r>
    </w:p>
    <w:p w14:paraId="06AA9E54" w14:textId="77777777" w:rsidR="00A12B5C" w:rsidRDefault="00A12B5C" w:rsidP="00A12B5C">
      <w:pPr>
        <w:spacing w:after="120"/>
        <w:rPr>
          <w:rFonts w:ascii="Arial" w:hAnsi="Arial" w:cs="Arial"/>
          <w:color w:val="000000" w:themeColor="text1"/>
        </w:rPr>
      </w:pPr>
    </w:p>
    <w:p w14:paraId="46DD6B94" w14:textId="77777777" w:rsidR="00A12B5C" w:rsidRDefault="00A12B5C" w:rsidP="00A12B5C">
      <w:pPr>
        <w:spacing w:after="120"/>
        <w:rPr>
          <w:rFonts w:ascii="Arial" w:hAnsi="Arial" w:cs="Arial"/>
          <w:color w:val="000000" w:themeColor="text1"/>
        </w:rPr>
      </w:pPr>
    </w:p>
    <w:p w14:paraId="19864814" w14:textId="77777777" w:rsidR="00A12B5C" w:rsidRDefault="00A12B5C" w:rsidP="00A12B5C">
      <w:pPr>
        <w:spacing w:after="120"/>
        <w:rPr>
          <w:rFonts w:ascii="Arial" w:hAnsi="Arial" w:cs="Arial"/>
          <w:color w:val="000000" w:themeColor="text1"/>
        </w:rPr>
      </w:pPr>
    </w:p>
    <w:p w14:paraId="2DE1AE87" w14:textId="77777777" w:rsidR="00A12B5C" w:rsidRDefault="00A12B5C" w:rsidP="00A12B5C">
      <w:pPr>
        <w:spacing w:after="120"/>
        <w:rPr>
          <w:rFonts w:ascii="Arial" w:hAnsi="Arial" w:cs="Arial"/>
          <w:color w:val="000000" w:themeColor="text1"/>
        </w:rPr>
      </w:pPr>
    </w:p>
    <w:p w14:paraId="52BEC9B3" w14:textId="77777777" w:rsidR="00A12B5C" w:rsidRPr="00D048EC" w:rsidRDefault="00A12B5C" w:rsidP="00A12B5C">
      <w:pPr>
        <w:spacing w:after="120"/>
        <w:rPr>
          <w:rFonts w:ascii="Arial" w:hAnsi="Arial" w:cs="Arial"/>
          <w:color w:val="000000" w:themeColor="text1"/>
        </w:rPr>
      </w:pPr>
    </w:p>
    <w:p w14:paraId="241C4C3C" w14:textId="77777777" w:rsidR="00B35613" w:rsidRPr="00D048EC" w:rsidRDefault="00000000">
      <w:pPr>
        <w:pStyle w:val="Heading1"/>
        <w:keepNext/>
        <w:spacing w:line="360" w:lineRule="auto"/>
        <w:rPr>
          <w:rFonts w:ascii="Arial" w:hAnsi="Arial" w:cs="Arial"/>
          <w:color w:val="000000" w:themeColor="text1"/>
        </w:rPr>
      </w:pPr>
      <w:r w:rsidRPr="00D048EC">
        <w:rPr>
          <w:rFonts w:ascii="Arial" w:hAnsi="Arial" w:cs="Arial"/>
          <w:color w:val="000000" w:themeColor="text1"/>
        </w:rPr>
        <w:lastRenderedPageBreak/>
        <w:t>3. Why CKD matters: the scale of the problem</w:t>
      </w:r>
    </w:p>
    <w:p w14:paraId="6CA54CD2" w14:textId="77777777" w:rsidR="00B35613" w:rsidRPr="00D048EC" w:rsidRDefault="00000000">
      <w:pPr>
        <w:spacing w:after="120" w:line="360" w:lineRule="auto"/>
        <w:jc w:val="both"/>
        <w:rPr>
          <w:rFonts w:ascii="Arial" w:hAnsi="Arial" w:cs="Arial"/>
          <w:color w:val="000000" w:themeColor="text1"/>
        </w:rPr>
      </w:pPr>
      <w:r w:rsidRPr="00D048EC">
        <w:rPr>
          <w:rFonts w:ascii="Arial" w:hAnsi="Arial" w:cs="Arial"/>
          <w:color w:val="000000" w:themeColor="text1"/>
        </w:rPr>
        <w:t>CKD is a major global cause of illness and death. The Global Burden of Disease study estimated that about 697.5 million people worldwide, roughly 9.1% of the population, were living with CKD in 2017, and that it caused 1.2 million deaths [14]. CKD is projected to become the fifth leading cause of years of life lost globally by 2040 [15], and the burden falls heavily on low- and middle-income countries, where treatment for kidney failure is least accessible [16], [17]. Prevalence estimates vary with definitions and populations: one meta-analysis placed global prevalence at 13.4% [18].</w:t>
      </w:r>
    </w:p>
    <w:p w14:paraId="1C8108E1" w14:textId="77777777" w:rsidR="00B35613" w:rsidRPr="00D048EC" w:rsidRDefault="00000000">
      <w:pPr>
        <w:spacing w:after="120" w:line="360" w:lineRule="auto"/>
        <w:jc w:val="both"/>
        <w:rPr>
          <w:rFonts w:ascii="Arial" w:hAnsi="Arial" w:cs="Arial"/>
          <w:color w:val="000000" w:themeColor="text1"/>
        </w:rPr>
      </w:pPr>
      <w:r w:rsidRPr="00D048EC">
        <w:rPr>
          <w:rFonts w:ascii="Arial" w:hAnsi="Arial" w:cs="Arial"/>
          <w:color w:val="000000" w:themeColor="text1"/>
        </w:rPr>
        <w:t>In the UK, Kidney Research UK [1] estimate that 7.2 million people have CKD, including about 3.25 million at stages 3–5 and a further 3.9 million at stages 1–2, many of whom are undiagnosed. The report estimates that kidney disease costs the UK economy £7 billion a year, of which £6.4 billion is direct NHS spending (about 3.2% of NHS expenditure), and projects that total costs could reach £13.9 billion by 2033 without action (Figure 1). Dialysis alone is estimated to cost the economy £372 million annually in lost working time [1]. These figures come from a charity-commissioned economic model that relies on assumptions about prevalence and growth, so they are best treated as informed estimates, although their direction agrees with independent epidemiological reviews [2], [19].</w:t>
      </w:r>
    </w:p>
    <w:p w14:paraId="1D3E6B7E" w14:textId="77777777" w:rsidR="00B35613" w:rsidRPr="00D048EC" w:rsidRDefault="00000000">
      <w:pPr>
        <w:keepNext/>
        <w:spacing w:before="120" w:after="60"/>
        <w:jc w:val="center"/>
        <w:rPr>
          <w:rFonts w:ascii="Arial" w:hAnsi="Arial" w:cs="Arial"/>
          <w:color w:val="000000" w:themeColor="text1"/>
        </w:rPr>
      </w:pPr>
      <w:r w:rsidRPr="00D048EC">
        <w:rPr>
          <w:rFonts w:ascii="Arial" w:hAnsi="Arial" w:cs="Arial"/>
          <w:noProof/>
          <w:color w:val="000000" w:themeColor="text1"/>
        </w:rPr>
        <w:drawing>
          <wp:inline distT="0" distB="0" distL="0" distR="0" wp14:anchorId="2F73FCFE" wp14:editId="0FBD6B7A">
            <wp:extent cx="4953000" cy="2552700"/>
            <wp:effectExtent l="0" t="0" r="0" b="0"/>
            <wp:docPr id="1" name="fig1.png" descr="Bar chart of UK annual cost of kidney disease, 2023 and 2033" title="Bar chart of UK annual cost of kidney disease, 2023 and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4953000" cy="2552700"/>
                    </a:xfrm>
                    <a:prstGeom prst="rect">
                      <a:avLst/>
                    </a:prstGeom>
                  </pic:spPr>
                </pic:pic>
              </a:graphicData>
            </a:graphic>
          </wp:inline>
        </w:drawing>
      </w:r>
    </w:p>
    <w:p w14:paraId="7EAE8CBF" w14:textId="77777777" w:rsidR="00B35613" w:rsidRPr="00D048EC" w:rsidRDefault="00000000">
      <w:pPr>
        <w:keepNext/>
        <w:spacing w:before="120" w:after="80" w:line="276" w:lineRule="auto"/>
        <w:rPr>
          <w:rFonts w:ascii="Arial" w:hAnsi="Arial" w:cs="Arial"/>
          <w:color w:val="000000" w:themeColor="text1"/>
        </w:rPr>
      </w:pPr>
      <w:r w:rsidRPr="00D048EC">
        <w:rPr>
          <w:rFonts w:ascii="Arial" w:hAnsi="Arial" w:cs="Arial"/>
          <w:b/>
          <w:bCs/>
          <w:color w:val="000000" w:themeColor="text1"/>
        </w:rPr>
        <w:t>Figure 1. Estimated annual cost of kidney disease in the UK, 2023 and projected 2033. Data from Kidney Research UK [1].</w:t>
      </w:r>
    </w:p>
    <w:p w14:paraId="095A82A3" w14:textId="77777777" w:rsidR="00B35613" w:rsidRPr="00D048EC" w:rsidRDefault="00000000">
      <w:pPr>
        <w:spacing w:after="120" w:line="360" w:lineRule="auto"/>
        <w:jc w:val="both"/>
        <w:rPr>
          <w:rFonts w:ascii="Arial" w:hAnsi="Arial" w:cs="Arial"/>
          <w:color w:val="000000" w:themeColor="text1"/>
        </w:rPr>
      </w:pPr>
      <w:r w:rsidRPr="00D048EC">
        <w:rPr>
          <w:rFonts w:ascii="Arial" w:hAnsi="Arial" w:cs="Arial"/>
          <w:color w:val="000000" w:themeColor="text1"/>
        </w:rPr>
        <w:t>For most people with CKD, the greatest threat is not kidney failure but cardiovascular disease. Reduced kidney function substantially increases the risk of heart attack, stroke and heart failure, and many people die of cardiovascular causes before they would ever need dialysis [9], [20]. Good CKD care is therefore largely cardiovascular risk management, a point that shapes the treatments described in Section 6.</w:t>
      </w:r>
    </w:p>
    <w:p w14:paraId="70525571" w14:textId="77777777" w:rsidR="00B35613" w:rsidRPr="00D048EC" w:rsidRDefault="00000000">
      <w:pPr>
        <w:pStyle w:val="Heading1"/>
        <w:keepNext/>
        <w:spacing w:line="360" w:lineRule="auto"/>
        <w:rPr>
          <w:rFonts w:ascii="Arial" w:hAnsi="Arial" w:cs="Arial"/>
          <w:color w:val="000000" w:themeColor="text1"/>
        </w:rPr>
      </w:pPr>
      <w:r w:rsidRPr="00D048EC">
        <w:rPr>
          <w:rFonts w:ascii="Arial" w:hAnsi="Arial" w:cs="Arial"/>
          <w:color w:val="000000" w:themeColor="text1"/>
        </w:rPr>
        <w:lastRenderedPageBreak/>
        <w:t>4. Causes and risk factors</w:t>
      </w:r>
    </w:p>
    <w:p w14:paraId="21A4D307" w14:textId="77777777" w:rsidR="00B35613" w:rsidRPr="00D048EC" w:rsidRDefault="00000000">
      <w:pPr>
        <w:spacing w:after="120" w:line="360" w:lineRule="auto"/>
        <w:jc w:val="both"/>
        <w:rPr>
          <w:rFonts w:ascii="Arial" w:hAnsi="Arial" w:cs="Arial"/>
          <w:color w:val="000000" w:themeColor="text1"/>
        </w:rPr>
      </w:pPr>
      <w:r w:rsidRPr="00D048EC">
        <w:rPr>
          <w:rFonts w:ascii="Arial" w:hAnsi="Arial" w:cs="Arial"/>
          <w:color w:val="000000" w:themeColor="text1"/>
        </w:rPr>
        <w:t>The most common causes of CKD are type 2 diabetes and high blood pressure. Glomerulonephritis (inflammation of the kidney filters), polycystic kidney disease, long-term urinary obstruction, recurrent infection, previous acute kidney injury and some medicines, including regular non-steroidal anti-inflammatory drugs (NSAIDs) such as ibuprofen, also contribute [6], [21]. Rising rates of diabetes, obesity and heart disease mean that more people are at risk [1]. NICE advises testing people with diabetes, hypertension, cardiovascular disease, a family history of kidney failure or previous acute kidney injury, and its 2021 update added people with gout [4].</w:t>
      </w:r>
    </w:p>
    <w:p w14:paraId="4B407A80" w14:textId="77777777" w:rsidR="00B35613" w:rsidRPr="00D048EC" w:rsidRDefault="00000000">
      <w:pPr>
        <w:spacing w:after="120" w:line="360" w:lineRule="auto"/>
        <w:jc w:val="both"/>
        <w:rPr>
          <w:rFonts w:ascii="Arial" w:hAnsi="Arial" w:cs="Arial"/>
          <w:color w:val="000000" w:themeColor="text1"/>
        </w:rPr>
      </w:pPr>
      <w:r w:rsidRPr="00D048EC">
        <w:rPr>
          <w:rFonts w:ascii="Arial" w:hAnsi="Arial" w:cs="Arial"/>
          <w:color w:val="000000" w:themeColor="text1"/>
        </w:rPr>
        <w:t>Lifestyle plays a part. Kelly et al. [22] found in a systematic review and meta-analysis that a healthy diet, regular physical activity, not smoking and a healthy body weight were each associated with a lower risk of developing CKD, although most included studies were observational, so cause and effect cannot be assumed.</w:t>
      </w:r>
    </w:p>
    <w:p w14:paraId="03A85ADE" w14:textId="77777777" w:rsidR="00B35613" w:rsidRPr="00D048EC" w:rsidRDefault="00000000">
      <w:pPr>
        <w:spacing w:after="120" w:line="360" w:lineRule="auto"/>
        <w:jc w:val="both"/>
        <w:rPr>
          <w:rFonts w:ascii="Arial" w:hAnsi="Arial" w:cs="Arial"/>
          <w:color w:val="000000" w:themeColor="text1"/>
        </w:rPr>
      </w:pPr>
      <w:r w:rsidRPr="00D048EC">
        <w:rPr>
          <w:rFonts w:ascii="Arial" w:hAnsi="Arial" w:cs="Arial"/>
          <w:color w:val="000000" w:themeColor="text1"/>
        </w:rPr>
        <w:t>Risk is also unequally distributed. Living in more socioeconomically deprived circumstances is associated with higher CKD risk [23], and people from ethnic minority groups appear more likely to progress to kidney failure [24]. These patterns most plausibly reflect an interaction of biology, the prevalence of diabetes and hypertension, and unequal access to early care, rather than ethnicity itself as a cause [25], [26].</w:t>
      </w:r>
    </w:p>
    <w:p w14:paraId="6CB2AC5F" w14:textId="77777777" w:rsidR="00B35613" w:rsidRDefault="00000000">
      <w:pPr>
        <w:spacing w:after="120" w:line="360" w:lineRule="auto"/>
        <w:jc w:val="both"/>
        <w:rPr>
          <w:rFonts w:ascii="Arial" w:hAnsi="Arial" w:cs="Arial"/>
          <w:color w:val="000000" w:themeColor="text1"/>
        </w:rPr>
      </w:pPr>
      <w:r w:rsidRPr="00D048EC">
        <w:rPr>
          <w:rFonts w:ascii="Arial" w:hAnsi="Arial" w:cs="Arial"/>
          <w:color w:val="000000" w:themeColor="text1"/>
        </w:rPr>
        <w:t>The role of ethnicity in measuring kidney function has also been contested. Older eGFR equations applied a multiplier for Black patients, which could delay diagnosis; newer equations omit race [27], and UK guidance has reconsidered ethnicity-based adjustment [4]. The example shows how clinical tools can embed assumptions that affect fairness of care.</w:t>
      </w:r>
    </w:p>
    <w:p w14:paraId="39C412D4" w14:textId="77777777" w:rsidR="00A12B5C" w:rsidRDefault="00A12B5C">
      <w:pPr>
        <w:spacing w:after="120" w:line="360" w:lineRule="auto"/>
        <w:jc w:val="both"/>
        <w:rPr>
          <w:rFonts w:ascii="Arial" w:hAnsi="Arial" w:cs="Arial"/>
          <w:color w:val="000000" w:themeColor="text1"/>
        </w:rPr>
      </w:pPr>
    </w:p>
    <w:p w14:paraId="2224C17A" w14:textId="77777777" w:rsidR="00A12B5C" w:rsidRDefault="00A12B5C">
      <w:pPr>
        <w:spacing w:after="120" w:line="360" w:lineRule="auto"/>
        <w:jc w:val="both"/>
        <w:rPr>
          <w:rFonts w:ascii="Arial" w:hAnsi="Arial" w:cs="Arial"/>
          <w:color w:val="000000" w:themeColor="text1"/>
        </w:rPr>
      </w:pPr>
    </w:p>
    <w:p w14:paraId="01B33D01" w14:textId="77777777" w:rsidR="00A12B5C" w:rsidRDefault="00A12B5C">
      <w:pPr>
        <w:spacing w:after="120" w:line="360" w:lineRule="auto"/>
        <w:jc w:val="both"/>
        <w:rPr>
          <w:rFonts w:ascii="Arial" w:hAnsi="Arial" w:cs="Arial"/>
          <w:color w:val="000000" w:themeColor="text1"/>
        </w:rPr>
      </w:pPr>
    </w:p>
    <w:p w14:paraId="063EA7D9" w14:textId="77777777" w:rsidR="00A12B5C" w:rsidRDefault="00A12B5C">
      <w:pPr>
        <w:spacing w:after="120" w:line="360" w:lineRule="auto"/>
        <w:jc w:val="both"/>
        <w:rPr>
          <w:rFonts w:ascii="Arial" w:hAnsi="Arial" w:cs="Arial"/>
          <w:color w:val="000000" w:themeColor="text1"/>
        </w:rPr>
      </w:pPr>
    </w:p>
    <w:p w14:paraId="748865E4" w14:textId="77777777" w:rsidR="00A12B5C" w:rsidRDefault="00A12B5C">
      <w:pPr>
        <w:spacing w:after="120" w:line="360" w:lineRule="auto"/>
        <w:jc w:val="both"/>
        <w:rPr>
          <w:rFonts w:ascii="Arial" w:hAnsi="Arial" w:cs="Arial"/>
          <w:color w:val="000000" w:themeColor="text1"/>
        </w:rPr>
      </w:pPr>
    </w:p>
    <w:p w14:paraId="073B1C3E" w14:textId="77777777" w:rsidR="00A12B5C" w:rsidRDefault="00A12B5C">
      <w:pPr>
        <w:spacing w:after="120" w:line="360" w:lineRule="auto"/>
        <w:jc w:val="both"/>
        <w:rPr>
          <w:rFonts w:ascii="Arial" w:hAnsi="Arial" w:cs="Arial"/>
          <w:color w:val="000000" w:themeColor="text1"/>
        </w:rPr>
      </w:pPr>
    </w:p>
    <w:p w14:paraId="6A51B97D" w14:textId="77777777" w:rsidR="00A12B5C" w:rsidRDefault="00A12B5C">
      <w:pPr>
        <w:spacing w:after="120" w:line="360" w:lineRule="auto"/>
        <w:jc w:val="both"/>
        <w:rPr>
          <w:rFonts w:ascii="Arial" w:hAnsi="Arial" w:cs="Arial"/>
          <w:color w:val="000000" w:themeColor="text1"/>
        </w:rPr>
      </w:pPr>
    </w:p>
    <w:p w14:paraId="01270B7C" w14:textId="77777777" w:rsidR="00A12B5C" w:rsidRPr="00D048EC" w:rsidRDefault="00A12B5C">
      <w:pPr>
        <w:spacing w:after="120" w:line="360" w:lineRule="auto"/>
        <w:jc w:val="both"/>
        <w:rPr>
          <w:rFonts w:ascii="Arial" w:hAnsi="Arial" w:cs="Arial"/>
          <w:color w:val="000000" w:themeColor="text1"/>
        </w:rPr>
      </w:pPr>
    </w:p>
    <w:p w14:paraId="1D8B9B6B" w14:textId="192ECF99" w:rsidR="00B35613" w:rsidRPr="00D048EC" w:rsidRDefault="00000000">
      <w:pPr>
        <w:pStyle w:val="Heading1"/>
        <w:keepNext/>
        <w:spacing w:line="360" w:lineRule="auto"/>
        <w:rPr>
          <w:rFonts w:ascii="Arial" w:hAnsi="Arial" w:cs="Arial"/>
          <w:color w:val="000000" w:themeColor="text1"/>
        </w:rPr>
      </w:pPr>
      <w:r w:rsidRPr="00D048EC">
        <w:rPr>
          <w:rFonts w:ascii="Arial" w:hAnsi="Arial" w:cs="Arial"/>
          <w:color w:val="000000" w:themeColor="text1"/>
        </w:rPr>
        <w:lastRenderedPageBreak/>
        <w:t>5. Detecting CKD</w:t>
      </w:r>
    </w:p>
    <w:p w14:paraId="0FD628B9" w14:textId="77777777" w:rsidR="00B35613" w:rsidRPr="00D048EC" w:rsidRDefault="00000000">
      <w:pPr>
        <w:spacing w:after="120" w:line="360" w:lineRule="auto"/>
        <w:jc w:val="both"/>
        <w:rPr>
          <w:rFonts w:ascii="Arial" w:hAnsi="Arial" w:cs="Arial"/>
          <w:color w:val="000000" w:themeColor="text1"/>
        </w:rPr>
      </w:pPr>
      <w:r w:rsidRPr="00D048EC">
        <w:rPr>
          <w:rFonts w:ascii="Arial" w:hAnsi="Arial" w:cs="Arial"/>
          <w:color w:val="000000" w:themeColor="text1"/>
        </w:rPr>
        <w:t>Early CKD rarely causes symptoms. When they appear they may include tiredness, swollen ankles, breathlessness, itching, foamy urine and needing to pass urine more often at night [8], and by then the disease may be advanced. Detection therefore depends on testing people at risk. In practice, a blood test for eGFR and a urine ACR test are done during routine reviews for diabetes and hypertension, and abnormal results are repeated to confirm that they persist [4]. Primary care studies suggest that CKD is under-recognised and inconsistently coded, which limits both treatment and monitoring [28].</w:t>
      </w:r>
    </w:p>
    <w:p w14:paraId="25E4F44F" w14:textId="77777777" w:rsidR="00B35613" w:rsidRPr="00D048EC" w:rsidRDefault="00000000">
      <w:pPr>
        <w:spacing w:after="120" w:line="360" w:lineRule="auto"/>
        <w:jc w:val="both"/>
        <w:rPr>
          <w:rFonts w:ascii="Arial" w:hAnsi="Arial" w:cs="Arial"/>
          <w:color w:val="000000" w:themeColor="text1"/>
        </w:rPr>
      </w:pPr>
      <w:r w:rsidRPr="00D048EC">
        <w:rPr>
          <w:rFonts w:ascii="Arial" w:hAnsi="Arial" w:cs="Arial"/>
          <w:color w:val="000000" w:themeColor="text1"/>
        </w:rPr>
        <w:t>Whether to go further and screen the whole population is debated, as Table 2 shows.</w:t>
      </w:r>
    </w:p>
    <w:p w14:paraId="5B7D4FE4" w14:textId="77777777" w:rsidR="00B35613" w:rsidRPr="00D048EC" w:rsidRDefault="00000000">
      <w:pPr>
        <w:keepNext/>
        <w:spacing w:before="120" w:after="80" w:line="276" w:lineRule="auto"/>
        <w:rPr>
          <w:rFonts w:ascii="Arial" w:hAnsi="Arial" w:cs="Arial"/>
          <w:color w:val="000000" w:themeColor="text1"/>
        </w:rPr>
      </w:pPr>
      <w:r w:rsidRPr="00D048EC">
        <w:rPr>
          <w:rFonts w:ascii="Arial" w:hAnsi="Arial" w:cs="Arial"/>
          <w:b/>
          <w:bCs/>
          <w:color w:val="000000" w:themeColor="text1"/>
        </w:rPr>
        <w:t>Table 2. Wider testing for CKD: arguments for and against</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3"/>
        <w:gridCol w:w="4513"/>
      </w:tblGrid>
      <w:tr w:rsidR="00B35613" w:rsidRPr="00D048EC" w14:paraId="62EE45CC" w14:textId="77777777" w:rsidTr="00A12B5C">
        <w:tblPrEx>
          <w:tblCellMar>
            <w:top w:w="0" w:type="dxa"/>
            <w:bottom w:w="0" w:type="dxa"/>
          </w:tblCellMar>
        </w:tblPrEx>
        <w:trPr>
          <w:tblHeader/>
        </w:trPr>
        <w:tc>
          <w:tcPr>
            <w:tcW w:w="4513" w:type="dxa"/>
            <w:tcBorders>
              <w:top w:val="single" w:sz="4" w:space="0" w:color="B7C9CC"/>
              <w:left w:val="single" w:sz="4" w:space="0" w:color="B7C9CC"/>
              <w:bottom w:val="single" w:sz="4" w:space="0" w:color="B7C9CC"/>
              <w:right w:val="single" w:sz="4" w:space="0" w:color="B7C9CC"/>
            </w:tcBorders>
            <w:tcMar>
              <w:top w:w="60" w:type="dxa"/>
              <w:left w:w="110" w:type="dxa"/>
              <w:bottom w:w="60" w:type="dxa"/>
              <w:right w:w="110" w:type="dxa"/>
            </w:tcMar>
          </w:tcPr>
          <w:p w14:paraId="716ECBD2" w14:textId="77777777" w:rsidR="00B35613" w:rsidRPr="00D048EC" w:rsidRDefault="00000000">
            <w:pPr>
              <w:keepNext/>
              <w:spacing w:before="40" w:after="40" w:line="259" w:lineRule="auto"/>
              <w:rPr>
                <w:rFonts w:ascii="Arial" w:hAnsi="Arial" w:cs="Arial"/>
                <w:color w:val="000000" w:themeColor="text1"/>
              </w:rPr>
            </w:pPr>
            <w:r w:rsidRPr="00D048EC">
              <w:rPr>
                <w:rFonts w:ascii="Arial" w:hAnsi="Arial" w:cs="Arial"/>
                <w:b/>
                <w:bCs/>
                <w:color w:val="000000" w:themeColor="text1"/>
              </w:rPr>
              <w:t>Arguments for earlier, wider testing</w:t>
            </w:r>
          </w:p>
        </w:tc>
        <w:tc>
          <w:tcPr>
            <w:tcW w:w="4513" w:type="dxa"/>
            <w:tcBorders>
              <w:top w:val="single" w:sz="4" w:space="0" w:color="B7C9CC"/>
              <w:left w:val="single" w:sz="4" w:space="0" w:color="B7C9CC"/>
              <w:bottom w:val="single" w:sz="4" w:space="0" w:color="B7C9CC"/>
              <w:right w:val="single" w:sz="4" w:space="0" w:color="B7C9CC"/>
            </w:tcBorders>
            <w:tcMar>
              <w:top w:w="60" w:type="dxa"/>
              <w:left w:w="110" w:type="dxa"/>
              <w:bottom w:w="60" w:type="dxa"/>
              <w:right w:w="110" w:type="dxa"/>
            </w:tcMar>
          </w:tcPr>
          <w:p w14:paraId="428E2A01" w14:textId="77777777" w:rsidR="00B35613" w:rsidRPr="00D048EC" w:rsidRDefault="00000000">
            <w:pPr>
              <w:keepNext/>
              <w:spacing w:before="40" w:after="40" w:line="259" w:lineRule="auto"/>
              <w:rPr>
                <w:rFonts w:ascii="Arial" w:hAnsi="Arial" w:cs="Arial"/>
                <w:color w:val="000000" w:themeColor="text1"/>
              </w:rPr>
            </w:pPr>
            <w:r w:rsidRPr="00D048EC">
              <w:rPr>
                <w:rFonts w:ascii="Arial" w:hAnsi="Arial" w:cs="Arial"/>
                <w:b/>
                <w:bCs/>
                <w:color w:val="000000" w:themeColor="text1"/>
              </w:rPr>
              <w:t>Arguments for caution</w:t>
            </w:r>
          </w:p>
        </w:tc>
      </w:tr>
      <w:tr w:rsidR="00B35613" w:rsidRPr="00D048EC" w14:paraId="07B8305A" w14:textId="77777777" w:rsidTr="00A12B5C">
        <w:tblPrEx>
          <w:tblCellMar>
            <w:top w:w="0" w:type="dxa"/>
            <w:bottom w:w="0" w:type="dxa"/>
          </w:tblCellMar>
        </w:tblPrEx>
        <w:trPr>
          <w:cantSplit/>
        </w:trPr>
        <w:tc>
          <w:tcPr>
            <w:tcW w:w="4513" w:type="dxa"/>
            <w:tcBorders>
              <w:top w:val="single" w:sz="4" w:space="0" w:color="B7C9CC"/>
              <w:left w:val="single" w:sz="4" w:space="0" w:color="B7C9CC"/>
              <w:bottom w:val="single" w:sz="4" w:space="0" w:color="B7C9CC"/>
              <w:right w:val="single" w:sz="4" w:space="0" w:color="B7C9CC"/>
            </w:tcBorders>
            <w:tcMar>
              <w:top w:w="60" w:type="dxa"/>
              <w:left w:w="110" w:type="dxa"/>
              <w:bottom w:w="60" w:type="dxa"/>
              <w:right w:w="110" w:type="dxa"/>
            </w:tcMar>
          </w:tcPr>
          <w:p w14:paraId="69F8905A" w14:textId="77777777" w:rsidR="00B35613" w:rsidRPr="00D048EC" w:rsidRDefault="00000000">
            <w:pPr>
              <w:spacing w:before="40" w:after="40" w:line="259" w:lineRule="auto"/>
              <w:rPr>
                <w:rFonts w:ascii="Arial" w:hAnsi="Arial" w:cs="Arial"/>
                <w:color w:val="000000" w:themeColor="text1"/>
              </w:rPr>
            </w:pPr>
            <w:r w:rsidRPr="00D048EC">
              <w:rPr>
                <w:rFonts w:ascii="Arial" w:hAnsi="Arial" w:cs="Arial"/>
                <w:color w:val="000000" w:themeColor="text1"/>
              </w:rPr>
              <w:t>Effective treatments that slow progression now exist, including blood pressure control and SGLT2 inhibitors [4], [29].</w:t>
            </w:r>
          </w:p>
        </w:tc>
        <w:tc>
          <w:tcPr>
            <w:tcW w:w="4513" w:type="dxa"/>
            <w:tcBorders>
              <w:top w:val="single" w:sz="4" w:space="0" w:color="B7C9CC"/>
              <w:left w:val="single" w:sz="4" w:space="0" w:color="B7C9CC"/>
              <w:bottom w:val="single" w:sz="4" w:space="0" w:color="B7C9CC"/>
              <w:right w:val="single" w:sz="4" w:space="0" w:color="B7C9CC"/>
            </w:tcBorders>
            <w:tcMar>
              <w:top w:w="60" w:type="dxa"/>
              <w:left w:w="110" w:type="dxa"/>
              <w:bottom w:w="60" w:type="dxa"/>
              <w:right w:w="110" w:type="dxa"/>
            </w:tcMar>
          </w:tcPr>
          <w:p w14:paraId="7FC6C673" w14:textId="77777777" w:rsidR="00B35613" w:rsidRPr="00D048EC" w:rsidRDefault="00000000">
            <w:pPr>
              <w:spacing w:before="40" w:after="40" w:line="259" w:lineRule="auto"/>
              <w:rPr>
                <w:rFonts w:ascii="Arial" w:hAnsi="Arial" w:cs="Arial"/>
                <w:color w:val="000000" w:themeColor="text1"/>
              </w:rPr>
            </w:pPr>
            <w:r w:rsidRPr="00D048EC">
              <w:rPr>
                <w:rFonts w:ascii="Arial" w:hAnsi="Arial" w:cs="Arial"/>
                <w:color w:val="000000" w:themeColor="text1"/>
              </w:rPr>
              <w:t>Population-wide screening has not been shown to improve outcomes, so targeted testing of high-risk groups is favoured [12].</w:t>
            </w:r>
          </w:p>
        </w:tc>
      </w:tr>
      <w:tr w:rsidR="00B35613" w:rsidRPr="00D048EC" w14:paraId="53C9C6BD" w14:textId="77777777" w:rsidTr="00A12B5C">
        <w:tblPrEx>
          <w:tblCellMar>
            <w:top w:w="0" w:type="dxa"/>
            <w:bottom w:w="0" w:type="dxa"/>
          </w:tblCellMar>
        </w:tblPrEx>
        <w:trPr>
          <w:cantSplit/>
        </w:trPr>
        <w:tc>
          <w:tcPr>
            <w:tcW w:w="4513" w:type="dxa"/>
            <w:tcBorders>
              <w:top w:val="single" w:sz="4" w:space="0" w:color="B7C9CC"/>
              <w:left w:val="single" w:sz="4" w:space="0" w:color="B7C9CC"/>
              <w:bottom w:val="single" w:sz="4" w:space="0" w:color="B7C9CC"/>
              <w:right w:val="single" w:sz="4" w:space="0" w:color="B7C9CC"/>
            </w:tcBorders>
            <w:tcMar>
              <w:top w:w="60" w:type="dxa"/>
              <w:left w:w="110" w:type="dxa"/>
              <w:bottom w:w="60" w:type="dxa"/>
              <w:right w:w="110" w:type="dxa"/>
            </w:tcMar>
          </w:tcPr>
          <w:p w14:paraId="4023A8DD" w14:textId="77777777" w:rsidR="00B35613" w:rsidRPr="00D048EC" w:rsidRDefault="00000000">
            <w:pPr>
              <w:spacing w:before="40" w:after="40" w:line="259" w:lineRule="auto"/>
              <w:rPr>
                <w:rFonts w:ascii="Arial" w:hAnsi="Arial" w:cs="Arial"/>
                <w:color w:val="000000" w:themeColor="text1"/>
              </w:rPr>
            </w:pPr>
            <w:r w:rsidRPr="00D048EC">
              <w:rPr>
                <w:rFonts w:ascii="Arial" w:hAnsi="Arial" w:cs="Arial"/>
                <w:color w:val="000000" w:themeColor="text1"/>
              </w:rPr>
              <w:t>Tests are inexpensive, and earlier treatment may avoid costly dialysis [1].</w:t>
            </w:r>
          </w:p>
        </w:tc>
        <w:tc>
          <w:tcPr>
            <w:tcW w:w="4513" w:type="dxa"/>
            <w:tcBorders>
              <w:top w:val="single" w:sz="4" w:space="0" w:color="B7C9CC"/>
              <w:left w:val="single" w:sz="4" w:space="0" w:color="B7C9CC"/>
              <w:bottom w:val="single" w:sz="4" w:space="0" w:color="B7C9CC"/>
              <w:right w:val="single" w:sz="4" w:space="0" w:color="B7C9CC"/>
            </w:tcBorders>
            <w:tcMar>
              <w:top w:w="60" w:type="dxa"/>
              <w:left w:w="110" w:type="dxa"/>
              <w:bottom w:w="60" w:type="dxa"/>
              <w:right w:w="110" w:type="dxa"/>
            </w:tcMar>
          </w:tcPr>
          <w:p w14:paraId="3311FAA8" w14:textId="77777777" w:rsidR="00B35613" w:rsidRPr="00D048EC" w:rsidRDefault="00000000">
            <w:pPr>
              <w:spacing w:before="40" w:after="40" w:line="259" w:lineRule="auto"/>
              <w:rPr>
                <w:rFonts w:ascii="Arial" w:hAnsi="Arial" w:cs="Arial"/>
                <w:color w:val="000000" w:themeColor="text1"/>
              </w:rPr>
            </w:pPr>
            <w:r w:rsidRPr="00D048EC">
              <w:rPr>
                <w:rFonts w:ascii="Arial" w:hAnsi="Arial" w:cs="Arial"/>
                <w:color w:val="000000" w:themeColor="text1"/>
              </w:rPr>
              <w:t>Age-related decline in eGFR may cause overdiagnosis, anxiety and unnecessary medicines in people unlikely to progress [11].</w:t>
            </w:r>
          </w:p>
        </w:tc>
      </w:tr>
      <w:tr w:rsidR="00B35613" w:rsidRPr="00D048EC" w14:paraId="4035DEF6" w14:textId="77777777" w:rsidTr="00A12B5C">
        <w:tblPrEx>
          <w:tblCellMar>
            <w:top w:w="0" w:type="dxa"/>
            <w:bottom w:w="0" w:type="dxa"/>
          </w:tblCellMar>
        </w:tblPrEx>
        <w:trPr>
          <w:cantSplit/>
        </w:trPr>
        <w:tc>
          <w:tcPr>
            <w:tcW w:w="4513" w:type="dxa"/>
            <w:tcBorders>
              <w:top w:val="single" w:sz="4" w:space="0" w:color="B7C9CC"/>
              <w:left w:val="single" w:sz="4" w:space="0" w:color="B7C9CC"/>
              <w:bottom w:val="single" w:sz="4" w:space="0" w:color="B7C9CC"/>
              <w:right w:val="single" w:sz="4" w:space="0" w:color="B7C9CC"/>
            </w:tcBorders>
            <w:tcMar>
              <w:top w:w="60" w:type="dxa"/>
              <w:left w:w="110" w:type="dxa"/>
              <w:bottom w:w="60" w:type="dxa"/>
              <w:right w:w="110" w:type="dxa"/>
            </w:tcMar>
          </w:tcPr>
          <w:p w14:paraId="7EDA13FA" w14:textId="77777777" w:rsidR="00B35613" w:rsidRPr="00D048EC" w:rsidRDefault="00000000">
            <w:pPr>
              <w:spacing w:before="40" w:after="40" w:line="259" w:lineRule="auto"/>
              <w:rPr>
                <w:rFonts w:ascii="Arial" w:hAnsi="Arial" w:cs="Arial"/>
                <w:color w:val="000000" w:themeColor="text1"/>
              </w:rPr>
            </w:pPr>
            <w:r w:rsidRPr="00D048EC">
              <w:rPr>
                <w:rFonts w:ascii="Arial" w:hAnsi="Arial" w:cs="Arial"/>
                <w:color w:val="000000" w:themeColor="text1"/>
              </w:rPr>
              <w:t>Many people at risk are unaware that they have CKD [1].</w:t>
            </w:r>
          </w:p>
        </w:tc>
        <w:tc>
          <w:tcPr>
            <w:tcW w:w="4513" w:type="dxa"/>
            <w:tcBorders>
              <w:top w:val="single" w:sz="4" w:space="0" w:color="B7C9CC"/>
              <w:left w:val="single" w:sz="4" w:space="0" w:color="B7C9CC"/>
              <w:bottom w:val="single" w:sz="4" w:space="0" w:color="B7C9CC"/>
              <w:right w:val="single" w:sz="4" w:space="0" w:color="B7C9CC"/>
            </w:tcBorders>
            <w:tcMar>
              <w:top w:w="60" w:type="dxa"/>
              <w:left w:w="110" w:type="dxa"/>
              <w:bottom w:w="60" w:type="dxa"/>
              <w:right w:w="110" w:type="dxa"/>
            </w:tcMar>
          </w:tcPr>
          <w:p w14:paraId="0F3D5D6D" w14:textId="77777777" w:rsidR="00B35613" w:rsidRPr="00D048EC" w:rsidRDefault="00000000">
            <w:pPr>
              <w:spacing w:before="40" w:after="40" w:line="259" w:lineRule="auto"/>
              <w:rPr>
                <w:rFonts w:ascii="Arial" w:hAnsi="Arial" w:cs="Arial"/>
                <w:color w:val="000000" w:themeColor="text1"/>
              </w:rPr>
            </w:pPr>
            <w:r w:rsidRPr="00D048EC">
              <w:rPr>
                <w:rFonts w:ascii="Arial" w:hAnsi="Arial" w:cs="Arial"/>
                <w:color w:val="000000" w:themeColor="text1"/>
              </w:rPr>
              <w:t>Extra testing adds primary care workload and could widen inequalities if uptake is uneven [26].</w:t>
            </w:r>
          </w:p>
        </w:tc>
      </w:tr>
    </w:tbl>
    <w:p w14:paraId="6DB75E54" w14:textId="77777777" w:rsidR="00B35613" w:rsidRPr="00D048EC" w:rsidRDefault="00B35613">
      <w:pPr>
        <w:spacing w:after="120"/>
        <w:rPr>
          <w:rFonts w:ascii="Arial" w:hAnsi="Arial" w:cs="Arial"/>
          <w:color w:val="000000" w:themeColor="text1"/>
        </w:rPr>
      </w:pPr>
    </w:p>
    <w:p w14:paraId="2EAAA9FD" w14:textId="77777777" w:rsidR="00B35613" w:rsidRPr="00D048EC" w:rsidRDefault="00000000">
      <w:pPr>
        <w:spacing w:after="120" w:line="360" w:lineRule="auto"/>
        <w:jc w:val="both"/>
        <w:rPr>
          <w:rFonts w:ascii="Arial" w:hAnsi="Arial" w:cs="Arial"/>
          <w:color w:val="000000" w:themeColor="text1"/>
        </w:rPr>
      </w:pPr>
      <w:r w:rsidRPr="00D048EC">
        <w:rPr>
          <w:rFonts w:ascii="Arial" w:hAnsi="Arial" w:cs="Arial"/>
          <w:color w:val="000000" w:themeColor="text1"/>
        </w:rPr>
        <w:t>On balance, the evidence supports systematic, targeted testing of high-risk groups combined with risk prediction, so that people likely to progress are identified without labelling large numbers of people who are not [12], [11].</w:t>
      </w:r>
    </w:p>
    <w:p w14:paraId="644810EC" w14:textId="77777777" w:rsidR="00B35613" w:rsidRPr="00D048EC" w:rsidRDefault="00000000">
      <w:pPr>
        <w:spacing w:after="120" w:line="360" w:lineRule="auto"/>
        <w:jc w:val="both"/>
        <w:rPr>
          <w:rFonts w:ascii="Arial" w:hAnsi="Arial" w:cs="Arial"/>
          <w:color w:val="000000" w:themeColor="text1"/>
        </w:rPr>
      </w:pPr>
      <w:r w:rsidRPr="00D048EC">
        <w:rPr>
          <w:rFonts w:ascii="Arial" w:hAnsi="Arial" w:cs="Arial"/>
          <w:color w:val="000000" w:themeColor="text1"/>
        </w:rPr>
        <w:t>Interpreting results also takes care. A single abnormal result does not confirm CKD: kidney function can fall temporarily during infection, dehydration or acute illness, so a reduced eGFR is normally repeated, and a raised ACR is confirmed on a further early-morning urine sample before a diagnosis is made [4]. Once CKD is confirmed, the pattern over time matters more than any single value. A stable eGFR in the mildly reduced range carries a very different outlook from one that falls quickly, which is why regular monitoring, and not one-off testing, is the core of good care [5], [13].</w:t>
      </w:r>
    </w:p>
    <w:p w14:paraId="3BBE088C" w14:textId="77777777" w:rsidR="00B35613" w:rsidRPr="00D048EC" w:rsidRDefault="00000000">
      <w:pPr>
        <w:pStyle w:val="Heading1"/>
        <w:keepNext/>
        <w:spacing w:line="360" w:lineRule="auto"/>
        <w:rPr>
          <w:rFonts w:ascii="Arial" w:hAnsi="Arial" w:cs="Arial"/>
          <w:color w:val="000000" w:themeColor="text1"/>
        </w:rPr>
      </w:pPr>
      <w:r w:rsidRPr="00D048EC">
        <w:rPr>
          <w:rFonts w:ascii="Arial" w:hAnsi="Arial" w:cs="Arial"/>
          <w:color w:val="000000" w:themeColor="text1"/>
        </w:rPr>
        <w:lastRenderedPageBreak/>
        <w:t>6. Treating and slowing CKD</w:t>
      </w:r>
    </w:p>
    <w:p w14:paraId="045AC266" w14:textId="77777777" w:rsidR="00B35613" w:rsidRPr="00D048EC" w:rsidRDefault="00000000">
      <w:pPr>
        <w:spacing w:after="120" w:line="360" w:lineRule="auto"/>
        <w:jc w:val="both"/>
        <w:rPr>
          <w:rFonts w:ascii="Arial" w:hAnsi="Arial" w:cs="Arial"/>
          <w:color w:val="000000" w:themeColor="text1"/>
        </w:rPr>
      </w:pPr>
      <w:r w:rsidRPr="00D048EC">
        <w:rPr>
          <w:rFonts w:ascii="Arial" w:hAnsi="Arial" w:cs="Arial"/>
          <w:color w:val="000000" w:themeColor="text1"/>
        </w:rPr>
        <w:t>There is no cure for established CKD, but progression can often be slowed and cardiovascular risk reduced. Table 3 summarises the main approaches, and the text that follows examines the evidence critically.</w:t>
      </w:r>
    </w:p>
    <w:p w14:paraId="28E066DF" w14:textId="77777777" w:rsidR="00B35613" w:rsidRPr="00D048EC" w:rsidRDefault="00000000">
      <w:pPr>
        <w:keepNext/>
        <w:spacing w:before="120" w:after="80" w:line="276" w:lineRule="auto"/>
        <w:rPr>
          <w:rFonts w:ascii="Arial" w:hAnsi="Arial" w:cs="Arial"/>
          <w:color w:val="000000" w:themeColor="text1"/>
        </w:rPr>
      </w:pPr>
      <w:r w:rsidRPr="00D048EC">
        <w:rPr>
          <w:rFonts w:ascii="Arial" w:hAnsi="Arial" w:cs="Arial"/>
          <w:b/>
          <w:bCs/>
          <w:color w:val="000000" w:themeColor="text1"/>
        </w:rPr>
        <w:t>Table 3. Main approaches to slowing CKD and reducing risk</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00"/>
        <w:gridCol w:w="4226"/>
        <w:gridCol w:w="2900"/>
      </w:tblGrid>
      <w:tr w:rsidR="00B35613" w:rsidRPr="00D048EC" w14:paraId="3AF5F79C" w14:textId="77777777" w:rsidTr="00A12B5C">
        <w:tblPrEx>
          <w:tblCellMar>
            <w:top w:w="0" w:type="dxa"/>
            <w:bottom w:w="0" w:type="dxa"/>
          </w:tblCellMar>
        </w:tblPrEx>
        <w:trPr>
          <w:tblHeader/>
        </w:trPr>
        <w:tc>
          <w:tcPr>
            <w:tcW w:w="1900" w:type="dxa"/>
            <w:tcBorders>
              <w:top w:val="single" w:sz="4" w:space="0" w:color="B7C9CC"/>
              <w:left w:val="single" w:sz="4" w:space="0" w:color="B7C9CC"/>
              <w:bottom w:val="single" w:sz="4" w:space="0" w:color="B7C9CC"/>
              <w:right w:val="single" w:sz="4" w:space="0" w:color="B7C9CC"/>
            </w:tcBorders>
            <w:tcMar>
              <w:top w:w="60" w:type="dxa"/>
              <w:left w:w="110" w:type="dxa"/>
              <w:bottom w:w="60" w:type="dxa"/>
              <w:right w:w="110" w:type="dxa"/>
            </w:tcMar>
          </w:tcPr>
          <w:p w14:paraId="43D74C1B" w14:textId="77777777" w:rsidR="00B35613" w:rsidRPr="00D048EC" w:rsidRDefault="00000000">
            <w:pPr>
              <w:keepNext/>
              <w:spacing w:before="40" w:after="40" w:line="259" w:lineRule="auto"/>
              <w:rPr>
                <w:rFonts w:ascii="Arial" w:hAnsi="Arial" w:cs="Arial"/>
                <w:color w:val="000000" w:themeColor="text1"/>
              </w:rPr>
            </w:pPr>
            <w:r w:rsidRPr="00D048EC">
              <w:rPr>
                <w:rFonts w:ascii="Arial" w:hAnsi="Arial" w:cs="Arial"/>
                <w:b/>
                <w:bCs/>
                <w:color w:val="000000" w:themeColor="text1"/>
              </w:rPr>
              <w:t>Approach</w:t>
            </w:r>
          </w:p>
        </w:tc>
        <w:tc>
          <w:tcPr>
            <w:tcW w:w="4226" w:type="dxa"/>
            <w:tcBorders>
              <w:top w:val="single" w:sz="4" w:space="0" w:color="B7C9CC"/>
              <w:left w:val="single" w:sz="4" w:space="0" w:color="B7C9CC"/>
              <w:bottom w:val="single" w:sz="4" w:space="0" w:color="B7C9CC"/>
              <w:right w:val="single" w:sz="4" w:space="0" w:color="B7C9CC"/>
            </w:tcBorders>
            <w:tcMar>
              <w:top w:w="60" w:type="dxa"/>
              <w:left w:w="110" w:type="dxa"/>
              <w:bottom w:w="60" w:type="dxa"/>
              <w:right w:w="110" w:type="dxa"/>
            </w:tcMar>
          </w:tcPr>
          <w:p w14:paraId="358F9282" w14:textId="77777777" w:rsidR="00B35613" w:rsidRPr="00D048EC" w:rsidRDefault="00000000">
            <w:pPr>
              <w:keepNext/>
              <w:spacing w:before="40" w:after="40" w:line="259" w:lineRule="auto"/>
              <w:rPr>
                <w:rFonts w:ascii="Arial" w:hAnsi="Arial" w:cs="Arial"/>
                <w:color w:val="000000" w:themeColor="text1"/>
              </w:rPr>
            </w:pPr>
            <w:r w:rsidRPr="00D048EC">
              <w:rPr>
                <w:rFonts w:ascii="Arial" w:hAnsi="Arial" w:cs="Arial"/>
                <w:b/>
                <w:bCs/>
                <w:color w:val="000000" w:themeColor="text1"/>
              </w:rPr>
              <w:t>What the evidence shows</w:t>
            </w:r>
          </w:p>
        </w:tc>
        <w:tc>
          <w:tcPr>
            <w:tcW w:w="2900" w:type="dxa"/>
            <w:tcBorders>
              <w:top w:val="single" w:sz="4" w:space="0" w:color="B7C9CC"/>
              <w:left w:val="single" w:sz="4" w:space="0" w:color="B7C9CC"/>
              <w:bottom w:val="single" w:sz="4" w:space="0" w:color="B7C9CC"/>
              <w:right w:val="single" w:sz="4" w:space="0" w:color="B7C9CC"/>
            </w:tcBorders>
            <w:tcMar>
              <w:top w:w="60" w:type="dxa"/>
              <w:left w:w="110" w:type="dxa"/>
              <w:bottom w:w="60" w:type="dxa"/>
              <w:right w:w="110" w:type="dxa"/>
            </w:tcMar>
          </w:tcPr>
          <w:p w14:paraId="5FF451E0" w14:textId="77777777" w:rsidR="00B35613" w:rsidRPr="00D048EC" w:rsidRDefault="00000000">
            <w:pPr>
              <w:keepNext/>
              <w:spacing w:before="40" w:after="40" w:line="259" w:lineRule="auto"/>
              <w:rPr>
                <w:rFonts w:ascii="Arial" w:hAnsi="Arial" w:cs="Arial"/>
                <w:color w:val="000000" w:themeColor="text1"/>
              </w:rPr>
            </w:pPr>
            <w:r w:rsidRPr="00D048EC">
              <w:rPr>
                <w:rFonts w:ascii="Arial" w:hAnsi="Arial" w:cs="Arial"/>
                <w:b/>
                <w:bCs/>
                <w:color w:val="000000" w:themeColor="text1"/>
              </w:rPr>
              <w:t>Points to consider</w:t>
            </w:r>
          </w:p>
        </w:tc>
      </w:tr>
      <w:tr w:rsidR="00B35613" w:rsidRPr="00D048EC" w14:paraId="50A87436" w14:textId="77777777" w:rsidTr="00A12B5C">
        <w:tblPrEx>
          <w:tblCellMar>
            <w:top w:w="0" w:type="dxa"/>
            <w:bottom w:w="0" w:type="dxa"/>
          </w:tblCellMar>
        </w:tblPrEx>
        <w:trPr>
          <w:cantSplit/>
        </w:trPr>
        <w:tc>
          <w:tcPr>
            <w:tcW w:w="1900" w:type="dxa"/>
            <w:tcBorders>
              <w:top w:val="single" w:sz="4" w:space="0" w:color="B7C9CC"/>
              <w:left w:val="single" w:sz="4" w:space="0" w:color="B7C9CC"/>
              <w:bottom w:val="single" w:sz="4" w:space="0" w:color="B7C9CC"/>
              <w:right w:val="single" w:sz="4" w:space="0" w:color="B7C9CC"/>
            </w:tcBorders>
            <w:tcMar>
              <w:top w:w="60" w:type="dxa"/>
              <w:left w:w="110" w:type="dxa"/>
              <w:bottom w:w="60" w:type="dxa"/>
              <w:right w:w="110" w:type="dxa"/>
            </w:tcMar>
          </w:tcPr>
          <w:p w14:paraId="0928F178" w14:textId="77777777" w:rsidR="00B35613" w:rsidRPr="00D048EC" w:rsidRDefault="00000000">
            <w:pPr>
              <w:spacing w:before="40" w:after="40" w:line="259" w:lineRule="auto"/>
              <w:rPr>
                <w:rFonts w:ascii="Arial" w:hAnsi="Arial" w:cs="Arial"/>
                <w:color w:val="000000" w:themeColor="text1"/>
              </w:rPr>
            </w:pPr>
            <w:r w:rsidRPr="00D048EC">
              <w:rPr>
                <w:rFonts w:ascii="Arial" w:hAnsi="Arial" w:cs="Arial"/>
                <w:b/>
                <w:bCs/>
                <w:color w:val="000000" w:themeColor="text1"/>
              </w:rPr>
              <w:t>Blood pressure control</w:t>
            </w:r>
          </w:p>
        </w:tc>
        <w:tc>
          <w:tcPr>
            <w:tcW w:w="4226" w:type="dxa"/>
            <w:tcBorders>
              <w:top w:val="single" w:sz="4" w:space="0" w:color="B7C9CC"/>
              <w:left w:val="single" w:sz="4" w:space="0" w:color="B7C9CC"/>
              <w:bottom w:val="single" w:sz="4" w:space="0" w:color="B7C9CC"/>
              <w:right w:val="single" w:sz="4" w:space="0" w:color="B7C9CC"/>
            </w:tcBorders>
            <w:tcMar>
              <w:top w:w="60" w:type="dxa"/>
              <w:left w:w="110" w:type="dxa"/>
              <w:bottom w:w="60" w:type="dxa"/>
              <w:right w:w="110" w:type="dxa"/>
            </w:tcMar>
          </w:tcPr>
          <w:p w14:paraId="02C43B40" w14:textId="77777777" w:rsidR="00B35613" w:rsidRPr="00D048EC" w:rsidRDefault="00000000">
            <w:pPr>
              <w:spacing w:before="40" w:after="40" w:line="259" w:lineRule="auto"/>
              <w:rPr>
                <w:rFonts w:ascii="Arial" w:hAnsi="Arial" w:cs="Arial"/>
                <w:color w:val="000000" w:themeColor="text1"/>
              </w:rPr>
            </w:pPr>
            <w:r w:rsidRPr="00D048EC">
              <w:rPr>
                <w:rFonts w:ascii="Arial" w:hAnsi="Arial" w:cs="Arial"/>
                <w:color w:val="000000" w:themeColor="text1"/>
              </w:rPr>
              <w:t>NICE sets a target below 140/90 mmHg, or below 130/80 mmHg when ACR is 70 mg/mmol or more [4]. Intensive control reduced cardiovascular events in SPRINT [30].</w:t>
            </w:r>
          </w:p>
        </w:tc>
        <w:tc>
          <w:tcPr>
            <w:tcW w:w="2900" w:type="dxa"/>
            <w:tcBorders>
              <w:top w:val="single" w:sz="4" w:space="0" w:color="B7C9CC"/>
              <w:left w:val="single" w:sz="4" w:space="0" w:color="B7C9CC"/>
              <w:bottom w:val="single" w:sz="4" w:space="0" w:color="B7C9CC"/>
              <w:right w:val="single" w:sz="4" w:space="0" w:color="B7C9CC"/>
            </w:tcBorders>
            <w:tcMar>
              <w:top w:w="60" w:type="dxa"/>
              <w:left w:w="110" w:type="dxa"/>
              <w:bottom w:w="60" w:type="dxa"/>
              <w:right w:w="110" w:type="dxa"/>
            </w:tcMar>
          </w:tcPr>
          <w:p w14:paraId="3D21B1A2" w14:textId="77777777" w:rsidR="00B35613" w:rsidRPr="00D048EC" w:rsidRDefault="00000000">
            <w:pPr>
              <w:spacing w:before="40" w:after="40" w:line="259" w:lineRule="auto"/>
              <w:rPr>
                <w:rFonts w:ascii="Arial" w:hAnsi="Arial" w:cs="Arial"/>
                <w:color w:val="000000" w:themeColor="text1"/>
              </w:rPr>
            </w:pPr>
            <w:r w:rsidRPr="00D048EC">
              <w:rPr>
                <w:rFonts w:ascii="Arial" w:hAnsi="Arial" w:cs="Arial"/>
                <w:color w:val="000000" w:themeColor="text1"/>
              </w:rPr>
              <w:t>SPRINT excluded people with diabetes, so targets should be individualised [31].</w:t>
            </w:r>
          </w:p>
        </w:tc>
      </w:tr>
      <w:tr w:rsidR="00B35613" w:rsidRPr="00D048EC" w14:paraId="19C5728E" w14:textId="77777777" w:rsidTr="00A12B5C">
        <w:tblPrEx>
          <w:tblCellMar>
            <w:top w:w="0" w:type="dxa"/>
            <w:bottom w:w="0" w:type="dxa"/>
          </w:tblCellMar>
        </w:tblPrEx>
        <w:trPr>
          <w:cantSplit/>
        </w:trPr>
        <w:tc>
          <w:tcPr>
            <w:tcW w:w="1900" w:type="dxa"/>
            <w:tcBorders>
              <w:top w:val="single" w:sz="4" w:space="0" w:color="B7C9CC"/>
              <w:left w:val="single" w:sz="4" w:space="0" w:color="B7C9CC"/>
              <w:bottom w:val="single" w:sz="4" w:space="0" w:color="B7C9CC"/>
              <w:right w:val="single" w:sz="4" w:space="0" w:color="B7C9CC"/>
            </w:tcBorders>
            <w:tcMar>
              <w:top w:w="60" w:type="dxa"/>
              <w:left w:w="110" w:type="dxa"/>
              <w:bottom w:w="60" w:type="dxa"/>
              <w:right w:w="110" w:type="dxa"/>
            </w:tcMar>
          </w:tcPr>
          <w:p w14:paraId="697F1CB9" w14:textId="77777777" w:rsidR="00B35613" w:rsidRPr="00D048EC" w:rsidRDefault="00000000">
            <w:pPr>
              <w:spacing w:before="40" w:after="40" w:line="259" w:lineRule="auto"/>
              <w:rPr>
                <w:rFonts w:ascii="Arial" w:hAnsi="Arial" w:cs="Arial"/>
                <w:color w:val="000000" w:themeColor="text1"/>
              </w:rPr>
            </w:pPr>
            <w:r w:rsidRPr="00D048EC">
              <w:rPr>
                <w:rFonts w:ascii="Arial" w:hAnsi="Arial" w:cs="Arial"/>
                <w:b/>
                <w:bCs/>
                <w:color w:val="000000" w:themeColor="text1"/>
              </w:rPr>
              <w:t>ACE inhibitors or ARBs</w:t>
            </w:r>
          </w:p>
        </w:tc>
        <w:tc>
          <w:tcPr>
            <w:tcW w:w="4226" w:type="dxa"/>
            <w:tcBorders>
              <w:top w:val="single" w:sz="4" w:space="0" w:color="B7C9CC"/>
              <w:left w:val="single" w:sz="4" w:space="0" w:color="B7C9CC"/>
              <w:bottom w:val="single" w:sz="4" w:space="0" w:color="B7C9CC"/>
              <w:right w:val="single" w:sz="4" w:space="0" w:color="B7C9CC"/>
            </w:tcBorders>
            <w:tcMar>
              <w:top w:w="60" w:type="dxa"/>
              <w:left w:w="110" w:type="dxa"/>
              <w:bottom w:w="60" w:type="dxa"/>
              <w:right w:w="110" w:type="dxa"/>
            </w:tcMar>
          </w:tcPr>
          <w:p w14:paraId="4C7DCEA1" w14:textId="77777777" w:rsidR="00B35613" w:rsidRPr="00D048EC" w:rsidRDefault="00000000">
            <w:pPr>
              <w:spacing w:before="40" w:after="40" w:line="259" w:lineRule="auto"/>
              <w:rPr>
                <w:rFonts w:ascii="Arial" w:hAnsi="Arial" w:cs="Arial"/>
                <w:color w:val="000000" w:themeColor="text1"/>
              </w:rPr>
            </w:pPr>
            <w:r w:rsidRPr="00D048EC">
              <w:rPr>
                <w:rFonts w:ascii="Arial" w:hAnsi="Arial" w:cs="Arial"/>
                <w:color w:val="000000" w:themeColor="text1"/>
              </w:rPr>
              <w:t>Losartan reduced a composite of kidney failure, doubled creatinine or death by 16% in diabetic kidney disease [32].</w:t>
            </w:r>
          </w:p>
        </w:tc>
        <w:tc>
          <w:tcPr>
            <w:tcW w:w="2900" w:type="dxa"/>
            <w:tcBorders>
              <w:top w:val="single" w:sz="4" w:space="0" w:color="B7C9CC"/>
              <w:left w:val="single" w:sz="4" w:space="0" w:color="B7C9CC"/>
              <w:bottom w:val="single" w:sz="4" w:space="0" w:color="B7C9CC"/>
              <w:right w:val="single" w:sz="4" w:space="0" w:color="B7C9CC"/>
            </w:tcBorders>
            <w:tcMar>
              <w:top w:w="60" w:type="dxa"/>
              <w:left w:w="110" w:type="dxa"/>
              <w:bottom w:w="60" w:type="dxa"/>
              <w:right w:w="110" w:type="dxa"/>
            </w:tcMar>
          </w:tcPr>
          <w:p w14:paraId="116CE622" w14:textId="77777777" w:rsidR="00B35613" w:rsidRPr="00D048EC" w:rsidRDefault="00000000">
            <w:pPr>
              <w:spacing w:before="40" w:after="40" w:line="259" w:lineRule="auto"/>
              <w:rPr>
                <w:rFonts w:ascii="Arial" w:hAnsi="Arial" w:cs="Arial"/>
                <w:color w:val="000000" w:themeColor="text1"/>
              </w:rPr>
            </w:pPr>
            <w:r w:rsidRPr="00D048EC">
              <w:rPr>
                <w:rFonts w:ascii="Arial" w:hAnsi="Arial" w:cs="Arial"/>
                <w:color w:val="000000" w:themeColor="text1"/>
              </w:rPr>
              <w:t>Blood tests are needed after starting, and doses may need pausing during illness [5].</w:t>
            </w:r>
          </w:p>
        </w:tc>
      </w:tr>
      <w:tr w:rsidR="00B35613" w:rsidRPr="00D048EC" w14:paraId="216C908C" w14:textId="77777777" w:rsidTr="00A12B5C">
        <w:tblPrEx>
          <w:tblCellMar>
            <w:top w:w="0" w:type="dxa"/>
            <w:bottom w:w="0" w:type="dxa"/>
          </w:tblCellMar>
        </w:tblPrEx>
        <w:trPr>
          <w:cantSplit/>
        </w:trPr>
        <w:tc>
          <w:tcPr>
            <w:tcW w:w="1900" w:type="dxa"/>
            <w:tcBorders>
              <w:top w:val="single" w:sz="4" w:space="0" w:color="B7C9CC"/>
              <w:left w:val="single" w:sz="4" w:space="0" w:color="B7C9CC"/>
              <w:bottom w:val="single" w:sz="4" w:space="0" w:color="B7C9CC"/>
              <w:right w:val="single" w:sz="4" w:space="0" w:color="B7C9CC"/>
            </w:tcBorders>
            <w:tcMar>
              <w:top w:w="60" w:type="dxa"/>
              <w:left w:w="110" w:type="dxa"/>
              <w:bottom w:w="60" w:type="dxa"/>
              <w:right w:w="110" w:type="dxa"/>
            </w:tcMar>
          </w:tcPr>
          <w:p w14:paraId="46C88103" w14:textId="77777777" w:rsidR="00B35613" w:rsidRPr="00D048EC" w:rsidRDefault="00000000">
            <w:pPr>
              <w:spacing w:before="40" w:after="40" w:line="259" w:lineRule="auto"/>
              <w:rPr>
                <w:rFonts w:ascii="Arial" w:hAnsi="Arial" w:cs="Arial"/>
                <w:color w:val="000000" w:themeColor="text1"/>
              </w:rPr>
            </w:pPr>
            <w:r w:rsidRPr="00D048EC">
              <w:rPr>
                <w:rFonts w:ascii="Arial" w:hAnsi="Arial" w:cs="Arial"/>
                <w:b/>
                <w:bCs/>
                <w:color w:val="000000" w:themeColor="text1"/>
              </w:rPr>
              <w:t>SGLT2 inhibitors</w:t>
            </w:r>
          </w:p>
        </w:tc>
        <w:tc>
          <w:tcPr>
            <w:tcW w:w="4226" w:type="dxa"/>
            <w:tcBorders>
              <w:top w:val="single" w:sz="4" w:space="0" w:color="B7C9CC"/>
              <w:left w:val="single" w:sz="4" w:space="0" w:color="B7C9CC"/>
              <w:bottom w:val="single" w:sz="4" w:space="0" w:color="B7C9CC"/>
              <w:right w:val="single" w:sz="4" w:space="0" w:color="B7C9CC"/>
            </w:tcBorders>
            <w:tcMar>
              <w:top w:w="60" w:type="dxa"/>
              <w:left w:w="110" w:type="dxa"/>
              <w:bottom w:w="60" w:type="dxa"/>
              <w:right w:w="110" w:type="dxa"/>
            </w:tcMar>
          </w:tcPr>
          <w:p w14:paraId="150A1840" w14:textId="77777777" w:rsidR="00B35613" w:rsidRPr="00D048EC" w:rsidRDefault="00000000">
            <w:pPr>
              <w:spacing w:before="40" w:after="40" w:line="259" w:lineRule="auto"/>
              <w:rPr>
                <w:rFonts w:ascii="Arial" w:hAnsi="Arial" w:cs="Arial"/>
                <w:color w:val="000000" w:themeColor="text1"/>
              </w:rPr>
            </w:pPr>
            <w:r w:rsidRPr="00D048EC">
              <w:rPr>
                <w:rFonts w:ascii="Arial" w:hAnsi="Arial" w:cs="Arial"/>
                <w:color w:val="000000" w:themeColor="text1"/>
              </w:rPr>
              <w:t>Reduced kidney failure and serious decline in kidney function in several large trials (Figure 2).</w:t>
            </w:r>
          </w:p>
        </w:tc>
        <w:tc>
          <w:tcPr>
            <w:tcW w:w="2900" w:type="dxa"/>
            <w:tcBorders>
              <w:top w:val="single" w:sz="4" w:space="0" w:color="B7C9CC"/>
              <w:left w:val="single" w:sz="4" w:space="0" w:color="B7C9CC"/>
              <w:bottom w:val="single" w:sz="4" w:space="0" w:color="B7C9CC"/>
              <w:right w:val="single" w:sz="4" w:space="0" w:color="B7C9CC"/>
            </w:tcBorders>
            <w:tcMar>
              <w:top w:w="60" w:type="dxa"/>
              <w:left w:w="110" w:type="dxa"/>
              <w:bottom w:w="60" w:type="dxa"/>
              <w:right w:w="110" w:type="dxa"/>
            </w:tcMar>
          </w:tcPr>
          <w:p w14:paraId="3F50FFA7" w14:textId="77777777" w:rsidR="00B35613" w:rsidRPr="00D048EC" w:rsidRDefault="00000000">
            <w:pPr>
              <w:spacing w:before="40" w:after="40" w:line="259" w:lineRule="auto"/>
              <w:rPr>
                <w:rFonts w:ascii="Arial" w:hAnsi="Arial" w:cs="Arial"/>
                <w:color w:val="000000" w:themeColor="text1"/>
              </w:rPr>
            </w:pPr>
            <w:r w:rsidRPr="00D048EC">
              <w:rPr>
                <w:rFonts w:ascii="Arial" w:hAnsi="Arial" w:cs="Arial"/>
                <w:color w:val="000000" w:themeColor="text1"/>
              </w:rPr>
              <w:t>Eligibility is restricted, and genital infections and dehydration are risks [5].</w:t>
            </w:r>
          </w:p>
        </w:tc>
      </w:tr>
      <w:tr w:rsidR="00B35613" w:rsidRPr="00D048EC" w14:paraId="75675C08" w14:textId="77777777" w:rsidTr="00A12B5C">
        <w:tblPrEx>
          <w:tblCellMar>
            <w:top w:w="0" w:type="dxa"/>
            <w:bottom w:w="0" w:type="dxa"/>
          </w:tblCellMar>
        </w:tblPrEx>
        <w:trPr>
          <w:cantSplit/>
        </w:trPr>
        <w:tc>
          <w:tcPr>
            <w:tcW w:w="1900" w:type="dxa"/>
            <w:tcBorders>
              <w:top w:val="single" w:sz="4" w:space="0" w:color="B7C9CC"/>
              <w:left w:val="single" w:sz="4" w:space="0" w:color="B7C9CC"/>
              <w:bottom w:val="single" w:sz="4" w:space="0" w:color="B7C9CC"/>
              <w:right w:val="single" w:sz="4" w:space="0" w:color="B7C9CC"/>
            </w:tcBorders>
            <w:tcMar>
              <w:top w:w="60" w:type="dxa"/>
              <w:left w:w="110" w:type="dxa"/>
              <w:bottom w:w="60" w:type="dxa"/>
              <w:right w:w="110" w:type="dxa"/>
            </w:tcMar>
          </w:tcPr>
          <w:p w14:paraId="5CF20D65" w14:textId="77777777" w:rsidR="00B35613" w:rsidRPr="00D048EC" w:rsidRDefault="00000000">
            <w:pPr>
              <w:spacing w:before="40" w:after="40" w:line="259" w:lineRule="auto"/>
              <w:rPr>
                <w:rFonts w:ascii="Arial" w:hAnsi="Arial" w:cs="Arial"/>
                <w:color w:val="000000" w:themeColor="text1"/>
              </w:rPr>
            </w:pPr>
            <w:proofErr w:type="spellStart"/>
            <w:r w:rsidRPr="00D048EC">
              <w:rPr>
                <w:rFonts w:ascii="Arial" w:hAnsi="Arial" w:cs="Arial"/>
                <w:b/>
                <w:bCs/>
                <w:color w:val="000000" w:themeColor="text1"/>
              </w:rPr>
              <w:t>Finerenone</w:t>
            </w:r>
            <w:proofErr w:type="spellEnd"/>
          </w:p>
        </w:tc>
        <w:tc>
          <w:tcPr>
            <w:tcW w:w="4226" w:type="dxa"/>
            <w:tcBorders>
              <w:top w:val="single" w:sz="4" w:space="0" w:color="B7C9CC"/>
              <w:left w:val="single" w:sz="4" w:space="0" w:color="B7C9CC"/>
              <w:bottom w:val="single" w:sz="4" w:space="0" w:color="B7C9CC"/>
              <w:right w:val="single" w:sz="4" w:space="0" w:color="B7C9CC"/>
            </w:tcBorders>
            <w:tcMar>
              <w:top w:w="60" w:type="dxa"/>
              <w:left w:w="110" w:type="dxa"/>
              <w:bottom w:w="60" w:type="dxa"/>
              <w:right w:w="110" w:type="dxa"/>
            </w:tcMar>
          </w:tcPr>
          <w:p w14:paraId="4CF8C0EB" w14:textId="77777777" w:rsidR="00B35613" w:rsidRPr="00D048EC" w:rsidRDefault="00000000">
            <w:pPr>
              <w:spacing w:before="40" w:after="40" w:line="259" w:lineRule="auto"/>
              <w:rPr>
                <w:rFonts w:ascii="Arial" w:hAnsi="Arial" w:cs="Arial"/>
                <w:color w:val="000000" w:themeColor="text1"/>
              </w:rPr>
            </w:pPr>
            <w:r w:rsidRPr="00D048EC">
              <w:rPr>
                <w:rFonts w:ascii="Arial" w:hAnsi="Arial" w:cs="Arial"/>
                <w:color w:val="000000" w:themeColor="text1"/>
              </w:rPr>
              <w:t>Reduced a composite kidney outcome by 18% in type 2 diabetes with CKD [33].</w:t>
            </w:r>
          </w:p>
        </w:tc>
        <w:tc>
          <w:tcPr>
            <w:tcW w:w="2900" w:type="dxa"/>
            <w:tcBorders>
              <w:top w:val="single" w:sz="4" w:space="0" w:color="B7C9CC"/>
              <w:left w:val="single" w:sz="4" w:space="0" w:color="B7C9CC"/>
              <w:bottom w:val="single" w:sz="4" w:space="0" w:color="B7C9CC"/>
              <w:right w:val="single" w:sz="4" w:space="0" w:color="B7C9CC"/>
            </w:tcBorders>
            <w:tcMar>
              <w:top w:w="60" w:type="dxa"/>
              <w:left w:w="110" w:type="dxa"/>
              <w:bottom w:w="60" w:type="dxa"/>
              <w:right w:w="110" w:type="dxa"/>
            </w:tcMar>
          </w:tcPr>
          <w:p w14:paraId="7E0DE06B" w14:textId="77777777" w:rsidR="00B35613" w:rsidRPr="00D048EC" w:rsidRDefault="00000000">
            <w:pPr>
              <w:spacing w:before="40" w:after="40" w:line="259" w:lineRule="auto"/>
              <w:rPr>
                <w:rFonts w:ascii="Arial" w:hAnsi="Arial" w:cs="Arial"/>
                <w:color w:val="000000" w:themeColor="text1"/>
              </w:rPr>
            </w:pPr>
            <w:r w:rsidRPr="00D048EC">
              <w:rPr>
                <w:rFonts w:ascii="Arial" w:hAnsi="Arial" w:cs="Arial"/>
                <w:color w:val="000000" w:themeColor="text1"/>
              </w:rPr>
              <w:t>Potassium levels need monitoring.</w:t>
            </w:r>
          </w:p>
        </w:tc>
      </w:tr>
      <w:tr w:rsidR="00B35613" w:rsidRPr="00D048EC" w14:paraId="79281418" w14:textId="77777777" w:rsidTr="00A12B5C">
        <w:tblPrEx>
          <w:tblCellMar>
            <w:top w:w="0" w:type="dxa"/>
            <w:bottom w:w="0" w:type="dxa"/>
          </w:tblCellMar>
        </w:tblPrEx>
        <w:trPr>
          <w:cantSplit/>
        </w:trPr>
        <w:tc>
          <w:tcPr>
            <w:tcW w:w="1900" w:type="dxa"/>
            <w:tcBorders>
              <w:top w:val="single" w:sz="4" w:space="0" w:color="B7C9CC"/>
              <w:left w:val="single" w:sz="4" w:space="0" w:color="B7C9CC"/>
              <w:bottom w:val="single" w:sz="4" w:space="0" w:color="B7C9CC"/>
              <w:right w:val="single" w:sz="4" w:space="0" w:color="B7C9CC"/>
            </w:tcBorders>
            <w:tcMar>
              <w:top w:w="60" w:type="dxa"/>
              <w:left w:w="110" w:type="dxa"/>
              <w:bottom w:w="60" w:type="dxa"/>
              <w:right w:w="110" w:type="dxa"/>
            </w:tcMar>
          </w:tcPr>
          <w:p w14:paraId="1942A628" w14:textId="77777777" w:rsidR="00B35613" w:rsidRPr="00D048EC" w:rsidRDefault="00000000">
            <w:pPr>
              <w:spacing w:before="40" w:after="40" w:line="259" w:lineRule="auto"/>
              <w:rPr>
                <w:rFonts w:ascii="Arial" w:hAnsi="Arial" w:cs="Arial"/>
                <w:color w:val="000000" w:themeColor="text1"/>
              </w:rPr>
            </w:pPr>
            <w:r w:rsidRPr="00D048EC">
              <w:rPr>
                <w:rFonts w:ascii="Arial" w:hAnsi="Arial" w:cs="Arial"/>
                <w:b/>
                <w:bCs/>
                <w:color w:val="000000" w:themeColor="text1"/>
              </w:rPr>
              <w:t>Statins</w:t>
            </w:r>
          </w:p>
        </w:tc>
        <w:tc>
          <w:tcPr>
            <w:tcW w:w="4226" w:type="dxa"/>
            <w:tcBorders>
              <w:top w:val="single" w:sz="4" w:space="0" w:color="B7C9CC"/>
              <w:left w:val="single" w:sz="4" w:space="0" w:color="B7C9CC"/>
              <w:bottom w:val="single" w:sz="4" w:space="0" w:color="B7C9CC"/>
              <w:right w:val="single" w:sz="4" w:space="0" w:color="B7C9CC"/>
            </w:tcBorders>
            <w:tcMar>
              <w:top w:w="60" w:type="dxa"/>
              <w:left w:w="110" w:type="dxa"/>
              <w:bottom w:w="60" w:type="dxa"/>
              <w:right w:w="110" w:type="dxa"/>
            </w:tcMar>
          </w:tcPr>
          <w:p w14:paraId="2CECFAC3" w14:textId="77777777" w:rsidR="00B35613" w:rsidRPr="00D048EC" w:rsidRDefault="00000000">
            <w:pPr>
              <w:spacing w:before="40" w:after="40" w:line="259" w:lineRule="auto"/>
              <w:rPr>
                <w:rFonts w:ascii="Arial" w:hAnsi="Arial" w:cs="Arial"/>
                <w:color w:val="000000" w:themeColor="text1"/>
              </w:rPr>
            </w:pPr>
            <w:r w:rsidRPr="00D048EC">
              <w:rPr>
                <w:rFonts w:ascii="Arial" w:hAnsi="Arial" w:cs="Arial"/>
                <w:color w:val="000000" w:themeColor="text1"/>
              </w:rPr>
              <w:t>Recommended to reduce cardiovascular risk in CKD [4].</w:t>
            </w:r>
          </w:p>
        </w:tc>
        <w:tc>
          <w:tcPr>
            <w:tcW w:w="2900" w:type="dxa"/>
            <w:tcBorders>
              <w:top w:val="single" w:sz="4" w:space="0" w:color="B7C9CC"/>
              <w:left w:val="single" w:sz="4" w:space="0" w:color="B7C9CC"/>
              <w:bottom w:val="single" w:sz="4" w:space="0" w:color="B7C9CC"/>
              <w:right w:val="single" w:sz="4" w:space="0" w:color="B7C9CC"/>
            </w:tcBorders>
            <w:tcMar>
              <w:top w:w="60" w:type="dxa"/>
              <w:left w:w="110" w:type="dxa"/>
              <w:bottom w:w="60" w:type="dxa"/>
              <w:right w:w="110" w:type="dxa"/>
            </w:tcMar>
          </w:tcPr>
          <w:p w14:paraId="1A5CE774" w14:textId="77777777" w:rsidR="00B35613" w:rsidRPr="00D048EC" w:rsidRDefault="00000000">
            <w:pPr>
              <w:spacing w:before="40" w:after="40" w:line="259" w:lineRule="auto"/>
              <w:rPr>
                <w:rFonts w:ascii="Arial" w:hAnsi="Arial" w:cs="Arial"/>
                <w:color w:val="000000" w:themeColor="text1"/>
              </w:rPr>
            </w:pPr>
            <w:r w:rsidRPr="00D048EC">
              <w:rPr>
                <w:rFonts w:ascii="Arial" w:hAnsi="Arial" w:cs="Arial"/>
                <w:color w:val="000000" w:themeColor="text1"/>
              </w:rPr>
              <w:t>Offered alongside, not instead of, lifestyle change.</w:t>
            </w:r>
          </w:p>
        </w:tc>
      </w:tr>
      <w:tr w:rsidR="00B35613" w:rsidRPr="00D048EC" w14:paraId="6CE3F168" w14:textId="77777777" w:rsidTr="00A12B5C">
        <w:tblPrEx>
          <w:tblCellMar>
            <w:top w:w="0" w:type="dxa"/>
            <w:bottom w:w="0" w:type="dxa"/>
          </w:tblCellMar>
        </w:tblPrEx>
        <w:trPr>
          <w:cantSplit/>
        </w:trPr>
        <w:tc>
          <w:tcPr>
            <w:tcW w:w="1900" w:type="dxa"/>
            <w:tcBorders>
              <w:top w:val="single" w:sz="4" w:space="0" w:color="B7C9CC"/>
              <w:left w:val="single" w:sz="4" w:space="0" w:color="B7C9CC"/>
              <w:bottom w:val="single" w:sz="4" w:space="0" w:color="B7C9CC"/>
              <w:right w:val="single" w:sz="4" w:space="0" w:color="B7C9CC"/>
            </w:tcBorders>
            <w:tcMar>
              <w:top w:w="60" w:type="dxa"/>
              <w:left w:w="110" w:type="dxa"/>
              <w:bottom w:w="60" w:type="dxa"/>
              <w:right w:w="110" w:type="dxa"/>
            </w:tcMar>
          </w:tcPr>
          <w:p w14:paraId="1197DD73" w14:textId="77777777" w:rsidR="00B35613" w:rsidRPr="00D048EC" w:rsidRDefault="00000000">
            <w:pPr>
              <w:spacing w:before="40" w:after="40" w:line="259" w:lineRule="auto"/>
              <w:rPr>
                <w:rFonts w:ascii="Arial" w:hAnsi="Arial" w:cs="Arial"/>
                <w:color w:val="000000" w:themeColor="text1"/>
              </w:rPr>
            </w:pPr>
            <w:r w:rsidRPr="00D048EC">
              <w:rPr>
                <w:rFonts w:ascii="Arial" w:hAnsi="Arial" w:cs="Arial"/>
                <w:b/>
                <w:bCs/>
                <w:color w:val="000000" w:themeColor="text1"/>
              </w:rPr>
              <w:t>Diet and activity</w:t>
            </w:r>
          </w:p>
        </w:tc>
        <w:tc>
          <w:tcPr>
            <w:tcW w:w="4226" w:type="dxa"/>
            <w:tcBorders>
              <w:top w:val="single" w:sz="4" w:space="0" w:color="B7C9CC"/>
              <w:left w:val="single" w:sz="4" w:space="0" w:color="B7C9CC"/>
              <w:bottom w:val="single" w:sz="4" w:space="0" w:color="B7C9CC"/>
              <w:right w:val="single" w:sz="4" w:space="0" w:color="B7C9CC"/>
            </w:tcBorders>
            <w:tcMar>
              <w:top w:w="60" w:type="dxa"/>
              <w:left w:w="110" w:type="dxa"/>
              <w:bottom w:w="60" w:type="dxa"/>
              <w:right w:w="110" w:type="dxa"/>
            </w:tcMar>
          </w:tcPr>
          <w:p w14:paraId="0A173AA8" w14:textId="77777777" w:rsidR="00B35613" w:rsidRPr="00D048EC" w:rsidRDefault="00000000">
            <w:pPr>
              <w:spacing w:before="40" w:after="40" w:line="259" w:lineRule="auto"/>
              <w:rPr>
                <w:rFonts w:ascii="Arial" w:hAnsi="Arial" w:cs="Arial"/>
                <w:color w:val="000000" w:themeColor="text1"/>
              </w:rPr>
            </w:pPr>
            <w:r w:rsidRPr="00D048EC">
              <w:rPr>
                <w:rFonts w:ascii="Arial" w:hAnsi="Arial" w:cs="Arial"/>
                <w:color w:val="000000" w:themeColor="text1"/>
              </w:rPr>
              <w:t>Less than 5 g salt a day and about 150 minutes of moderate activity a week if able [5]. Dietitian advice should be individualised [34].</w:t>
            </w:r>
          </w:p>
        </w:tc>
        <w:tc>
          <w:tcPr>
            <w:tcW w:w="2900" w:type="dxa"/>
            <w:tcBorders>
              <w:top w:val="single" w:sz="4" w:space="0" w:color="B7C9CC"/>
              <w:left w:val="single" w:sz="4" w:space="0" w:color="B7C9CC"/>
              <w:bottom w:val="single" w:sz="4" w:space="0" w:color="B7C9CC"/>
              <w:right w:val="single" w:sz="4" w:space="0" w:color="B7C9CC"/>
            </w:tcBorders>
            <w:tcMar>
              <w:top w:w="60" w:type="dxa"/>
              <w:left w:w="110" w:type="dxa"/>
              <w:bottom w:w="60" w:type="dxa"/>
              <w:right w:w="110" w:type="dxa"/>
            </w:tcMar>
          </w:tcPr>
          <w:p w14:paraId="3831E326" w14:textId="77777777" w:rsidR="00B35613" w:rsidRPr="00D048EC" w:rsidRDefault="00000000">
            <w:pPr>
              <w:spacing w:before="40" w:after="40" w:line="259" w:lineRule="auto"/>
              <w:rPr>
                <w:rFonts w:ascii="Arial" w:hAnsi="Arial" w:cs="Arial"/>
                <w:color w:val="000000" w:themeColor="text1"/>
              </w:rPr>
            </w:pPr>
            <w:r w:rsidRPr="00D048EC">
              <w:rPr>
                <w:rFonts w:ascii="Arial" w:hAnsi="Arial" w:cs="Arial"/>
                <w:color w:val="000000" w:themeColor="text1"/>
              </w:rPr>
              <w:t>Avoid unsupervised restrictive diets, which risk malnutrition.</w:t>
            </w:r>
          </w:p>
        </w:tc>
      </w:tr>
    </w:tbl>
    <w:p w14:paraId="7FB1235B" w14:textId="77777777" w:rsidR="00B35613" w:rsidRPr="00D048EC" w:rsidRDefault="00B35613">
      <w:pPr>
        <w:spacing w:after="120"/>
        <w:rPr>
          <w:rFonts w:ascii="Arial" w:hAnsi="Arial" w:cs="Arial"/>
          <w:color w:val="000000" w:themeColor="text1"/>
        </w:rPr>
      </w:pPr>
    </w:p>
    <w:p w14:paraId="49A64E92" w14:textId="77777777" w:rsidR="00B35613" w:rsidRPr="00D048EC" w:rsidRDefault="00000000">
      <w:pPr>
        <w:spacing w:after="120" w:line="360" w:lineRule="auto"/>
        <w:jc w:val="both"/>
        <w:rPr>
          <w:rFonts w:ascii="Arial" w:hAnsi="Arial" w:cs="Arial"/>
          <w:color w:val="000000" w:themeColor="text1"/>
        </w:rPr>
      </w:pPr>
      <w:r w:rsidRPr="00D048EC">
        <w:rPr>
          <w:rFonts w:ascii="Arial" w:hAnsi="Arial" w:cs="Arial"/>
          <w:color w:val="000000" w:themeColor="text1"/>
        </w:rPr>
        <w:t>The most important recent advance is the use of sodium-glucose co-transporter 2 (SGLT2) inhibitors, originally diabetes drugs. Randomised trials showed that canagliflozin reduced kidney failure and serious kidney decline in people with type 2 diabetes [35], and the later DAPA-CKD and EMPA-KIDNEY trials showed benefit in people with CKD whether or not they had diabetes [36], [37]. NICE has recommended dapagliflozin and empagliflozin for defined groups of adults with CKD [29], [38]. Even so, trial participants were closely supervised, so benefits in older, frailer people in routine care are less certain, and the drugs usually need to be paused temporarily during illness with vomiting or diarrhoea [5]. Kidney Research UK [1] argue that wider use of existing treatments is a major opportunity, with modelling suggesting that four interventions could save around 10,000 lives by 2033.</w:t>
      </w:r>
    </w:p>
    <w:p w14:paraId="0C212244" w14:textId="77777777" w:rsidR="00B35613" w:rsidRPr="00D048EC" w:rsidRDefault="00000000">
      <w:pPr>
        <w:keepNext/>
        <w:spacing w:before="120" w:after="60"/>
        <w:jc w:val="center"/>
        <w:rPr>
          <w:rFonts w:ascii="Arial" w:hAnsi="Arial" w:cs="Arial"/>
          <w:color w:val="000000" w:themeColor="text1"/>
        </w:rPr>
      </w:pPr>
      <w:r w:rsidRPr="00D048EC">
        <w:rPr>
          <w:rFonts w:ascii="Arial" w:hAnsi="Arial" w:cs="Arial"/>
          <w:noProof/>
          <w:color w:val="000000" w:themeColor="text1"/>
        </w:rPr>
        <w:lastRenderedPageBreak/>
        <w:drawing>
          <wp:inline distT="0" distB="0" distL="0" distR="0" wp14:anchorId="70D0DA92" wp14:editId="175DF62C">
            <wp:extent cx="4953000" cy="2409825"/>
            <wp:effectExtent l="0" t="0" r="0" b="0"/>
            <wp:docPr id="1280511518" name="fig2.png" descr="Dot plot of hazard ratios from five landmark kidney trials" title="Dot plot of hazard ratios from five landmark kidney tri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953000" cy="2409825"/>
                    </a:xfrm>
                    <a:prstGeom prst="rect">
                      <a:avLst/>
                    </a:prstGeom>
                  </pic:spPr>
                </pic:pic>
              </a:graphicData>
            </a:graphic>
          </wp:inline>
        </w:drawing>
      </w:r>
    </w:p>
    <w:p w14:paraId="6E2C3B67" w14:textId="77777777" w:rsidR="00B35613" w:rsidRPr="00D048EC" w:rsidRDefault="00000000">
      <w:pPr>
        <w:keepNext/>
        <w:spacing w:before="120" w:after="80" w:line="276" w:lineRule="auto"/>
        <w:rPr>
          <w:rFonts w:ascii="Arial" w:hAnsi="Arial" w:cs="Arial"/>
          <w:color w:val="000000" w:themeColor="text1"/>
        </w:rPr>
      </w:pPr>
      <w:r w:rsidRPr="00D048EC">
        <w:rPr>
          <w:rFonts w:ascii="Arial" w:hAnsi="Arial" w:cs="Arial"/>
          <w:b/>
          <w:bCs/>
          <w:color w:val="000000" w:themeColor="text1"/>
        </w:rPr>
        <w:t>Figure 2. Hazard ratios for primary composite outcomes in landmark CKD trials. Sources: [32], [33], [35], [36], [37]. Outcome definitions differ between trials, so comparisons are indicative only.</w:t>
      </w:r>
    </w:p>
    <w:p w14:paraId="31EFE12B" w14:textId="77777777" w:rsidR="00B35613" w:rsidRPr="00D048EC" w:rsidRDefault="00000000">
      <w:pPr>
        <w:spacing w:after="120" w:line="360" w:lineRule="auto"/>
        <w:jc w:val="both"/>
        <w:rPr>
          <w:rFonts w:ascii="Arial" w:hAnsi="Arial" w:cs="Arial"/>
          <w:color w:val="000000" w:themeColor="text1"/>
        </w:rPr>
      </w:pPr>
      <w:r w:rsidRPr="00D048EC">
        <w:rPr>
          <w:rFonts w:ascii="Arial" w:hAnsi="Arial" w:cs="Arial"/>
          <w:color w:val="000000" w:themeColor="text1"/>
        </w:rPr>
        <w:t>Everyday habits add to what medicines achieve. Reducing salt helps blood pressure control and may enhance the effect of some kidney-protective drugs, while regular moderate activity improves cardiovascular fitness [5]. Dietary advice changes with the stage of disease. In earlier stages the emphasis is on a balanced, largely plant-based pattern and a healthy weight, whereas in advanced CKD limits on potassium, phosphate or protein may be needed, but these should be set by a renal dietitian after blood tests rather than adopted unsupervised, because over-restriction risks malnutrition [34], [5]. Stopping smoking and maintaining a healthy weight are associated with a lower risk of developing and worsening CKD, although, as noted earlier, the supporting evidence is largely observational [22].</w:t>
      </w:r>
    </w:p>
    <w:p w14:paraId="295A5312" w14:textId="77777777" w:rsidR="00A12B5C" w:rsidRPr="00D048EC" w:rsidRDefault="00A12B5C" w:rsidP="00A12B5C">
      <w:pPr>
        <w:spacing w:before="60" w:after="60" w:line="276" w:lineRule="auto"/>
        <w:rPr>
          <w:rFonts w:ascii="Arial" w:hAnsi="Arial" w:cs="Arial"/>
          <w:color w:val="000000" w:themeColor="text1"/>
        </w:rPr>
      </w:pPr>
      <w:r w:rsidRPr="00D048EC">
        <w:rPr>
          <w:rFonts w:ascii="Arial" w:hAnsi="Arial" w:cs="Arial"/>
          <w:b/>
          <w:bCs/>
          <w:color w:val="000000" w:themeColor="text1"/>
          <w:sz w:val="24"/>
          <w:szCs w:val="24"/>
        </w:rPr>
        <w:t>Practical safety points</w:t>
      </w:r>
    </w:p>
    <w:p w14:paraId="093198EF" w14:textId="77777777" w:rsidR="00A12B5C" w:rsidRPr="00D048EC" w:rsidRDefault="00A12B5C" w:rsidP="00A12B5C">
      <w:pPr>
        <w:pStyle w:val="ListParagraph"/>
        <w:numPr>
          <w:ilvl w:val="0"/>
          <w:numId w:val="4"/>
        </w:numPr>
        <w:spacing w:after="40" w:line="300" w:lineRule="auto"/>
        <w:jc w:val="both"/>
        <w:rPr>
          <w:rFonts w:ascii="Arial" w:hAnsi="Arial" w:cs="Arial"/>
          <w:color w:val="000000" w:themeColor="text1"/>
        </w:rPr>
      </w:pPr>
      <w:r w:rsidRPr="00D048EC">
        <w:rPr>
          <w:rFonts w:ascii="Arial" w:hAnsi="Arial" w:cs="Arial"/>
          <w:color w:val="000000" w:themeColor="text1"/>
        </w:rPr>
        <w:t>Avoid regular NSAIDs such as ibuprofen unless a clinician advises otherwise.</w:t>
      </w:r>
    </w:p>
    <w:p w14:paraId="4EC4AF90" w14:textId="77777777" w:rsidR="00A12B5C" w:rsidRPr="00D048EC" w:rsidRDefault="00A12B5C" w:rsidP="00A12B5C">
      <w:pPr>
        <w:pStyle w:val="ListParagraph"/>
        <w:numPr>
          <w:ilvl w:val="0"/>
          <w:numId w:val="4"/>
        </w:numPr>
        <w:spacing w:after="40" w:line="300" w:lineRule="auto"/>
        <w:jc w:val="both"/>
        <w:rPr>
          <w:rFonts w:ascii="Arial" w:hAnsi="Arial" w:cs="Arial"/>
          <w:color w:val="000000" w:themeColor="text1"/>
        </w:rPr>
      </w:pPr>
      <w:r w:rsidRPr="00D048EC">
        <w:rPr>
          <w:rFonts w:ascii="Arial" w:hAnsi="Arial" w:cs="Arial"/>
          <w:color w:val="000000" w:themeColor="text1"/>
        </w:rPr>
        <w:t>Ask a pharmacist before starting any new medicine, supplement or herbal remedy.</w:t>
      </w:r>
    </w:p>
    <w:p w14:paraId="6A8FFDA1" w14:textId="77777777" w:rsidR="00A12B5C" w:rsidRPr="00D048EC" w:rsidRDefault="00A12B5C" w:rsidP="00A12B5C">
      <w:pPr>
        <w:pStyle w:val="ListParagraph"/>
        <w:numPr>
          <w:ilvl w:val="0"/>
          <w:numId w:val="4"/>
        </w:numPr>
        <w:spacing w:after="40" w:line="300" w:lineRule="auto"/>
        <w:jc w:val="both"/>
        <w:rPr>
          <w:rFonts w:ascii="Arial" w:hAnsi="Arial" w:cs="Arial"/>
          <w:color w:val="000000" w:themeColor="text1"/>
        </w:rPr>
      </w:pPr>
      <w:r w:rsidRPr="00D048EC">
        <w:rPr>
          <w:rFonts w:ascii="Arial" w:hAnsi="Arial" w:cs="Arial"/>
          <w:color w:val="000000" w:themeColor="text1"/>
        </w:rPr>
        <w:t>If you have vomiting, diarrhoea or fever, ask your GP or pharmacist whether some medicines should be paused temporarily.</w:t>
      </w:r>
    </w:p>
    <w:p w14:paraId="35468931" w14:textId="3101ECEB" w:rsidR="00B35613" w:rsidRDefault="00A12B5C" w:rsidP="00A12B5C">
      <w:pPr>
        <w:pStyle w:val="ListParagraph"/>
        <w:numPr>
          <w:ilvl w:val="0"/>
          <w:numId w:val="4"/>
        </w:numPr>
        <w:spacing w:after="120"/>
        <w:rPr>
          <w:rFonts w:ascii="Arial" w:hAnsi="Arial" w:cs="Arial"/>
          <w:color w:val="000000" w:themeColor="text1"/>
        </w:rPr>
      </w:pPr>
      <w:r w:rsidRPr="00A12B5C">
        <w:rPr>
          <w:rFonts w:ascii="Arial" w:hAnsi="Arial" w:cs="Arial"/>
          <w:color w:val="000000" w:themeColor="text1"/>
        </w:rPr>
        <w:t>Stop smoking, and keep blood pressure and blood sugar well controlled [5], [4].</w:t>
      </w:r>
    </w:p>
    <w:p w14:paraId="74732164" w14:textId="77777777" w:rsidR="00A12B5C" w:rsidRDefault="00A12B5C" w:rsidP="00A12B5C">
      <w:pPr>
        <w:spacing w:after="120"/>
        <w:rPr>
          <w:rFonts w:ascii="Arial" w:hAnsi="Arial" w:cs="Arial"/>
          <w:color w:val="000000" w:themeColor="text1"/>
        </w:rPr>
      </w:pPr>
    </w:p>
    <w:p w14:paraId="7C57575E" w14:textId="77777777" w:rsidR="00A12B5C" w:rsidRDefault="00A12B5C" w:rsidP="00A12B5C">
      <w:pPr>
        <w:spacing w:after="120"/>
        <w:rPr>
          <w:rFonts w:ascii="Arial" w:hAnsi="Arial" w:cs="Arial"/>
          <w:color w:val="000000" w:themeColor="text1"/>
        </w:rPr>
      </w:pPr>
    </w:p>
    <w:p w14:paraId="7FF7C4F0" w14:textId="77777777" w:rsidR="00A12B5C" w:rsidRDefault="00A12B5C" w:rsidP="00A12B5C">
      <w:pPr>
        <w:spacing w:after="120"/>
        <w:rPr>
          <w:rFonts w:ascii="Arial" w:hAnsi="Arial" w:cs="Arial"/>
          <w:color w:val="000000" w:themeColor="text1"/>
        </w:rPr>
      </w:pPr>
    </w:p>
    <w:p w14:paraId="5ECCEF87" w14:textId="77777777" w:rsidR="00A12B5C" w:rsidRDefault="00A12B5C" w:rsidP="00A12B5C">
      <w:pPr>
        <w:spacing w:after="120"/>
        <w:rPr>
          <w:rFonts w:ascii="Arial" w:hAnsi="Arial" w:cs="Arial"/>
          <w:color w:val="000000" w:themeColor="text1"/>
        </w:rPr>
      </w:pPr>
    </w:p>
    <w:p w14:paraId="6F5F8E69" w14:textId="77777777" w:rsidR="00A12B5C" w:rsidRDefault="00A12B5C" w:rsidP="00A12B5C">
      <w:pPr>
        <w:spacing w:after="120"/>
        <w:rPr>
          <w:rFonts w:ascii="Arial" w:hAnsi="Arial" w:cs="Arial"/>
          <w:color w:val="000000" w:themeColor="text1"/>
        </w:rPr>
      </w:pPr>
    </w:p>
    <w:p w14:paraId="2923A883" w14:textId="77777777" w:rsidR="00A12B5C" w:rsidRPr="00A12B5C" w:rsidRDefault="00A12B5C" w:rsidP="00A12B5C">
      <w:pPr>
        <w:spacing w:after="120"/>
        <w:rPr>
          <w:rFonts w:ascii="Arial" w:hAnsi="Arial" w:cs="Arial"/>
          <w:color w:val="000000" w:themeColor="text1"/>
        </w:rPr>
      </w:pPr>
    </w:p>
    <w:p w14:paraId="6E09F7D6" w14:textId="77777777" w:rsidR="00B35613" w:rsidRPr="00D048EC" w:rsidRDefault="00000000">
      <w:pPr>
        <w:pStyle w:val="Heading1"/>
        <w:keepNext/>
        <w:spacing w:line="360" w:lineRule="auto"/>
        <w:rPr>
          <w:rFonts w:ascii="Arial" w:hAnsi="Arial" w:cs="Arial"/>
          <w:color w:val="000000" w:themeColor="text1"/>
        </w:rPr>
      </w:pPr>
      <w:r w:rsidRPr="00D048EC">
        <w:rPr>
          <w:rFonts w:ascii="Arial" w:hAnsi="Arial" w:cs="Arial"/>
          <w:color w:val="000000" w:themeColor="text1"/>
        </w:rPr>
        <w:lastRenderedPageBreak/>
        <w:t>7. Chronic disease models applied to CKD</w:t>
      </w:r>
    </w:p>
    <w:p w14:paraId="0F75C12F" w14:textId="77777777" w:rsidR="00B35613" w:rsidRPr="00D048EC" w:rsidRDefault="00000000">
      <w:pPr>
        <w:spacing w:after="120" w:line="360" w:lineRule="auto"/>
        <w:jc w:val="both"/>
        <w:rPr>
          <w:rFonts w:ascii="Arial" w:hAnsi="Arial" w:cs="Arial"/>
          <w:color w:val="000000" w:themeColor="text1"/>
        </w:rPr>
      </w:pPr>
      <w:r w:rsidRPr="00D048EC">
        <w:rPr>
          <w:rFonts w:ascii="Arial" w:hAnsi="Arial" w:cs="Arial"/>
          <w:color w:val="000000" w:themeColor="text1"/>
        </w:rPr>
        <w:t>CKD is lifelong, driven by several interacting risk factors and managed mostly outside hospital, so frameworks designed for chronic disease offer a useful structure for organising care. Two are especially relevant: the Chronic Care Model, which works at the level of the practice and patient, and the World Health Organization’s Innovative Care for Chronic Conditions (ICCC) framework, which extends to communities and policy.</w:t>
      </w:r>
    </w:p>
    <w:p w14:paraId="3380E60A" w14:textId="77777777" w:rsidR="00B35613" w:rsidRPr="00D048EC" w:rsidRDefault="00000000">
      <w:pPr>
        <w:pStyle w:val="Heading2"/>
        <w:keepNext/>
        <w:spacing w:line="360" w:lineRule="auto"/>
        <w:rPr>
          <w:rFonts w:ascii="Arial" w:hAnsi="Arial" w:cs="Arial"/>
          <w:color w:val="000000" w:themeColor="text1"/>
        </w:rPr>
      </w:pPr>
      <w:r w:rsidRPr="00D048EC">
        <w:rPr>
          <w:rFonts w:ascii="Arial" w:hAnsi="Arial" w:cs="Arial"/>
          <w:color w:val="000000" w:themeColor="text1"/>
        </w:rPr>
        <w:t>7.1 The Chronic Care Model</w:t>
      </w:r>
    </w:p>
    <w:p w14:paraId="7305EFC9" w14:textId="77777777" w:rsidR="00B35613" w:rsidRDefault="00000000">
      <w:pPr>
        <w:spacing w:after="120" w:line="360" w:lineRule="auto"/>
        <w:jc w:val="both"/>
        <w:rPr>
          <w:rFonts w:ascii="Arial" w:hAnsi="Arial" w:cs="Arial"/>
          <w:color w:val="000000" w:themeColor="text1"/>
        </w:rPr>
      </w:pPr>
      <w:r w:rsidRPr="00D048EC">
        <w:rPr>
          <w:rFonts w:ascii="Arial" w:hAnsi="Arial" w:cs="Arial"/>
          <w:color w:val="000000" w:themeColor="text1"/>
        </w:rPr>
        <w:t>Wagner [39] proposed that outcomes improve when an informed, activated patient interacts with a prepared, proactive practice team. Bodenheimer, Wagner and Grumbach [40] describe six elements, which Table 4 applies to CKD. The model suits CKD because good care depends on registers to find people at risk, agreed protocols and patients who manage medicines and diet. Evidence across chronic conditions suggests that these elements improve care processes and outcomes [40], but CKD-specific trials are limited, and models of care for early CKD remain inconsistently implemented [11].</w:t>
      </w:r>
    </w:p>
    <w:p w14:paraId="3BB7F83C" w14:textId="77777777" w:rsidR="00A12B5C" w:rsidRPr="00D048EC" w:rsidRDefault="00A12B5C">
      <w:pPr>
        <w:spacing w:after="120" w:line="360" w:lineRule="auto"/>
        <w:jc w:val="both"/>
        <w:rPr>
          <w:rFonts w:ascii="Arial" w:hAnsi="Arial" w:cs="Arial"/>
          <w:color w:val="000000" w:themeColor="text1"/>
        </w:rPr>
      </w:pPr>
    </w:p>
    <w:p w14:paraId="45CCF046" w14:textId="77777777" w:rsidR="00B35613" w:rsidRPr="00D048EC" w:rsidRDefault="00000000">
      <w:pPr>
        <w:keepNext/>
        <w:spacing w:before="120" w:after="80" w:line="276" w:lineRule="auto"/>
        <w:rPr>
          <w:rFonts w:ascii="Arial" w:hAnsi="Arial" w:cs="Arial"/>
          <w:color w:val="000000" w:themeColor="text1"/>
        </w:rPr>
      </w:pPr>
      <w:r w:rsidRPr="00D048EC">
        <w:rPr>
          <w:rFonts w:ascii="Arial" w:hAnsi="Arial" w:cs="Arial"/>
          <w:b/>
          <w:bCs/>
          <w:color w:val="000000" w:themeColor="text1"/>
        </w:rPr>
        <w:t>Table 4. Elements of the Chronic Care Model applied to CKD</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700"/>
        <w:gridCol w:w="6326"/>
      </w:tblGrid>
      <w:tr w:rsidR="00B35613" w:rsidRPr="00D048EC" w14:paraId="39EBC355" w14:textId="77777777" w:rsidTr="00A12B5C">
        <w:tblPrEx>
          <w:tblCellMar>
            <w:top w:w="0" w:type="dxa"/>
            <w:bottom w:w="0" w:type="dxa"/>
          </w:tblCellMar>
        </w:tblPrEx>
        <w:trPr>
          <w:tblHeader/>
        </w:trPr>
        <w:tc>
          <w:tcPr>
            <w:tcW w:w="2700" w:type="dxa"/>
            <w:tcBorders>
              <w:top w:val="single" w:sz="4" w:space="0" w:color="B7C9CC"/>
              <w:left w:val="single" w:sz="4" w:space="0" w:color="B7C9CC"/>
              <w:bottom w:val="single" w:sz="4" w:space="0" w:color="B7C9CC"/>
              <w:right w:val="single" w:sz="4" w:space="0" w:color="B7C9CC"/>
            </w:tcBorders>
            <w:tcMar>
              <w:top w:w="60" w:type="dxa"/>
              <w:left w:w="110" w:type="dxa"/>
              <w:bottom w:w="60" w:type="dxa"/>
              <w:right w:w="110" w:type="dxa"/>
            </w:tcMar>
          </w:tcPr>
          <w:p w14:paraId="622A89D1" w14:textId="77777777" w:rsidR="00B35613" w:rsidRPr="00D048EC" w:rsidRDefault="00000000">
            <w:pPr>
              <w:keepNext/>
              <w:spacing w:before="40" w:after="40" w:line="259" w:lineRule="auto"/>
              <w:rPr>
                <w:rFonts w:ascii="Arial" w:hAnsi="Arial" w:cs="Arial"/>
                <w:color w:val="000000" w:themeColor="text1"/>
              </w:rPr>
            </w:pPr>
            <w:r w:rsidRPr="00D048EC">
              <w:rPr>
                <w:rFonts w:ascii="Arial" w:hAnsi="Arial" w:cs="Arial"/>
                <w:b/>
                <w:bCs/>
                <w:color w:val="000000" w:themeColor="text1"/>
              </w:rPr>
              <w:t>Model element</w:t>
            </w:r>
          </w:p>
        </w:tc>
        <w:tc>
          <w:tcPr>
            <w:tcW w:w="6326" w:type="dxa"/>
            <w:tcBorders>
              <w:top w:val="single" w:sz="4" w:space="0" w:color="B7C9CC"/>
              <w:left w:val="single" w:sz="4" w:space="0" w:color="B7C9CC"/>
              <w:bottom w:val="single" w:sz="4" w:space="0" w:color="B7C9CC"/>
              <w:right w:val="single" w:sz="4" w:space="0" w:color="B7C9CC"/>
            </w:tcBorders>
            <w:tcMar>
              <w:top w:w="60" w:type="dxa"/>
              <w:left w:w="110" w:type="dxa"/>
              <w:bottom w:w="60" w:type="dxa"/>
              <w:right w:w="110" w:type="dxa"/>
            </w:tcMar>
          </w:tcPr>
          <w:p w14:paraId="14F5EF58" w14:textId="77777777" w:rsidR="00B35613" w:rsidRPr="00D048EC" w:rsidRDefault="00000000">
            <w:pPr>
              <w:keepNext/>
              <w:spacing w:before="40" w:after="40" w:line="259" w:lineRule="auto"/>
              <w:rPr>
                <w:rFonts w:ascii="Arial" w:hAnsi="Arial" w:cs="Arial"/>
                <w:color w:val="000000" w:themeColor="text1"/>
              </w:rPr>
            </w:pPr>
            <w:r w:rsidRPr="00D048EC">
              <w:rPr>
                <w:rFonts w:ascii="Arial" w:hAnsi="Arial" w:cs="Arial"/>
                <w:b/>
                <w:bCs/>
                <w:color w:val="000000" w:themeColor="text1"/>
              </w:rPr>
              <w:t>Application to CKD</w:t>
            </w:r>
          </w:p>
        </w:tc>
      </w:tr>
      <w:tr w:rsidR="00B35613" w:rsidRPr="00D048EC" w14:paraId="0D8CBEB5" w14:textId="77777777" w:rsidTr="00A12B5C">
        <w:tblPrEx>
          <w:tblCellMar>
            <w:top w:w="0" w:type="dxa"/>
            <w:bottom w:w="0" w:type="dxa"/>
          </w:tblCellMar>
        </w:tblPrEx>
        <w:trPr>
          <w:cantSplit/>
        </w:trPr>
        <w:tc>
          <w:tcPr>
            <w:tcW w:w="2700" w:type="dxa"/>
            <w:tcBorders>
              <w:top w:val="single" w:sz="4" w:space="0" w:color="B7C9CC"/>
              <w:left w:val="single" w:sz="4" w:space="0" w:color="B7C9CC"/>
              <w:bottom w:val="single" w:sz="4" w:space="0" w:color="B7C9CC"/>
              <w:right w:val="single" w:sz="4" w:space="0" w:color="B7C9CC"/>
            </w:tcBorders>
            <w:tcMar>
              <w:top w:w="60" w:type="dxa"/>
              <w:left w:w="110" w:type="dxa"/>
              <w:bottom w:w="60" w:type="dxa"/>
              <w:right w:w="110" w:type="dxa"/>
            </w:tcMar>
          </w:tcPr>
          <w:p w14:paraId="24B16ED8" w14:textId="77777777" w:rsidR="00B35613" w:rsidRPr="00D048EC" w:rsidRDefault="00000000">
            <w:pPr>
              <w:spacing w:before="40" w:after="40" w:line="259" w:lineRule="auto"/>
              <w:rPr>
                <w:rFonts w:ascii="Arial" w:hAnsi="Arial" w:cs="Arial"/>
                <w:color w:val="000000" w:themeColor="text1"/>
              </w:rPr>
            </w:pPr>
            <w:r w:rsidRPr="00D048EC">
              <w:rPr>
                <w:rFonts w:ascii="Arial" w:hAnsi="Arial" w:cs="Arial"/>
                <w:color w:val="000000" w:themeColor="text1"/>
              </w:rPr>
              <w:t>Self-management support</w:t>
            </w:r>
          </w:p>
        </w:tc>
        <w:tc>
          <w:tcPr>
            <w:tcW w:w="6326" w:type="dxa"/>
            <w:tcBorders>
              <w:top w:val="single" w:sz="4" w:space="0" w:color="B7C9CC"/>
              <w:left w:val="single" w:sz="4" w:space="0" w:color="B7C9CC"/>
              <w:bottom w:val="single" w:sz="4" w:space="0" w:color="B7C9CC"/>
              <w:right w:val="single" w:sz="4" w:space="0" w:color="B7C9CC"/>
            </w:tcBorders>
            <w:tcMar>
              <w:top w:w="60" w:type="dxa"/>
              <w:left w:w="110" w:type="dxa"/>
              <w:bottom w:w="60" w:type="dxa"/>
              <w:right w:w="110" w:type="dxa"/>
            </w:tcMar>
          </w:tcPr>
          <w:p w14:paraId="45F61B93" w14:textId="77777777" w:rsidR="00B35613" w:rsidRPr="00D048EC" w:rsidRDefault="00000000">
            <w:pPr>
              <w:spacing w:before="40" w:after="40" w:line="259" w:lineRule="auto"/>
              <w:rPr>
                <w:rFonts w:ascii="Arial" w:hAnsi="Arial" w:cs="Arial"/>
                <w:color w:val="000000" w:themeColor="text1"/>
              </w:rPr>
            </w:pPr>
            <w:r w:rsidRPr="00D048EC">
              <w:rPr>
                <w:rFonts w:ascii="Arial" w:hAnsi="Arial" w:cs="Arial"/>
                <w:color w:val="000000" w:themeColor="text1"/>
              </w:rPr>
              <w:t>Teaching people their eGFR and ACR, sick-day medicine rules and salt reduction, with attention to health literacy [41].</w:t>
            </w:r>
          </w:p>
        </w:tc>
      </w:tr>
      <w:tr w:rsidR="00B35613" w:rsidRPr="00D048EC" w14:paraId="2B3F9419" w14:textId="77777777" w:rsidTr="00A12B5C">
        <w:tblPrEx>
          <w:tblCellMar>
            <w:top w:w="0" w:type="dxa"/>
            <w:bottom w:w="0" w:type="dxa"/>
          </w:tblCellMar>
        </w:tblPrEx>
        <w:trPr>
          <w:cantSplit/>
        </w:trPr>
        <w:tc>
          <w:tcPr>
            <w:tcW w:w="2700" w:type="dxa"/>
            <w:tcBorders>
              <w:top w:val="single" w:sz="4" w:space="0" w:color="B7C9CC"/>
              <w:left w:val="single" w:sz="4" w:space="0" w:color="B7C9CC"/>
              <w:bottom w:val="single" w:sz="4" w:space="0" w:color="B7C9CC"/>
              <w:right w:val="single" w:sz="4" w:space="0" w:color="B7C9CC"/>
            </w:tcBorders>
            <w:tcMar>
              <w:top w:w="60" w:type="dxa"/>
              <w:left w:w="110" w:type="dxa"/>
              <w:bottom w:w="60" w:type="dxa"/>
              <w:right w:w="110" w:type="dxa"/>
            </w:tcMar>
          </w:tcPr>
          <w:p w14:paraId="6B7CD33C" w14:textId="77777777" w:rsidR="00B35613" w:rsidRPr="00D048EC" w:rsidRDefault="00000000">
            <w:pPr>
              <w:spacing w:before="40" w:after="40" w:line="259" w:lineRule="auto"/>
              <w:rPr>
                <w:rFonts w:ascii="Arial" w:hAnsi="Arial" w:cs="Arial"/>
                <w:color w:val="000000" w:themeColor="text1"/>
              </w:rPr>
            </w:pPr>
            <w:r w:rsidRPr="00D048EC">
              <w:rPr>
                <w:rFonts w:ascii="Arial" w:hAnsi="Arial" w:cs="Arial"/>
                <w:color w:val="000000" w:themeColor="text1"/>
              </w:rPr>
              <w:t>Delivery system design</w:t>
            </w:r>
          </w:p>
        </w:tc>
        <w:tc>
          <w:tcPr>
            <w:tcW w:w="6326" w:type="dxa"/>
            <w:tcBorders>
              <w:top w:val="single" w:sz="4" w:space="0" w:color="B7C9CC"/>
              <w:left w:val="single" w:sz="4" w:space="0" w:color="B7C9CC"/>
              <w:bottom w:val="single" w:sz="4" w:space="0" w:color="B7C9CC"/>
              <w:right w:val="single" w:sz="4" w:space="0" w:color="B7C9CC"/>
            </w:tcBorders>
            <w:tcMar>
              <w:top w:w="60" w:type="dxa"/>
              <w:left w:w="110" w:type="dxa"/>
              <w:bottom w:w="60" w:type="dxa"/>
              <w:right w:w="110" w:type="dxa"/>
            </w:tcMar>
          </w:tcPr>
          <w:p w14:paraId="2EC08874" w14:textId="77777777" w:rsidR="00B35613" w:rsidRPr="00D048EC" w:rsidRDefault="00000000">
            <w:pPr>
              <w:spacing w:before="40" w:after="40" w:line="259" w:lineRule="auto"/>
              <w:rPr>
                <w:rFonts w:ascii="Arial" w:hAnsi="Arial" w:cs="Arial"/>
                <w:color w:val="000000" w:themeColor="text1"/>
              </w:rPr>
            </w:pPr>
            <w:r w:rsidRPr="00D048EC">
              <w:rPr>
                <w:rFonts w:ascii="Arial" w:hAnsi="Arial" w:cs="Arial"/>
                <w:color w:val="000000" w:themeColor="text1"/>
              </w:rPr>
              <w:t>Defined roles for GPs, pharmacists, dietitians and kidney teams, with referral triggered by risk of kidney failure [4], [13].</w:t>
            </w:r>
          </w:p>
        </w:tc>
      </w:tr>
      <w:tr w:rsidR="00B35613" w:rsidRPr="00D048EC" w14:paraId="17361C85" w14:textId="77777777" w:rsidTr="00A12B5C">
        <w:tblPrEx>
          <w:tblCellMar>
            <w:top w:w="0" w:type="dxa"/>
            <w:bottom w:w="0" w:type="dxa"/>
          </w:tblCellMar>
        </w:tblPrEx>
        <w:trPr>
          <w:cantSplit/>
        </w:trPr>
        <w:tc>
          <w:tcPr>
            <w:tcW w:w="2700" w:type="dxa"/>
            <w:tcBorders>
              <w:top w:val="single" w:sz="4" w:space="0" w:color="B7C9CC"/>
              <w:left w:val="single" w:sz="4" w:space="0" w:color="B7C9CC"/>
              <w:bottom w:val="single" w:sz="4" w:space="0" w:color="B7C9CC"/>
              <w:right w:val="single" w:sz="4" w:space="0" w:color="B7C9CC"/>
            </w:tcBorders>
            <w:tcMar>
              <w:top w:w="60" w:type="dxa"/>
              <w:left w:w="110" w:type="dxa"/>
              <w:bottom w:w="60" w:type="dxa"/>
              <w:right w:w="110" w:type="dxa"/>
            </w:tcMar>
          </w:tcPr>
          <w:p w14:paraId="41214146" w14:textId="77777777" w:rsidR="00B35613" w:rsidRPr="00D048EC" w:rsidRDefault="00000000">
            <w:pPr>
              <w:spacing w:before="40" w:after="40" w:line="259" w:lineRule="auto"/>
              <w:rPr>
                <w:rFonts w:ascii="Arial" w:hAnsi="Arial" w:cs="Arial"/>
                <w:color w:val="000000" w:themeColor="text1"/>
              </w:rPr>
            </w:pPr>
            <w:r w:rsidRPr="00D048EC">
              <w:rPr>
                <w:rFonts w:ascii="Arial" w:hAnsi="Arial" w:cs="Arial"/>
                <w:color w:val="000000" w:themeColor="text1"/>
              </w:rPr>
              <w:t>Decision support</w:t>
            </w:r>
          </w:p>
        </w:tc>
        <w:tc>
          <w:tcPr>
            <w:tcW w:w="6326" w:type="dxa"/>
            <w:tcBorders>
              <w:top w:val="single" w:sz="4" w:space="0" w:color="B7C9CC"/>
              <w:left w:val="single" w:sz="4" w:space="0" w:color="B7C9CC"/>
              <w:bottom w:val="single" w:sz="4" w:space="0" w:color="B7C9CC"/>
              <w:right w:val="single" w:sz="4" w:space="0" w:color="B7C9CC"/>
            </w:tcBorders>
            <w:tcMar>
              <w:top w:w="60" w:type="dxa"/>
              <w:left w:w="110" w:type="dxa"/>
              <w:bottom w:w="60" w:type="dxa"/>
              <w:right w:w="110" w:type="dxa"/>
            </w:tcMar>
          </w:tcPr>
          <w:p w14:paraId="33D1EB21" w14:textId="77777777" w:rsidR="00B35613" w:rsidRPr="00D048EC" w:rsidRDefault="00000000">
            <w:pPr>
              <w:spacing w:before="40" w:after="40" w:line="259" w:lineRule="auto"/>
              <w:rPr>
                <w:rFonts w:ascii="Arial" w:hAnsi="Arial" w:cs="Arial"/>
                <w:color w:val="000000" w:themeColor="text1"/>
              </w:rPr>
            </w:pPr>
            <w:r w:rsidRPr="00D048EC">
              <w:rPr>
                <w:rFonts w:ascii="Arial" w:hAnsi="Arial" w:cs="Arial"/>
                <w:color w:val="000000" w:themeColor="text1"/>
              </w:rPr>
              <w:t>Guidelines and risk equations built into everyday primary care workflows [5], [13].</w:t>
            </w:r>
          </w:p>
        </w:tc>
      </w:tr>
      <w:tr w:rsidR="00B35613" w:rsidRPr="00D048EC" w14:paraId="627DDB03" w14:textId="77777777" w:rsidTr="00A12B5C">
        <w:tblPrEx>
          <w:tblCellMar>
            <w:top w:w="0" w:type="dxa"/>
            <w:bottom w:w="0" w:type="dxa"/>
          </w:tblCellMar>
        </w:tblPrEx>
        <w:trPr>
          <w:cantSplit/>
        </w:trPr>
        <w:tc>
          <w:tcPr>
            <w:tcW w:w="2700" w:type="dxa"/>
            <w:tcBorders>
              <w:top w:val="single" w:sz="4" w:space="0" w:color="B7C9CC"/>
              <w:left w:val="single" w:sz="4" w:space="0" w:color="B7C9CC"/>
              <w:bottom w:val="single" w:sz="4" w:space="0" w:color="B7C9CC"/>
              <w:right w:val="single" w:sz="4" w:space="0" w:color="B7C9CC"/>
            </w:tcBorders>
            <w:tcMar>
              <w:top w:w="60" w:type="dxa"/>
              <w:left w:w="110" w:type="dxa"/>
              <w:bottom w:w="60" w:type="dxa"/>
              <w:right w:w="110" w:type="dxa"/>
            </w:tcMar>
          </w:tcPr>
          <w:p w14:paraId="11F0D164" w14:textId="77777777" w:rsidR="00B35613" w:rsidRPr="00D048EC" w:rsidRDefault="00000000">
            <w:pPr>
              <w:spacing w:before="40" w:after="40" w:line="259" w:lineRule="auto"/>
              <w:rPr>
                <w:rFonts w:ascii="Arial" w:hAnsi="Arial" w:cs="Arial"/>
                <w:color w:val="000000" w:themeColor="text1"/>
              </w:rPr>
            </w:pPr>
            <w:r w:rsidRPr="00D048EC">
              <w:rPr>
                <w:rFonts w:ascii="Arial" w:hAnsi="Arial" w:cs="Arial"/>
                <w:color w:val="000000" w:themeColor="text1"/>
              </w:rPr>
              <w:t>Clinical information systems</w:t>
            </w:r>
          </w:p>
        </w:tc>
        <w:tc>
          <w:tcPr>
            <w:tcW w:w="6326" w:type="dxa"/>
            <w:tcBorders>
              <w:top w:val="single" w:sz="4" w:space="0" w:color="B7C9CC"/>
              <w:left w:val="single" w:sz="4" w:space="0" w:color="B7C9CC"/>
              <w:bottom w:val="single" w:sz="4" w:space="0" w:color="B7C9CC"/>
              <w:right w:val="single" w:sz="4" w:space="0" w:color="B7C9CC"/>
            </w:tcBorders>
            <w:tcMar>
              <w:top w:w="60" w:type="dxa"/>
              <w:left w:w="110" w:type="dxa"/>
              <w:bottom w:w="60" w:type="dxa"/>
              <w:right w:w="110" w:type="dxa"/>
            </w:tcMar>
          </w:tcPr>
          <w:p w14:paraId="5E9DB035" w14:textId="77777777" w:rsidR="00B35613" w:rsidRPr="00D048EC" w:rsidRDefault="00000000">
            <w:pPr>
              <w:spacing w:before="40" w:after="40" w:line="259" w:lineRule="auto"/>
              <w:rPr>
                <w:rFonts w:ascii="Arial" w:hAnsi="Arial" w:cs="Arial"/>
                <w:color w:val="000000" w:themeColor="text1"/>
              </w:rPr>
            </w:pPr>
            <w:r w:rsidRPr="00D048EC">
              <w:rPr>
                <w:rFonts w:ascii="Arial" w:hAnsi="Arial" w:cs="Arial"/>
                <w:color w:val="000000" w:themeColor="text1"/>
              </w:rPr>
              <w:t>Registers and consistent coding to find undiagnosed CKD and monitor treatment [28].</w:t>
            </w:r>
          </w:p>
        </w:tc>
      </w:tr>
      <w:tr w:rsidR="00B35613" w:rsidRPr="00D048EC" w14:paraId="4E921972" w14:textId="77777777" w:rsidTr="00A12B5C">
        <w:tblPrEx>
          <w:tblCellMar>
            <w:top w:w="0" w:type="dxa"/>
            <w:bottom w:w="0" w:type="dxa"/>
          </w:tblCellMar>
        </w:tblPrEx>
        <w:trPr>
          <w:cantSplit/>
        </w:trPr>
        <w:tc>
          <w:tcPr>
            <w:tcW w:w="2700" w:type="dxa"/>
            <w:tcBorders>
              <w:top w:val="single" w:sz="4" w:space="0" w:color="B7C9CC"/>
              <w:left w:val="single" w:sz="4" w:space="0" w:color="B7C9CC"/>
              <w:bottom w:val="single" w:sz="4" w:space="0" w:color="B7C9CC"/>
              <w:right w:val="single" w:sz="4" w:space="0" w:color="B7C9CC"/>
            </w:tcBorders>
            <w:tcMar>
              <w:top w:w="60" w:type="dxa"/>
              <w:left w:w="110" w:type="dxa"/>
              <w:bottom w:w="60" w:type="dxa"/>
              <w:right w:w="110" w:type="dxa"/>
            </w:tcMar>
          </w:tcPr>
          <w:p w14:paraId="1147E24D" w14:textId="77777777" w:rsidR="00B35613" w:rsidRPr="00D048EC" w:rsidRDefault="00000000">
            <w:pPr>
              <w:spacing w:before="40" w:after="40" w:line="259" w:lineRule="auto"/>
              <w:rPr>
                <w:rFonts w:ascii="Arial" w:hAnsi="Arial" w:cs="Arial"/>
                <w:color w:val="000000" w:themeColor="text1"/>
              </w:rPr>
            </w:pPr>
            <w:r w:rsidRPr="00D048EC">
              <w:rPr>
                <w:rFonts w:ascii="Arial" w:hAnsi="Arial" w:cs="Arial"/>
                <w:color w:val="000000" w:themeColor="text1"/>
              </w:rPr>
              <w:t>Health care organisation</w:t>
            </w:r>
          </w:p>
        </w:tc>
        <w:tc>
          <w:tcPr>
            <w:tcW w:w="6326" w:type="dxa"/>
            <w:tcBorders>
              <w:top w:val="single" w:sz="4" w:space="0" w:color="B7C9CC"/>
              <w:left w:val="single" w:sz="4" w:space="0" w:color="B7C9CC"/>
              <w:bottom w:val="single" w:sz="4" w:space="0" w:color="B7C9CC"/>
              <w:right w:val="single" w:sz="4" w:space="0" w:color="B7C9CC"/>
            </w:tcBorders>
            <w:tcMar>
              <w:top w:w="60" w:type="dxa"/>
              <w:left w:w="110" w:type="dxa"/>
              <w:bottom w:w="60" w:type="dxa"/>
              <w:right w:w="110" w:type="dxa"/>
            </w:tcMar>
          </w:tcPr>
          <w:p w14:paraId="0DC16025" w14:textId="77777777" w:rsidR="00B35613" w:rsidRPr="00D048EC" w:rsidRDefault="00000000">
            <w:pPr>
              <w:spacing w:before="40" w:after="40" w:line="259" w:lineRule="auto"/>
              <w:rPr>
                <w:rFonts w:ascii="Arial" w:hAnsi="Arial" w:cs="Arial"/>
                <w:color w:val="000000" w:themeColor="text1"/>
              </w:rPr>
            </w:pPr>
            <w:r w:rsidRPr="00D048EC">
              <w:rPr>
                <w:rFonts w:ascii="Arial" w:hAnsi="Arial" w:cs="Arial"/>
                <w:color w:val="000000" w:themeColor="text1"/>
              </w:rPr>
              <w:t>Leadership and funding that treat kidney care as seriously as diabetes and cardiovascular care [42], [1].</w:t>
            </w:r>
          </w:p>
        </w:tc>
      </w:tr>
      <w:tr w:rsidR="00B35613" w:rsidRPr="00D048EC" w14:paraId="161D8F64" w14:textId="77777777" w:rsidTr="00A12B5C">
        <w:tblPrEx>
          <w:tblCellMar>
            <w:top w:w="0" w:type="dxa"/>
            <w:bottom w:w="0" w:type="dxa"/>
          </w:tblCellMar>
        </w:tblPrEx>
        <w:trPr>
          <w:cantSplit/>
        </w:trPr>
        <w:tc>
          <w:tcPr>
            <w:tcW w:w="2700" w:type="dxa"/>
            <w:tcBorders>
              <w:top w:val="single" w:sz="4" w:space="0" w:color="B7C9CC"/>
              <w:left w:val="single" w:sz="4" w:space="0" w:color="B7C9CC"/>
              <w:bottom w:val="single" w:sz="4" w:space="0" w:color="B7C9CC"/>
              <w:right w:val="single" w:sz="4" w:space="0" w:color="B7C9CC"/>
            </w:tcBorders>
            <w:tcMar>
              <w:top w:w="60" w:type="dxa"/>
              <w:left w:w="110" w:type="dxa"/>
              <w:bottom w:w="60" w:type="dxa"/>
              <w:right w:w="110" w:type="dxa"/>
            </w:tcMar>
          </w:tcPr>
          <w:p w14:paraId="55E7187C" w14:textId="77777777" w:rsidR="00B35613" w:rsidRPr="00D048EC" w:rsidRDefault="00000000">
            <w:pPr>
              <w:spacing w:before="40" w:after="40" w:line="259" w:lineRule="auto"/>
              <w:rPr>
                <w:rFonts w:ascii="Arial" w:hAnsi="Arial" w:cs="Arial"/>
                <w:color w:val="000000" w:themeColor="text1"/>
              </w:rPr>
            </w:pPr>
            <w:r w:rsidRPr="00D048EC">
              <w:rPr>
                <w:rFonts w:ascii="Arial" w:hAnsi="Arial" w:cs="Arial"/>
                <w:color w:val="000000" w:themeColor="text1"/>
              </w:rPr>
              <w:t>Community resources</w:t>
            </w:r>
          </w:p>
        </w:tc>
        <w:tc>
          <w:tcPr>
            <w:tcW w:w="6326" w:type="dxa"/>
            <w:tcBorders>
              <w:top w:val="single" w:sz="4" w:space="0" w:color="B7C9CC"/>
              <w:left w:val="single" w:sz="4" w:space="0" w:color="B7C9CC"/>
              <w:bottom w:val="single" w:sz="4" w:space="0" w:color="B7C9CC"/>
              <w:right w:val="single" w:sz="4" w:space="0" w:color="B7C9CC"/>
            </w:tcBorders>
            <w:tcMar>
              <w:top w:w="60" w:type="dxa"/>
              <w:left w:w="110" w:type="dxa"/>
              <w:bottom w:w="60" w:type="dxa"/>
              <w:right w:w="110" w:type="dxa"/>
            </w:tcMar>
          </w:tcPr>
          <w:p w14:paraId="1DA3205F" w14:textId="77777777" w:rsidR="00B35613" w:rsidRPr="00D048EC" w:rsidRDefault="00000000">
            <w:pPr>
              <w:spacing w:before="40" w:after="40" w:line="259" w:lineRule="auto"/>
              <w:rPr>
                <w:rFonts w:ascii="Arial" w:hAnsi="Arial" w:cs="Arial"/>
                <w:color w:val="000000" w:themeColor="text1"/>
              </w:rPr>
            </w:pPr>
            <w:r w:rsidRPr="00D048EC">
              <w:rPr>
                <w:rFonts w:ascii="Arial" w:hAnsi="Arial" w:cs="Arial"/>
                <w:color w:val="000000" w:themeColor="text1"/>
              </w:rPr>
              <w:t>Charities, peer groups and culturally tailored information [43], [44], [26].</w:t>
            </w:r>
          </w:p>
        </w:tc>
      </w:tr>
    </w:tbl>
    <w:p w14:paraId="0712AF9F" w14:textId="77777777" w:rsidR="00B35613" w:rsidRDefault="00B35613">
      <w:pPr>
        <w:spacing w:after="120"/>
        <w:rPr>
          <w:rFonts w:ascii="Arial" w:hAnsi="Arial" w:cs="Arial"/>
          <w:color w:val="000000" w:themeColor="text1"/>
        </w:rPr>
      </w:pPr>
    </w:p>
    <w:p w14:paraId="40A8AB4B" w14:textId="77777777" w:rsidR="00A12B5C" w:rsidRDefault="00A12B5C">
      <w:pPr>
        <w:spacing w:after="120"/>
        <w:rPr>
          <w:rFonts w:ascii="Arial" w:hAnsi="Arial" w:cs="Arial"/>
          <w:color w:val="000000" w:themeColor="text1"/>
        </w:rPr>
      </w:pPr>
    </w:p>
    <w:p w14:paraId="6515E51A" w14:textId="77777777" w:rsidR="00A12B5C" w:rsidRPr="00D048EC" w:rsidRDefault="00A12B5C">
      <w:pPr>
        <w:spacing w:after="120"/>
        <w:rPr>
          <w:rFonts w:ascii="Arial" w:hAnsi="Arial" w:cs="Arial"/>
          <w:color w:val="000000" w:themeColor="text1"/>
        </w:rPr>
      </w:pPr>
    </w:p>
    <w:p w14:paraId="72E81464" w14:textId="77777777" w:rsidR="00B35613" w:rsidRPr="00D048EC" w:rsidRDefault="00000000">
      <w:pPr>
        <w:pStyle w:val="Heading2"/>
        <w:keepNext/>
        <w:spacing w:line="360" w:lineRule="auto"/>
        <w:rPr>
          <w:rFonts w:ascii="Arial" w:hAnsi="Arial" w:cs="Arial"/>
          <w:color w:val="000000" w:themeColor="text1"/>
        </w:rPr>
      </w:pPr>
      <w:r w:rsidRPr="00D048EC">
        <w:rPr>
          <w:rFonts w:ascii="Arial" w:hAnsi="Arial" w:cs="Arial"/>
          <w:color w:val="000000" w:themeColor="text1"/>
        </w:rPr>
        <w:lastRenderedPageBreak/>
        <w:t>7.2 The WHO ICCC framework</w:t>
      </w:r>
    </w:p>
    <w:p w14:paraId="4C6331EB" w14:textId="77777777" w:rsidR="00B35613" w:rsidRPr="00D048EC" w:rsidRDefault="00000000">
      <w:pPr>
        <w:spacing w:after="120" w:line="360" w:lineRule="auto"/>
        <w:jc w:val="both"/>
        <w:rPr>
          <w:rFonts w:ascii="Arial" w:hAnsi="Arial" w:cs="Arial"/>
          <w:color w:val="000000" w:themeColor="text1"/>
        </w:rPr>
      </w:pPr>
      <w:r w:rsidRPr="00D048EC">
        <w:rPr>
          <w:rFonts w:ascii="Arial" w:hAnsi="Arial" w:cs="Arial"/>
          <w:color w:val="000000" w:themeColor="text1"/>
        </w:rPr>
        <w:t xml:space="preserve">The ICCC framework [45] organises care across three levels: micro (patients and families), </w:t>
      </w:r>
      <w:proofErr w:type="spellStart"/>
      <w:r w:rsidRPr="00D048EC">
        <w:rPr>
          <w:rFonts w:ascii="Arial" w:hAnsi="Arial" w:cs="Arial"/>
          <w:color w:val="000000" w:themeColor="text1"/>
        </w:rPr>
        <w:t>meso</w:t>
      </w:r>
      <w:proofErr w:type="spellEnd"/>
      <w:r w:rsidRPr="00D048EC">
        <w:rPr>
          <w:rFonts w:ascii="Arial" w:hAnsi="Arial" w:cs="Arial"/>
          <w:color w:val="000000" w:themeColor="text1"/>
        </w:rPr>
        <w:t xml:space="preserve"> (health organisations and communities) and macro (policy and financing). It argues that results depend on informed patients, prepared health teams and supportive communities working together within enabling policy. Figure 3 applies this to CKD. Its strength is that it names policy and resource constraints explicitly, which matters given the global burden of CKD [16], [19]. Its weakness is that it is broad, gives little operational detail and is hard to evaluate.</w:t>
      </w:r>
    </w:p>
    <w:p w14:paraId="147EEC4D" w14:textId="77777777" w:rsidR="00B35613" w:rsidRPr="00D048EC" w:rsidRDefault="00000000">
      <w:pPr>
        <w:keepNext/>
        <w:spacing w:before="120" w:after="60"/>
        <w:jc w:val="center"/>
        <w:rPr>
          <w:rFonts w:ascii="Arial" w:hAnsi="Arial" w:cs="Arial"/>
          <w:color w:val="000000" w:themeColor="text1"/>
        </w:rPr>
      </w:pPr>
      <w:r w:rsidRPr="00D048EC">
        <w:rPr>
          <w:rFonts w:ascii="Arial" w:hAnsi="Arial" w:cs="Arial"/>
          <w:noProof/>
          <w:color w:val="000000" w:themeColor="text1"/>
        </w:rPr>
        <w:drawing>
          <wp:inline distT="0" distB="0" distL="0" distR="0" wp14:anchorId="0AB9B574" wp14:editId="1172D0DA">
            <wp:extent cx="4953000" cy="2952750"/>
            <wp:effectExtent l="0" t="0" r="0" b="0"/>
            <wp:docPr id="774894199" name="fig3.png" descr="Nested diagram of the WHO ICCC framework levels applied to CKD" title="Nested diagram of the WHO ICCC framework levels applied to CK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953000" cy="2952750"/>
                    </a:xfrm>
                    <a:prstGeom prst="rect">
                      <a:avLst/>
                    </a:prstGeom>
                  </pic:spPr>
                </pic:pic>
              </a:graphicData>
            </a:graphic>
          </wp:inline>
        </w:drawing>
      </w:r>
    </w:p>
    <w:p w14:paraId="643BF6F9" w14:textId="77777777" w:rsidR="00B35613" w:rsidRPr="00D048EC" w:rsidRDefault="00000000">
      <w:pPr>
        <w:keepNext/>
        <w:spacing w:before="120" w:after="80" w:line="276" w:lineRule="auto"/>
        <w:rPr>
          <w:rFonts w:ascii="Arial" w:hAnsi="Arial" w:cs="Arial"/>
          <w:color w:val="000000" w:themeColor="text1"/>
        </w:rPr>
      </w:pPr>
      <w:r w:rsidRPr="00D048EC">
        <w:rPr>
          <w:rFonts w:ascii="Arial" w:hAnsi="Arial" w:cs="Arial"/>
          <w:b/>
          <w:bCs/>
          <w:color w:val="000000" w:themeColor="text1"/>
        </w:rPr>
        <w:t>Figure 3. The WHO ICCC framework applied to CKD (adapted from World Health Organization [45])</w:t>
      </w:r>
    </w:p>
    <w:p w14:paraId="6B7EA6B7" w14:textId="77777777" w:rsidR="00B35613" w:rsidRPr="00D048EC" w:rsidRDefault="00000000">
      <w:pPr>
        <w:spacing w:after="120" w:line="360" w:lineRule="auto"/>
        <w:jc w:val="both"/>
        <w:rPr>
          <w:rFonts w:ascii="Arial" w:hAnsi="Arial" w:cs="Arial"/>
          <w:color w:val="000000" w:themeColor="text1"/>
        </w:rPr>
      </w:pPr>
      <w:r w:rsidRPr="00D048EC">
        <w:rPr>
          <w:rFonts w:ascii="Arial" w:hAnsi="Arial" w:cs="Arial"/>
          <w:color w:val="000000" w:themeColor="text1"/>
        </w:rPr>
        <w:t>The two models are complementary. The Chronic Care Model gives practices a practical checklist, while the ICCC framework explains why practice-level change stalls without policy support. Both, however, assume that people can act on information and services, and say little about deprivation or discrimination, so they must be paired with deliberate attention to inequalities [26], [23].</w:t>
      </w:r>
    </w:p>
    <w:p w14:paraId="74CEA8C6" w14:textId="77777777" w:rsidR="00B35613" w:rsidRPr="00D048EC" w:rsidRDefault="00000000">
      <w:pPr>
        <w:pStyle w:val="Heading1"/>
        <w:keepNext/>
        <w:spacing w:line="360" w:lineRule="auto"/>
        <w:rPr>
          <w:rFonts w:ascii="Arial" w:hAnsi="Arial" w:cs="Arial"/>
          <w:color w:val="000000" w:themeColor="text1"/>
        </w:rPr>
      </w:pPr>
      <w:r w:rsidRPr="00D048EC">
        <w:rPr>
          <w:rFonts w:ascii="Arial" w:hAnsi="Arial" w:cs="Arial"/>
          <w:color w:val="000000" w:themeColor="text1"/>
        </w:rPr>
        <w:t>8. Living with CKD: self-management and health literacy</w:t>
      </w:r>
    </w:p>
    <w:p w14:paraId="372D9C28" w14:textId="77777777" w:rsidR="00B35613" w:rsidRPr="00D048EC" w:rsidRDefault="00000000">
      <w:pPr>
        <w:spacing w:after="120" w:line="360" w:lineRule="auto"/>
        <w:jc w:val="both"/>
        <w:rPr>
          <w:rFonts w:ascii="Arial" w:hAnsi="Arial" w:cs="Arial"/>
          <w:color w:val="000000" w:themeColor="text1"/>
        </w:rPr>
      </w:pPr>
      <w:r w:rsidRPr="00D048EC">
        <w:rPr>
          <w:rFonts w:ascii="Arial" w:hAnsi="Arial" w:cs="Arial"/>
          <w:color w:val="000000" w:themeColor="text1"/>
        </w:rPr>
        <w:t xml:space="preserve">Most CKD care happens at home, so a person’s knowledge and confidence matter as much as prescriptions. Limited health literacy is common among people with CKD and is associated with poorer knowledge and outcomes [41]. </w:t>
      </w:r>
      <w:proofErr w:type="spellStart"/>
      <w:r w:rsidRPr="00D048EC">
        <w:rPr>
          <w:rFonts w:ascii="Arial" w:hAnsi="Arial" w:cs="Arial"/>
          <w:color w:val="000000" w:themeColor="text1"/>
        </w:rPr>
        <w:t>Nutbeam</w:t>
      </w:r>
      <w:proofErr w:type="spellEnd"/>
      <w:r w:rsidRPr="00D048EC">
        <w:rPr>
          <w:rFonts w:ascii="Arial" w:hAnsi="Arial" w:cs="Arial"/>
          <w:color w:val="000000" w:themeColor="text1"/>
        </w:rPr>
        <w:t xml:space="preserve"> [3] describes health literacy as including not only reading skills but also the ability to appraise information critically and use it to act. Bandura’s [46] concept of self-efficacy explains why confidence matters: people are more likely to sustain behaviours such as taking medicines or reducing salt when they believe they </w:t>
      </w:r>
      <w:r w:rsidRPr="00D048EC">
        <w:rPr>
          <w:rFonts w:ascii="Arial" w:hAnsi="Arial" w:cs="Arial"/>
          <w:color w:val="000000" w:themeColor="text1"/>
        </w:rPr>
        <w:lastRenderedPageBreak/>
        <w:t>can succeed. The Behaviour Change Wheel adds that behaviour depends on capability, opportunity and motivation together, so information alone rarely suffices [47].</w:t>
      </w:r>
    </w:p>
    <w:p w14:paraId="6BCC777B" w14:textId="77777777" w:rsidR="00B35613" w:rsidRPr="00D048EC" w:rsidRDefault="00000000">
      <w:pPr>
        <w:spacing w:after="120" w:line="360" w:lineRule="auto"/>
        <w:jc w:val="both"/>
        <w:rPr>
          <w:rFonts w:ascii="Arial" w:hAnsi="Arial" w:cs="Arial"/>
          <w:color w:val="000000" w:themeColor="text1"/>
        </w:rPr>
      </w:pPr>
      <w:r w:rsidRPr="00D048EC">
        <w:rPr>
          <w:rFonts w:ascii="Arial" w:hAnsi="Arial" w:cs="Arial"/>
          <w:color w:val="000000" w:themeColor="text1"/>
        </w:rPr>
        <w:t>Practical steps follow from this. Know your latest eGFR, ACR and blood pressure; keep an up-to-date list of medicines; ask for information in a format you can use, including interpreters or easy-read leaflets; repeat the plan back in your own words to check understanding; and use kidney charities and peer groups for support [43], [44].</w:t>
      </w:r>
    </w:p>
    <w:p w14:paraId="1E10986E" w14:textId="77777777" w:rsidR="00B35613" w:rsidRPr="00D048EC" w:rsidRDefault="00000000">
      <w:pPr>
        <w:spacing w:after="120" w:line="360" w:lineRule="auto"/>
        <w:jc w:val="both"/>
        <w:rPr>
          <w:rFonts w:ascii="Arial" w:hAnsi="Arial" w:cs="Arial"/>
          <w:color w:val="000000" w:themeColor="text1"/>
        </w:rPr>
      </w:pPr>
      <w:r w:rsidRPr="00D048EC">
        <w:rPr>
          <w:rFonts w:ascii="Arial" w:hAnsi="Arial" w:cs="Arial"/>
          <w:color w:val="000000" w:themeColor="text1"/>
        </w:rPr>
        <w:t>A critical caution is that self-management can shift responsibility onto people whose circumstances limit their choices. Healthy food, safe places to exercise, secure work and time off for appointments are not equally available, and the widening of health inequalities in England [26] means that services must support people rather than simply instruct them. Information should also be tailored to language, literacy and culture.</w:t>
      </w:r>
    </w:p>
    <w:p w14:paraId="4A6D38CE" w14:textId="77777777" w:rsidR="00A12B5C" w:rsidRPr="00D048EC" w:rsidRDefault="00A12B5C" w:rsidP="00A12B5C">
      <w:pPr>
        <w:spacing w:before="60" w:after="60" w:line="276" w:lineRule="auto"/>
        <w:rPr>
          <w:rFonts w:ascii="Arial" w:hAnsi="Arial" w:cs="Arial"/>
          <w:color w:val="000000" w:themeColor="text1"/>
        </w:rPr>
      </w:pPr>
      <w:r w:rsidRPr="00D048EC">
        <w:rPr>
          <w:rFonts w:ascii="Arial" w:hAnsi="Arial" w:cs="Arial"/>
          <w:b/>
          <w:bCs/>
          <w:color w:val="000000" w:themeColor="text1"/>
          <w:sz w:val="24"/>
          <w:szCs w:val="24"/>
        </w:rPr>
        <w:t>Questions to ask at your next appointment</w:t>
      </w:r>
    </w:p>
    <w:p w14:paraId="5B2921FB" w14:textId="77777777" w:rsidR="00A12B5C" w:rsidRPr="00D048EC" w:rsidRDefault="00A12B5C" w:rsidP="00A12B5C">
      <w:pPr>
        <w:pStyle w:val="ListParagraph"/>
        <w:numPr>
          <w:ilvl w:val="0"/>
          <w:numId w:val="5"/>
        </w:numPr>
        <w:spacing w:after="40" w:line="300" w:lineRule="auto"/>
        <w:jc w:val="both"/>
        <w:rPr>
          <w:rFonts w:ascii="Arial" w:hAnsi="Arial" w:cs="Arial"/>
          <w:color w:val="000000" w:themeColor="text1"/>
        </w:rPr>
      </w:pPr>
      <w:r w:rsidRPr="00D048EC">
        <w:rPr>
          <w:rFonts w:ascii="Arial" w:hAnsi="Arial" w:cs="Arial"/>
          <w:color w:val="000000" w:themeColor="text1"/>
        </w:rPr>
        <w:t>What are my eGFR and ACR, and what do they mean for me?</w:t>
      </w:r>
    </w:p>
    <w:p w14:paraId="540990A5" w14:textId="77777777" w:rsidR="00A12B5C" w:rsidRPr="00D048EC" w:rsidRDefault="00A12B5C" w:rsidP="00A12B5C">
      <w:pPr>
        <w:pStyle w:val="ListParagraph"/>
        <w:numPr>
          <w:ilvl w:val="0"/>
          <w:numId w:val="5"/>
        </w:numPr>
        <w:spacing w:after="40" w:line="300" w:lineRule="auto"/>
        <w:jc w:val="both"/>
        <w:rPr>
          <w:rFonts w:ascii="Arial" w:hAnsi="Arial" w:cs="Arial"/>
          <w:color w:val="000000" w:themeColor="text1"/>
        </w:rPr>
      </w:pPr>
      <w:r w:rsidRPr="00D048EC">
        <w:rPr>
          <w:rFonts w:ascii="Arial" w:hAnsi="Arial" w:cs="Arial"/>
          <w:color w:val="000000" w:themeColor="text1"/>
        </w:rPr>
        <w:t>Is my kidney function stable, improving or falling?</w:t>
      </w:r>
    </w:p>
    <w:p w14:paraId="0DFEEA74" w14:textId="77777777" w:rsidR="00A12B5C" w:rsidRPr="00D048EC" w:rsidRDefault="00A12B5C" w:rsidP="00A12B5C">
      <w:pPr>
        <w:pStyle w:val="ListParagraph"/>
        <w:numPr>
          <w:ilvl w:val="0"/>
          <w:numId w:val="5"/>
        </w:numPr>
        <w:spacing w:after="40" w:line="300" w:lineRule="auto"/>
        <w:jc w:val="both"/>
        <w:rPr>
          <w:rFonts w:ascii="Arial" w:hAnsi="Arial" w:cs="Arial"/>
          <w:color w:val="000000" w:themeColor="text1"/>
        </w:rPr>
      </w:pPr>
      <w:r w:rsidRPr="00D048EC">
        <w:rPr>
          <w:rFonts w:ascii="Arial" w:hAnsi="Arial" w:cs="Arial"/>
          <w:color w:val="000000" w:themeColor="text1"/>
        </w:rPr>
        <w:t>What is my blood pressure target?</w:t>
      </w:r>
    </w:p>
    <w:p w14:paraId="077515D2" w14:textId="77777777" w:rsidR="00A12B5C" w:rsidRPr="00D048EC" w:rsidRDefault="00A12B5C" w:rsidP="00A12B5C">
      <w:pPr>
        <w:pStyle w:val="ListParagraph"/>
        <w:numPr>
          <w:ilvl w:val="0"/>
          <w:numId w:val="5"/>
        </w:numPr>
        <w:spacing w:after="40" w:line="300" w:lineRule="auto"/>
        <w:jc w:val="both"/>
        <w:rPr>
          <w:rFonts w:ascii="Arial" w:hAnsi="Arial" w:cs="Arial"/>
          <w:color w:val="000000" w:themeColor="text1"/>
        </w:rPr>
      </w:pPr>
      <w:r w:rsidRPr="00D048EC">
        <w:rPr>
          <w:rFonts w:ascii="Arial" w:hAnsi="Arial" w:cs="Arial"/>
          <w:color w:val="000000" w:themeColor="text1"/>
        </w:rPr>
        <w:t>Which medicines should I avoid or pause when I am ill?</w:t>
      </w:r>
    </w:p>
    <w:p w14:paraId="73BF7D5B" w14:textId="31D2DD2D" w:rsidR="00B35613" w:rsidRPr="00A12B5C" w:rsidRDefault="00A12B5C" w:rsidP="00A12B5C">
      <w:pPr>
        <w:pStyle w:val="ListParagraph"/>
        <w:numPr>
          <w:ilvl w:val="0"/>
          <w:numId w:val="5"/>
        </w:numPr>
        <w:spacing w:after="120"/>
        <w:rPr>
          <w:rFonts w:ascii="Arial" w:hAnsi="Arial" w:cs="Arial"/>
          <w:color w:val="000000" w:themeColor="text1"/>
        </w:rPr>
      </w:pPr>
      <w:r w:rsidRPr="00A12B5C">
        <w:rPr>
          <w:rFonts w:ascii="Arial" w:hAnsi="Arial" w:cs="Arial"/>
          <w:color w:val="000000" w:themeColor="text1"/>
        </w:rPr>
        <w:t>What is my risk of kidney failure over the next five years?</w:t>
      </w:r>
    </w:p>
    <w:p w14:paraId="1438F064" w14:textId="77777777" w:rsidR="00B35613" w:rsidRPr="00D048EC" w:rsidRDefault="00000000">
      <w:pPr>
        <w:pStyle w:val="Heading1"/>
        <w:keepNext/>
        <w:spacing w:line="360" w:lineRule="auto"/>
        <w:rPr>
          <w:rFonts w:ascii="Arial" w:hAnsi="Arial" w:cs="Arial"/>
          <w:color w:val="000000" w:themeColor="text1"/>
        </w:rPr>
      </w:pPr>
      <w:r w:rsidRPr="00D048EC">
        <w:rPr>
          <w:rFonts w:ascii="Arial" w:hAnsi="Arial" w:cs="Arial"/>
          <w:color w:val="000000" w:themeColor="text1"/>
        </w:rPr>
        <w:t>9. Advanced CKD and kidney failure</w:t>
      </w:r>
    </w:p>
    <w:p w14:paraId="676AE832" w14:textId="77777777" w:rsidR="00B35613" w:rsidRPr="00D048EC" w:rsidRDefault="00000000">
      <w:pPr>
        <w:spacing w:after="120" w:line="360" w:lineRule="auto"/>
        <w:jc w:val="both"/>
        <w:rPr>
          <w:rFonts w:ascii="Arial" w:hAnsi="Arial" w:cs="Arial"/>
          <w:color w:val="000000" w:themeColor="text1"/>
        </w:rPr>
      </w:pPr>
      <w:r w:rsidRPr="00D048EC">
        <w:rPr>
          <w:rFonts w:ascii="Arial" w:hAnsi="Arial" w:cs="Arial"/>
          <w:color w:val="000000" w:themeColor="text1"/>
        </w:rPr>
        <w:t>A small proportion of people progress to kidney failure (stage G5), where kidney function is too low to sustain health. The options are dialysis, kidney transplantation or conservative management without dialysis. Transplantation generally offers the best survival and quality of life for suitable people, whereas dialysis replaces filtering but demands considerable time, typically several sessions each week for haemodialysis, and carries wider personal and economic costs [6], [7].</w:t>
      </w:r>
    </w:p>
    <w:p w14:paraId="0B5AA507" w14:textId="77777777" w:rsidR="00B35613" w:rsidRDefault="00000000">
      <w:pPr>
        <w:spacing w:after="120" w:line="360" w:lineRule="auto"/>
        <w:jc w:val="both"/>
        <w:rPr>
          <w:rFonts w:ascii="Arial" w:hAnsi="Arial" w:cs="Arial"/>
          <w:color w:val="000000" w:themeColor="text1"/>
        </w:rPr>
      </w:pPr>
      <w:r w:rsidRPr="00D048EC">
        <w:rPr>
          <w:rFonts w:ascii="Arial" w:hAnsi="Arial" w:cs="Arial"/>
          <w:color w:val="000000" w:themeColor="text1"/>
        </w:rPr>
        <w:t>For some people, especially older adults with frailty or several other conditions, conservative management that focuses on symptoms and quality of life may be a reasonable choice. NICE [48] recommends shared decision-making, in which options, likely benefits and burdens are discussed openly and nobody is steered towards a particular route. Planning early, ideally years before kidney failure, leaves time to consider transplantation, choose a dialysis type and prepare for treatment.</w:t>
      </w:r>
    </w:p>
    <w:p w14:paraId="6BA5A80E" w14:textId="77777777" w:rsidR="00A12B5C" w:rsidRPr="00D048EC" w:rsidRDefault="00A12B5C">
      <w:pPr>
        <w:spacing w:after="120" w:line="360" w:lineRule="auto"/>
        <w:jc w:val="both"/>
        <w:rPr>
          <w:rFonts w:ascii="Arial" w:hAnsi="Arial" w:cs="Arial"/>
          <w:color w:val="000000" w:themeColor="text1"/>
        </w:rPr>
      </w:pPr>
    </w:p>
    <w:p w14:paraId="2F79AF5F" w14:textId="77777777" w:rsidR="00B35613" w:rsidRPr="00D048EC" w:rsidRDefault="00000000">
      <w:pPr>
        <w:pStyle w:val="Heading1"/>
        <w:keepNext/>
        <w:spacing w:line="360" w:lineRule="auto"/>
        <w:rPr>
          <w:rFonts w:ascii="Arial" w:hAnsi="Arial" w:cs="Arial"/>
          <w:color w:val="000000" w:themeColor="text1"/>
        </w:rPr>
      </w:pPr>
      <w:r w:rsidRPr="00D048EC">
        <w:rPr>
          <w:rFonts w:ascii="Arial" w:hAnsi="Arial" w:cs="Arial"/>
          <w:color w:val="000000" w:themeColor="text1"/>
        </w:rPr>
        <w:lastRenderedPageBreak/>
        <w:t>10. Policy and system perspectives</w:t>
      </w:r>
    </w:p>
    <w:p w14:paraId="6A49A155" w14:textId="77777777" w:rsidR="00B35613" w:rsidRPr="00D048EC" w:rsidRDefault="00000000">
      <w:pPr>
        <w:spacing w:after="120" w:line="360" w:lineRule="auto"/>
        <w:jc w:val="both"/>
        <w:rPr>
          <w:rFonts w:ascii="Arial" w:hAnsi="Arial" w:cs="Arial"/>
          <w:color w:val="000000" w:themeColor="text1"/>
        </w:rPr>
      </w:pPr>
      <w:r w:rsidRPr="00D048EC">
        <w:rPr>
          <w:rFonts w:ascii="Arial" w:hAnsi="Arial" w:cs="Arial"/>
          <w:color w:val="000000" w:themeColor="text1"/>
        </w:rPr>
        <w:t>Individual action sits within a health system. The NHS Long Term Plan [42] prioritises prevention and early detection of cardiovascular disease and diabetes, which share risk factors with CKD, yet Kidney Research UK [1] argue that kidney disease remains under-prioritised, reporting that it received only 1.4% of relevant government research funding in 2021/22. Gaps include inconsistent early detection, uneven access to newer drugs and limited integration of kidney care with diabetes and cardiovascular services. Francis et al. [19] similarly call for CKD to be placed on the global public health agenda alongside other major non-communicable diseases.</w:t>
      </w:r>
    </w:p>
    <w:p w14:paraId="25BF2135" w14:textId="77777777" w:rsidR="00B35613" w:rsidRPr="00D048EC" w:rsidRDefault="00000000">
      <w:pPr>
        <w:spacing w:after="120" w:line="360" w:lineRule="auto"/>
        <w:jc w:val="both"/>
        <w:rPr>
          <w:rFonts w:ascii="Arial" w:hAnsi="Arial" w:cs="Arial"/>
          <w:color w:val="000000" w:themeColor="text1"/>
        </w:rPr>
      </w:pPr>
      <w:r w:rsidRPr="00D048EC">
        <w:rPr>
          <w:rFonts w:ascii="Arial" w:hAnsi="Arial" w:cs="Arial"/>
          <w:color w:val="000000" w:themeColor="text1"/>
        </w:rPr>
        <w:t>Addressing inequality requires targeted outreach. Evidence that deprivation and ethnicity shape both risk and outcomes [23], [24], [25] argues for community-based testing, culturally appropriate information and monitoring of treatment uptake by group. Doing this well needs good-quality data on who is tested, diagnosed and treated, which is difficult while coding remains incomplete [28].</w:t>
      </w:r>
    </w:p>
    <w:p w14:paraId="3069B43D" w14:textId="77777777" w:rsidR="00B35613" w:rsidRDefault="00000000">
      <w:pPr>
        <w:spacing w:after="120" w:line="360" w:lineRule="auto"/>
        <w:jc w:val="both"/>
        <w:rPr>
          <w:rFonts w:ascii="Arial" w:hAnsi="Arial" w:cs="Arial"/>
          <w:color w:val="000000" w:themeColor="text1"/>
        </w:rPr>
      </w:pPr>
      <w:r w:rsidRPr="00D048EC">
        <w:rPr>
          <w:rFonts w:ascii="Arial" w:hAnsi="Arial" w:cs="Arial"/>
          <w:color w:val="000000" w:themeColor="text1"/>
        </w:rPr>
        <w:t>This booklet has limitations. It is a narrative review rather than a systematic one, so studies were selected for relevance and credibility, not through an exhaustive search, and it relies heavily on guidelines and large trials whose participants may differ from people in everyday practice. UK economic figures are modelled estimates [1], and recommendations on newer drugs are changing quickly [29], [38]. Readers should therefore treat the conclusions as a current synthesis, to be checked against the latest national guidance.</w:t>
      </w:r>
    </w:p>
    <w:p w14:paraId="5460884A" w14:textId="77777777" w:rsidR="00A12B5C" w:rsidRDefault="00A12B5C">
      <w:pPr>
        <w:spacing w:after="120" w:line="360" w:lineRule="auto"/>
        <w:jc w:val="both"/>
        <w:rPr>
          <w:rFonts w:ascii="Arial" w:hAnsi="Arial" w:cs="Arial"/>
          <w:color w:val="000000" w:themeColor="text1"/>
        </w:rPr>
      </w:pPr>
    </w:p>
    <w:p w14:paraId="7C712597" w14:textId="77777777" w:rsidR="00A12B5C" w:rsidRDefault="00A12B5C">
      <w:pPr>
        <w:spacing w:after="120" w:line="360" w:lineRule="auto"/>
        <w:jc w:val="both"/>
        <w:rPr>
          <w:rFonts w:ascii="Arial" w:hAnsi="Arial" w:cs="Arial"/>
          <w:color w:val="000000" w:themeColor="text1"/>
        </w:rPr>
      </w:pPr>
    </w:p>
    <w:p w14:paraId="1A74EAF5" w14:textId="77777777" w:rsidR="00A12B5C" w:rsidRDefault="00A12B5C">
      <w:pPr>
        <w:spacing w:after="120" w:line="360" w:lineRule="auto"/>
        <w:jc w:val="both"/>
        <w:rPr>
          <w:rFonts w:ascii="Arial" w:hAnsi="Arial" w:cs="Arial"/>
          <w:color w:val="000000" w:themeColor="text1"/>
        </w:rPr>
      </w:pPr>
    </w:p>
    <w:p w14:paraId="0195773E" w14:textId="77777777" w:rsidR="00A12B5C" w:rsidRDefault="00A12B5C">
      <w:pPr>
        <w:spacing w:after="120" w:line="360" w:lineRule="auto"/>
        <w:jc w:val="both"/>
        <w:rPr>
          <w:rFonts w:ascii="Arial" w:hAnsi="Arial" w:cs="Arial"/>
          <w:color w:val="000000" w:themeColor="text1"/>
        </w:rPr>
      </w:pPr>
    </w:p>
    <w:p w14:paraId="16DC5C33" w14:textId="77777777" w:rsidR="00A12B5C" w:rsidRDefault="00A12B5C">
      <w:pPr>
        <w:spacing w:after="120" w:line="360" w:lineRule="auto"/>
        <w:jc w:val="both"/>
        <w:rPr>
          <w:rFonts w:ascii="Arial" w:hAnsi="Arial" w:cs="Arial"/>
          <w:color w:val="000000" w:themeColor="text1"/>
        </w:rPr>
      </w:pPr>
    </w:p>
    <w:p w14:paraId="40CF853D" w14:textId="77777777" w:rsidR="00A12B5C" w:rsidRDefault="00A12B5C">
      <w:pPr>
        <w:spacing w:after="120" w:line="360" w:lineRule="auto"/>
        <w:jc w:val="both"/>
        <w:rPr>
          <w:rFonts w:ascii="Arial" w:hAnsi="Arial" w:cs="Arial"/>
          <w:color w:val="000000" w:themeColor="text1"/>
        </w:rPr>
      </w:pPr>
    </w:p>
    <w:p w14:paraId="077FD474" w14:textId="77777777" w:rsidR="00A12B5C" w:rsidRDefault="00A12B5C">
      <w:pPr>
        <w:spacing w:after="120" w:line="360" w:lineRule="auto"/>
        <w:jc w:val="both"/>
        <w:rPr>
          <w:rFonts w:ascii="Arial" w:hAnsi="Arial" w:cs="Arial"/>
          <w:color w:val="000000" w:themeColor="text1"/>
        </w:rPr>
      </w:pPr>
    </w:p>
    <w:p w14:paraId="5B9B8DDC" w14:textId="77777777" w:rsidR="00A12B5C" w:rsidRPr="00D048EC" w:rsidRDefault="00A12B5C">
      <w:pPr>
        <w:spacing w:after="120" w:line="360" w:lineRule="auto"/>
        <w:jc w:val="both"/>
        <w:rPr>
          <w:rFonts w:ascii="Arial" w:hAnsi="Arial" w:cs="Arial"/>
          <w:color w:val="000000" w:themeColor="text1"/>
        </w:rPr>
      </w:pPr>
    </w:p>
    <w:p w14:paraId="623454A9" w14:textId="77777777" w:rsidR="00B35613" w:rsidRPr="00D048EC" w:rsidRDefault="00000000">
      <w:pPr>
        <w:pStyle w:val="Heading1"/>
        <w:keepNext/>
        <w:spacing w:line="360" w:lineRule="auto"/>
        <w:rPr>
          <w:rFonts w:ascii="Arial" w:hAnsi="Arial" w:cs="Arial"/>
          <w:color w:val="000000" w:themeColor="text1"/>
        </w:rPr>
      </w:pPr>
      <w:r w:rsidRPr="00D048EC">
        <w:rPr>
          <w:rFonts w:ascii="Arial" w:hAnsi="Arial" w:cs="Arial"/>
          <w:color w:val="000000" w:themeColor="text1"/>
        </w:rPr>
        <w:lastRenderedPageBreak/>
        <w:t>11. Conclusions and recommendations</w:t>
      </w:r>
    </w:p>
    <w:p w14:paraId="0CA0C2B2" w14:textId="77777777" w:rsidR="00B35613" w:rsidRPr="00D048EC" w:rsidRDefault="00000000">
      <w:pPr>
        <w:spacing w:after="120" w:line="360" w:lineRule="auto"/>
        <w:jc w:val="both"/>
        <w:rPr>
          <w:rFonts w:ascii="Arial" w:hAnsi="Arial" w:cs="Arial"/>
          <w:color w:val="000000" w:themeColor="text1"/>
        </w:rPr>
      </w:pPr>
      <w:r w:rsidRPr="00D048EC">
        <w:rPr>
          <w:rFonts w:ascii="Arial" w:hAnsi="Arial" w:cs="Arial"/>
          <w:color w:val="000000" w:themeColor="text1"/>
        </w:rPr>
        <w:t>CKD is common, costly and frequently undetected, but it is also one of the few chronic conditions for which several effective treatments now exist. The evidence reviewed here supports three sets of recommendations.</w:t>
      </w:r>
    </w:p>
    <w:p w14:paraId="0E59DE57" w14:textId="77777777" w:rsidR="00B35613" w:rsidRPr="00A12B5C" w:rsidRDefault="00000000" w:rsidP="00A12B5C">
      <w:pPr>
        <w:pStyle w:val="ListParagraph"/>
        <w:numPr>
          <w:ilvl w:val="0"/>
          <w:numId w:val="6"/>
        </w:numPr>
        <w:spacing w:after="60" w:line="360" w:lineRule="auto"/>
        <w:jc w:val="both"/>
        <w:rPr>
          <w:rFonts w:ascii="Arial" w:hAnsi="Arial" w:cs="Arial"/>
          <w:color w:val="000000" w:themeColor="text1"/>
        </w:rPr>
      </w:pPr>
      <w:r w:rsidRPr="00A12B5C">
        <w:rPr>
          <w:rFonts w:ascii="Arial" w:hAnsi="Arial" w:cs="Arial"/>
          <w:color w:val="000000" w:themeColor="text1"/>
        </w:rPr>
        <w:t>For individuals: if you have diabetes, high blood pressure, heart disease or a family history of kidney failure, ask for eGFR and ACR tests, learn your results, avoid regular NSAIDs unless advised, stay active, stop smoking and take prescribed medicines consistently [5], [4].</w:t>
      </w:r>
    </w:p>
    <w:p w14:paraId="28B36182" w14:textId="77777777" w:rsidR="00B35613" w:rsidRPr="00A12B5C" w:rsidRDefault="00000000" w:rsidP="00A12B5C">
      <w:pPr>
        <w:pStyle w:val="ListParagraph"/>
        <w:numPr>
          <w:ilvl w:val="0"/>
          <w:numId w:val="6"/>
        </w:numPr>
        <w:spacing w:after="60" w:line="360" w:lineRule="auto"/>
        <w:jc w:val="both"/>
        <w:rPr>
          <w:rFonts w:ascii="Arial" w:hAnsi="Arial" w:cs="Arial"/>
          <w:color w:val="000000" w:themeColor="text1"/>
        </w:rPr>
      </w:pPr>
      <w:r w:rsidRPr="00A12B5C">
        <w:rPr>
          <w:rFonts w:ascii="Arial" w:hAnsi="Arial" w:cs="Arial"/>
          <w:color w:val="000000" w:themeColor="text1"/>
        </w:rPr>
        <w:t xml:space="preserve">For clinicians and services: use eGFR and ACR together with risk prediction, offer eligible </w:t>
      </w:r>
      <w:proofErr w:type="gramStart"/>
      <w:r w:rsidRPr="00A12B5C">
        <w:rPr>
          <w:rFonts w:ascii="Arial" w:hAnsi="Arial" w:cs="Arial"/>
          <w:color w:val="000000" w:themeColor="text1"/>
        </w:rPr>
        <w:t>patients</w:t>
      </w:r>
      <w:proofErr w:type="gramEnd"/>
      <w:r w:rsidRPr="00A12B5C">
        <w:rPr>
          <w:rFonts w:ascii="Arial" w:hAnsi="Arial" w:cs="Arial"/>
          <w:color w:val="000000" w:themeColor="text1"/>
        </w:rPr>
        <w:t xml:space="preserve"> guideline-recommended treatments including SGLT2 inhibitors, and provide plain-language, culturally tailored information and shared decision-making [4], [13], [48].</w:t>
      </w:r>
    </w:p>
    <w:p w14:paraId="04B09105" w14:textId="77777777" w:rsidR="00B35613" w:rsidRPr="00A12B5C" w:rsidRDefault="00000000" w:rsidP="00A12B5C">
      <w:pPr>
        <w:pStyle w:val="ListParagraph"/>
        <w:numPr>
          <w:ilvl w:val="0"/>
          <w:numId w:val="6"/>
        </w:numPr>
        <w:spacing w:after="60" w:line="360" w:lineRule="auto"/>
        <w:jc w:val="both"/>
        <w:rPr>
          <w:rFonts w:ascii="Arial" w:hAnsi="Arial" w:cs="Arial"/>
          <w:color w:val="000000" w:themeColor="text1"/>
        </w:rPr>
      </w:pPr>
      <w:r w:rsidRPr="00A12B5C">
        <w:rPr>
          <w:rFonts w:ascii="Arial" w:hAnsi="Arial" w:cs="Arial"/>
          <w:color w:val="000000" w:themeColor="text1"/>
        </w:rPr>
        <w:t>For policymakers: prioritise targeted detection in high-risk and deprived communities, fund kidney research in proportion to its burden, and monitor access to treatment by ethnicity and deprivation [1], [26].</w:t>
      </w:r>
    </w:p>
    <w:p w14:paraId="04B829AA" w14:textId="77777777" w:rsidR="00B35613" w:rsidRDefault="00000000">
      <w:pPr>
        <w:spacing w:after="120" w:line="360" w:lineRule="auto"/>
        <w:jc w:val="both"/>
        <w:rPr>
          <w:rFonts w:ascii="Arial" w:hAnsi="Arial" w:cs="Arial"/>
          <w:color w:val="000000" w:themeColor="text1"/>
        </w:rPr>
      </w:pPr>
      <w:r w:rsidRPr="00D048EC">
        <w:rPr>
          <w:rFonts w:ascii="Arial" w:hAnsi="Arial" w:cs="Arial"/>
          <w:color w:val="000000" w:themeColor="text1"/>
        </w:rPr>
        <w:t>Future work should test whether targeted detection programmes improve outcomes and cost-effectiveness in UK populations, and should evaluate self-management support designed with people from under-served communities. Evidence gaps remain, notably for older adults and for long-term outcomes of newer drugs in routine care, and readers should expect guidance to keep evolving.</w:t>
      </w:r>
    </w:p>
    <w:p w14:paraId="03AA2DA5" w14:textId="77777777" w:rsidR="00A12B5C" w:rsidRPr="00D048EC" w:rsidRDefault="00A12B5C">
      <w:pPr>
        <w:spacing w:after="120" w:line="360" w:lineRule="auto"/>
        <w:jc w:val="both"/>
        <w:rPr>
          <w:rFonts w:ascii="Arial" w:hAnsi="Arial" w:cs="Arial"/>
          <w:color w:val="000000" w:themeColor="text1"/>
        </w:rPr>
      </w:pPr>
    </w:p>
    <w:p w14:paraId="2822FEC1" w14:textId="77777777" w:rsidR="00B35613" w:rsidRPr="00D048EC" w:rsidRDefault="00000000">
      <w:pPr>
        <w:pStyle w:val="Heading1"/>
        <w:keepNext/>
        <w:spacing w:line="360" w:lineRule="auto"/>
        <w:rPr>
          <w:rFonts w:ascii="Arial" w:hAnsi="Arial" w:cs="Arial"/>
          <w:color w:val="000000" w:themeColor="text1"/>
        </w:rPr>
      </w:pPr>
      <w:r w:rsidRPr="00D048EC">
        <w:rPr>
          <w:rFonts w:ascii="Arial" w:hAnsi="Arial" w:cs="Arial"/>
          <w:color w:val="000000" w:themeColor="text1"/>
        </w:rPr>
        <w:t>12. Where to find support</w:t>
      </w:r>
    </w:p>
    <w:p w14:paraId="6193FB17" w14:textId="77777777" w:rsidR="00B35613" w:rsidRPr="00D048EC" w:rsidRDefault="00000000">
      <w:pPr>
        <w:spacing w:after="120" w:line="360" w:lineRule="auto"/>
        <w:jc w:val="both"/>
        <w:rPr>
          <w:rFonts w:ascii="Arial" w:hAnsi="Arial" w:cs="Arial"/>
          <w:color w:val="000000" w:themeColor="text1"/>
        </w:rPr>
      </w:pPr>
      <w:r w:rsidRPr="00D048EC">
        <w:rPr>
          <w:rFonts w:ascii="Arial" w:hAnsi="Arial" w:cs="Arial"/>
          <w:color w:val="000000" w:themeColor="text1"/>
        </w:rPr>
        <w:t>Reliable information and peer support are available from the NHS website [8], Kidney Care UK [43] and the National Kidney Federation [44]. If you have severe symptoms, such as passing very little urine, marked swelling or breathlessness, seek urgent medical help.</w:t>
      </w:r>
    </w:p>
    <w:p w14:paraId="05149E6A" w14:textId="77777777" w:rsidR="00B35613" w:rsidRPr="00D048EC" w:rsidRDefault="00000000">
      <w:pPr>
        <w:pStyle w:val="Heading1"/>
        <w:pageBreakBefore/>
        <w:spacing w:before="0" w:after="160"/>
        <w:rPr>
          <w:rFonts w:ascii="Arial" w:hAnsi="Arial" w:cs="Arial"/>
          <w:color w:val="000000" w:themeColor="text1"/>
        </w:rPr>
      </w:pPr>
      <w:r w:rsidRPr="00D048EC">
        <w:rPr>
          <w:rFonts w:ascii="Arial" w:hAnsi="Arial" w:cs="Arial"/>
          <w:color w:val="000000" w:themeColor="text1"/>
        </w:rPr>
        <w:lastRenderedPageBreak/>
        <w:t>References</w:t>
      </w:r>
    </w:p>
    <w:p w14:paraId="030E020F"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t>[1]</w:t>
      </w:r>
      <w:r w:rsidRPr="00D048EC">
        <w:rPr>
          <w:rFonts w:ascii="Arial" w:hAnsi="Arial" w:cs="Arial"/>
          <w:color w:val="000000" w:themeColor="text1"/>
        </w:rPr>
        <w:tab/>
        <w:t>Kidney Research UK, “</w:t>
      </w:r>
      <w:proofErr w:type="gramStart"/>
      <w:r w:rsidRPr="00D048EC">
        <w:rPr>
          <w:rFonts w:ascii="Arial" w:hAnsi="Arial" w:cs="Arial"/>
          <w:color w:val="000000" w:themeColor="text1"/>
        </w:rPr>
        <w:t>Kidney disease</w:t>
      </w:r>
      <w:proofErr w:type="gramEnd"/>
      <w:r w:rsidRPr="00D048EC">
        <w:rPr>
          <w:rFonts w:ascii="Arial" w:hAnsi="Arial" w:cs="Arial"/>
          <w:color w:val="000000" w:themeColor="text1"/>
        </w:rPr>
        <w:t>: A UK public health emergency,” Kidney Research UK, Peterborough, U.K., 2023. [Online]. Available: https://www.kidneyresearchuk.org/about-us/policy/health-economics-report/</w:t>
      </w:r>
    </w:p>
    <w:p w14:paraId="4B7199BE"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t>[2]</w:t>
      </w:r>
      <w:r w:rsidRPr="00D048EC">
        <w:rPr>
          <w:rFonts w:ascii="Arial" w:hAnsi="Arial" w:cs="Arial"/>
          <w:color w:val="000000" w:themeColor="text1"/>
        </w:rPr>
        <w:tab/>
        <w:t xml:space="preserve">C. P. Kovesdy, “Epidemiology of chronic kidney disease: An update 2022,” </w:t>
      </w:r>
      <w:r w:rsidRPr="00D048EC">
        <w:rPr>
          <w:rFonts w:ascii="Arial" w:hAnsi="Arial" w:cs="Arial"/>
          <w:i/>
          <w:iCs/>
          <w:color w:val="000000" w:themeColor="text1"/>
        </w:rPr>
        <w:t>Kidney Int. Suppl.</w:t>
      </w:r>
      <w:r w:rsidRPr="00D048EC">
        <w:rPr>
          <w:rFonts w:ascii="Arial" w:hAnsi="Arial" w:cs="Arial"/>
          <w:color w:val="000000" w:themeColor="text1"/>
        </w:rPr>
        <w:t>, vol. 12, no. 1, pp. 7–11, 2022.</w:t>
      </w:r>
    </w:p>
    <w:p w14:paraId="6023F2E1"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t>[3]</w:t>
      </w:r>
      <w:r w:rsidRPr="00D048EC">
        <w:rPr>
          <w:rFonts w:ascii="Arial" w:hAnsi="Arial" w:cs="Arial"/>
          <w:color w:val="000000" w:themeColor="text1"/>
        </w:rPr>
        <w:tab/>
        <w:t xml:space="preserve">D. </w:t>
      </w:r>
      <w:proofErr w:type="spellStart"/>
      <w:r w:rsidRPr="00D048EC">
        <w:rPr>
          <w:rFonts w:ascii="Arial" w:hAnsi="Arial" w:cs="Arial"/>
          <w:color w:val="000000" w:themeColor="text1"/>
        </w:rPr>
        <w:t>Nutbeam</w:t>
      </w:r>
      <w:proofErr w:type="spellEnd"/>
      <w:r w:rsidRPr="00D048EC">
        <w:rPr>
          <w:rFonts w:ascii="Arial" w:hAnsi="Arial" w:cs="Arial"/>
          <w:color w:val="000000" w:themeColor="text1"/>
        </w:rPr>
        <w:t xml:space="preserve">, “Health literacy as a public health goal: A challenge for contemporary health education and communication strategies into the 21st century,” </w:t>
      </w:r>
      <w:r w:rsidRPr="00D048EC">
        <w:rPr>
          <w:rFonts w:ascii="Arial" w:hAnsi="Arial" w:cs="Arial"/>
          <w:i/>
          <w:iCs/>
          <w:color w:val="000000" w:themeColor="text1"/>
        </w:rPr>
        <w:t xml:space="preserve">Health </w:t>
      </w:r>
      <w:proofErr w:type="spellStart"/>
      <w:r w:rsidRPr="00D048EC">
        <w:rPr>
          <w:rFonts w:ascii="Arial" w:hAnsi="Arial" w:cs="Arial"/>
          <w:i/>
          <w:iCs/>
          <w:color w:val="000000" w:themeColor="text1"/>
        </w:rPr>
        <w:t>Promot</w:t>
      </w:r>
      <w:proofErr w:type="spellEnd"/>
      <w:r w:rsidRPr="00D048EC">
        <w:rPr>
          <w:rFonts w:ascii="Arial" w:hAnsi="Arial" w:cs="Arial"/>
          <w:i/>
          <w:iCs/>
          <w:color w:val="000000" w:themeColor="text1"/>
        </w:rPr>
        <w:t>. Int.</w:t>
      </w:r>
      <w:r w:rsidRPr="00D048EC">
        <w:rPr>
          <w:rFonts w:ascii="Arial" w:hAnsi="Arial" w:cs="Arial"/>
          <w:color w:val="000000" w:themeColor="text1"/>
        </w:rPr>
        <w:t>, vol. 15, no. 3, pp. 259–267, 2000.</w:t>
      </w:r>
    </w:p>
    <w:p w14:paraId="5E297EF3"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t>[4]</w:t>
      </w:r>
      <w:r w:rsidRPr="00D048EC">
        <w:rPr>
          <w:rFonts w:ascii="Arial" w:hAnsi="Arial" w:cs="Arial"/>
          <w:color w:val="000000" w:themeColor="text1"/>
        </w:rPr>
        <w:tab/>
        <w:t>National Institute for Health and Care Excellence, “</w:t>
      </w:r>
      <w:proofErr w:type="gramStart"/>
      <w:r w:rsidRPr="00D048EC">
        <w:rPr>
          <w:rFonts w:ascii="Arial" w:hAnsi="Arial" w:cs="Arial"/>
          <w:color w:val="000000" w:themeColor="text1"/>
        </w:rPr>
        <w:t>Chronic kidney disease</w:t>
      </w:r>
      <w:proofErr w:type="gramEnd"/>
      <w:r w:rsidRPr="00D048EC">
        <w:rPr>
          <w:rFonts w:ascii="Arial" w:hAnsi="Arial" w:cs="Arial"/>
          <w:color w:val="000000" w:themeColor="text1"/>
        </w:rPr>
        <w:t>: Assessment and management,” NICE, London, U.K., NICE Guideline NG203, 2021. [Online]. Available: https://www.nice.org.uk/guidance/ng203</w:t>
      </w:r>
    </w:p>
    <w:p w14:paraId="78F8089D"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t>[5]</w:t>
      </w:r>
      <w:r w:rsidRPr="00D048EC">
        <w:rPr>
          <w:rFonts w:ascii="Arial" w:hAnsi="Arial" w:cs="Arial"/>
          <w:color w:val="000000" w:themeColor="text1"/>
        </w:rPr>
        <w:tab/>
        <w:t xml:space="preserve">KDIGO CKD Work Group, “KDIGO 2024 clinical practice guideline for the evaluation and management of chronic kidney disease,” </w:t>
      </w:r>
      <w:r w:rsidRPr="00D048EC">
        <w:rPr>
          <w:rFonts w:ascii="Arial" w:hAnsi="Arial" w:cs="Arial"/>
          <w:i/>
          <w:iCs/>
          <w:color w:val="000000" w:themeColor="text1"/>
        </w:rPr>
        <w:t>Kidney Int.</w:t>
      </w:r>
      <w:r w:rsidRPr="00D048EC">
        <w:rPr>
          <w:rFonts w:ascii="Arial" w:hAnsi="Arial" w:cs="Arial"/>
          <w:color w:val="000000" w:themeColor="text1"/>
        </w:rPr>
        <w:t>, vol. 105, no. 4S, pp. S117–S314, 2024.</w:t>
      </w:r>
    </w:p>
    <w:p w14:paraId="5E6F7528"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t>[6]</w:t>
      </w:r>
      <w:r w:rsidRPr="00D048EC">
        <w:rPr>
          <w:rFonts w:ascii="Arial" w:hAnsi="Arial" w:cs="Arial"/>
          <w:color w:val="000000" w:themeColor="text1"/>
        </w:rPr>
        <w:tab/>
        <w:t xml:space="preserve">A. C. Webster </w:t>
      </w:r>
      <w:r w:rsidRPr="00D048EC">
        <w:rPr>
          <w:rFonts w:ascii="Arial" w:hAnsi="Arial" w:cs="Arial"/>
          <w:i/>
          <w:iCs/>
          <w:color w:val="000000" w:themeColor="text1"/>
        </w:rPr>
        <w:t>et al.</w:t>
      </w:r>
      <w:r w:rsidRPr="00D048EC">
        <w:rPr>
          <w:rFonts w:ascii="Arial" w:hAnsi="Arial" w:cs="Arial"/>
          <w:color w:val="000000" w:themeColor="text1"/>
        </w:rPr>
        <w:t>, “</w:t>
      </w:r>
      <w:proofErr w:type="gramStart"/>
      <w:r w:rsidRPr="00D048EC">
        <w:rPr>
          <w:rFonts w:ascii="Arial" w:hAnsi="Arial" w:cs="Arial"/>
          <w:color w:val="000000" w:themeColor="text1"/>
        </w:rPr>
        <w:t>Chronic kidney disease</w:t>
      </w:r>
      <w:proofErr w:type="gramEnd"/>
      <w:r w:rsidRPr="00D048EC">
        <w:rPr>
          <w:rFonts w:ascii="Arial" w:hAnsi="Arial" w:cs="Arial"/>
          <w:color w:val="000000" w:themeColor="text1"/>
        </w:rPr>
        <w:t xml:space="preserve">,” </w:t>
      </w:r>
      <w:r w:rsidRPr="00D048EC">
        <w:rPr>
          <w:rFonts w:ascii="Arial" w:hAnsi="Arial" w:cs="Arial"/>
          <w:i/>
          <w:iCs/>
          <w:color w:val="000000" w:themeColor="text1"/>
        </w:rPr>
        <w:t>Lancet</w:t>
      </w:r>
      <w:r w:rsidRPr="00D048EC">
        <w:rPr>
          <w:rFonts w:ascii="Arial" w:hAnsi="Arial" w:cs="Arial"/>
          <w:color w:val="000000" w:themeColor="text1"/>
        </w:rPr>
        <w:t>, vol. 389, no. 10075, pp. 1238–1252, 2017.</w:t>
      </w:r>
    </w:p>
    <w:p w14:paraId="74EE5EC3"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t>[7]</w:t>
      </w:r>
      <w:r w:rsidRPr="00D048EC">
        <w:rPr>
          <w:rFonts w:ascii="Arial" w:hAnsi="Arial" w:cs="Arial"/>
          <w:color w:val="000000" w:themeColor="text1"/>
        </w:rPr>
        <w:tab/>
        <w:t xml:space="preserve">K. Kalantar-Zadeh </w:t>
      </w:r>
      <w:r w:rsidRPr="00D048EC">
        <w:rPr>
          <w:rFonts w:ascii="Arial" w:hAnsi="Arial" w:cs="Arial"/>
          <w:i/>
          <w:iCs/>
          <w:color w:val="000000" w:themeColor="text1"/>
        </w:rPr>
        <w:t>et al.</w:t>
      </w:r>
      <w:r w:rsidRPr="00D048EC">
        <w:rPr>
          <w:rFonts w:ascii="Arial" w:hAnsi="Arial" w:cs="Arial"/>
          <w:color w:val="000000" w:themeColor="text1"/>
        </w:rPr>
        <w:t>, “</w:t>
      </w:r>
      <w:proofErr w:type="gramStart"/>
      <w:r w:rsidRPr="00D048EC">
        <w:rPr>
          <w:rFonts w:ascii="Arial" w:hAnsi="Arial" w:cs="Arial"/>
          <w:color w:val="000000" w:themeColor="text1"/>
        </w:rPr>
        <w:t>Chronic kidney disease</w:t>
      </w:r>
      <w:proofErr w:type="gramEnd"/>
      <w:r w:rsidRPr="00D048EC">
        <w:rPr>
          <w:rFonts w:ascii="Arial" w:hAnsi="Arial" w:cs="Arial"/>
          <w:color w:val="000000" w:themeColor="text1"/>
        </w:rPr>
        <w:t xml:space="preserve">,” </w:t>
      </w:r>
      <w:r w:rsidRPr="00D048EC">
        <w:rPr>
          <w:rFonts w:ascii="Arial" w:hAnsi="Arial" w:cs="Arial"/>
          <w:i/>
          <w:iCs/>
          <w:color w:val="000000" w:themeColor="text1"/>
        </w:rPr>
        <w:t>Lancet</w:t>
      </w:r>
      <w:r w:rsidRPr="00D048EC">
        <w:rPr>
          <w:rFonts w:ascii="Arial" w:hAnsi="Arial" w:cs="Arial"/>
          <w:color w:val="000000" w:themeColor="text1"/>
        </w:rPr>
        <w:t>, vol. 398, no. 10302, pp. 786–802, 2021.</w:t>
      </w:r>
    </w:p>
    <w:p w14:paraId="77B659DE"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t>[8]</w:t>
      </w:r>
      <w:r w:rsidRPr="00D048EC">
        <w:rPr>
          <w:rFonts w:ascii="Arial" w:hAnsi="Arial" w:cs="Arial"/>
          <w:color w:val="000000" w:themeColor="text1"/>
        </w:rPr>
        <w:tab/>
        <w:t>NHS, “</w:t>
      </w:r>
      <w:proofErr w:type="gramStart"/>
      <w:r w:rsidRPr="00D048EC">
        <w:rPr>
          <w:rFonts w:ascii="Arial" w:hAnsi="Arial" w:cs="Arial"/>
          <w:color w:val="000000" w:themeColor="text1"/>
        </w:rPr>
        <w:t>Chronic kidney disease</w:t>
      </w:r>
      <w:proofErr w:type="gramEnd"/>
      <w:r w:rsidRPr="00D048EC">
        <w:rPr>
          <w:rFonts w:ascii="Arial" w:hAnsi="Arial" w:cs="Arial"/>
          <w:color w:val="000000" w:themeColor="text1"/>
        </w:rPr>
        <w:t>.” https://www.nhs.uk/conditions/kidney-disease/ (accessed Oct. 20, 2026).</w:t>
      </w:r>
    </w:p>
    <w:p w14:paraId="29A2A3BE"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t>[9]</w:t>
      </w:r>
      <w:r w:rsidRPr="00D048EC">
        <w:rPr>
          <w:rFonts w:ascii="Arial" w:hAnsi="Arial" w:cs="Arial"/>
          <w:color w:val="000000" w:themeColor="text1"/>
        </w:rPr>
        <w:tab/>
        <w:t xml:space="preserve">A. S. Go </w:t>
      </w:r>
      <w:r w:rsidRPr="00D048EC">
        <w:rPr>
          <w:rFonts w:ascii="Arial" w:hAnsi="Arial" w:cs="Arial"/>
          <w:i/>
          <w:iCs/>
          <w:color w:val="000000" w:themeColor="text1"/>
        </w:rPr>
        <w:t>et al.</w:t>
      </w:r>
      <w:r w:rsidRPr="00D048EC">
        <w:rPr>
          <w:rFonts w:ascii="Arial" w:hAnsi="Arial" w:cs="Arial"/>
          <w:color w:val="000000" w:themeColor="text1"/>
        </w:rPr>
        <w:t>, “</w:t>
      </w:r>
      <w:proofErr w:type="gramStart"/>
      <w:r w:rsidRPr="00D048EC">
        <w:rPr>
          <w:rFonts w:ascii="Arial" w:hAnsi="Arial" w:cs="Arial"/>
          <w:color w:val="000000" w:themeColor="text1"/>
        </w:rPr>
        <w:t>Chronic kidney disease</w:t>
      </w:r>
      <w:proofErr w:type="gramEnd"/>
      <w:r w:rsidRPr="00D048EC">
        <w:rPr>
          <w:rFonts w:ascii="Arial" w:hAnsi="Arial" w:cs="Arial"/>
          <w:color w:val="000000" w:themeColor="text1"/>
        </w:rPr>
        <w:t xml:space="preserve"> and the risks of death, cardiovascular events, and hospitalization,” </w:t>
      </w:r>
      <w:r w:rsidRPr="00D048EC">
        <w:rPr>
          <w:rFonts w:ascii="Arial" w:hAnsi="Arial" w:cs="Arial"/>
          <w:i/>
          <w:iCs/>
          <w:color w:val="000000" w:themeColor="text1"/>
        </w:rPr>
        <w:t>N. Engl. J. Med.</w:t>
      </w:r>
      <w:r w:rsidRPr="00D048EC">
        <w:rPr>
          <w:rFonts w:ascii="Arial" w:hAnsi="Arial" w:cs="Arial"/>
          <w:color w:val="000000" w:themeColor="text1"/>
        </w:rPr>
        <w:t>, vol. 351, no. 13, pp. 1296–1305, 2004.</w:t>
      </w:r>
    </w:p>
    <w:p w14:paraId="5F7080DF"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t>[10]</w:t>
      </w:r>
      <w:r w:rsidRPr="00D048EC">
        <w:rPr>
          <w:rFonts w:ascii="Arial" w:hAnsi="Arial" w:cs="Arial"/>
          <w:color w:val="000000" w:themeColor="text1"/>
        </w:rPr>
        <w:tab/>
        <w:t xml:space="preserve">K. Matsushita </w:t>
      </w:r>
      <w:r w:rsidRPr="00D048EC">
        <w:rPr>
          <w:rFonts w:ascii="Arial" w:hAnsi="Arial" w:cs="Arial"/>
          <w:i/>
          <w:iCs/>
          <w:color w:val="000000" w:themeColor="text1"/>
        </w:rPr>
        <w:t>et al.</w:t>
      </w:r>
      <w:r w:rsidRPr="00D048EC">
        <w:rPr>
          <w:rFonts w:ascii="Arial" w:hAnsi="Arial" w:cs="Arial"/>
          <w:color w:val="000000" w:themeColor="text1"/>
        </w:rPr>
        <w:t xml:space="preserve">, “Association of estimated glomerular filtration rate and albuminuria with all-cause and cardiovascular mortality in general population cohorts: A collaborative meta-analysis,” </w:t>
      </w:r>
      <w:r w:rsidRPr="00D048EC">
        <w:rPr>
          <w:rFonts w:ascii="Arial" w:hAnsi="Arial" w:cs="Arial"/>
          <w:i/>
          <w:iCs/>
          <w:color w:val="000000" w:themeColor="text1"/>
        </w:rPr>
        <w:t>Lancet</w:t>
      </w:r>
      <w:r w:rsidRPr="00D048EC">
        <w:rPr>
          <w:rFonts w:ascii="Arial" w:hAnsi="Arial" w:cs="Arial"/>
          <w:color w:val="000000" w:themeColor="text1"/>
        </w:rPr>
        <w:t>, vol. 375, no. 9731, pp. 2073–2081, 2010.</w:t>
      </w:r>
    </w:p>
    <w:p w14:paraId="7A0CC479"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t>[11]</w:t>
      </w:r>
      <w:r w:rsidRPr="00D048EC">
        <w:rPr>
          <w:rFonts w:ascii="Arial" w:hAnsi="Arial" w:cs="Arial"/>
          <w:color w:val="000000" w:themeColor="text1"/>
        </w:rPr>
        <w:tab/>
        <w:t xml:space="preserve">O. J. Wouters </w:t>
      </w:r>
      <w:r w:rsidRPr="00D048EC">
        <w:rPr>
          <w:rFonts w:ascii="Arial" w:hAnsi="Arial" w:cs="Arial"/>
          <w:i/>
          <w:iCs/>
          <w:color w:val="000000" w:themeColor="text1"/>
        </w:rPr>
        <w:t>et al.</w:t>
      </w:r>
      <w:r w:rsidRPr="00D048EC">
        <w:rPr>
          <w:rFonts w:ascii="Arial" w:hAnsi="Arial" w:cs="Arial"/>
          <w:color w:val="000000" w:themeColor="text1"/>
        </w:rPr>
        <w:t xml:space="preserve">, “Early chronic kidney disease: Diagnosis, management and models of care,” </w:t>
      </w:r>
      <w:r w:rsidRPr="00D048EC">
        <w:rPr>
          <w:rFonts w:ascii="Arial" w:hAnsi="Arial" w:cs="Arial"/>
          <w:i/>
          <w:iCs/>
          <w:color w:val="000000" w:themeColor="text1"/>
        </w:rPr>
        <w:t>Nat. Rev. Nephrol.</w:t>
      </w:r>
      <w:r w:rsidRPr="00D048EC">
        <w:rPr>
          <w:rFonts w:ascii="Arial" w:hAnsi="Arial" w:cs="Arial"/>
          <w:color w:val="000000" w:themeColor="text1"/>
        </w:rPr>
        <w:t>, vol. 11, no. 8, pp. 491–502, 2015.</w:t>
      </w:r>
    </w:p>
    <w:p w14:paraId="56DA5183"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t>[12]</w:t>
      </w:r>
      <w:r w:rsidRPr="00D048EC">
        <w:rPr>
          <w:rFonts w:ascii="Arial" w:hAnsi="Arial" w:cs="Arial"/>
          <w:color w:val="000000" w:themeColor="text1"/>
        </w:rPr>
        <w:tab/>
        <w:t xml:space="preserve">M. G. </w:t>
      </w:r>
      <w:proofErr w:type="spellStart"/>
      <w:r w:rsidRPr="00D048EC">
        <w:rPr>
          <w:rFonts w:ascii="Arial" w:hAnsi="Arial" w:cs="Arial"/>
          <w:color w:val="000000" w:themeColor="text1"/>
        </w:rPr>
        <w:t>Shlipak</w:t>
      </w:r>
      <w:proofErr w:type="spellEnd"/>
      <w:r w:rsidRPr="00D048EC">
        <w:rPr>
          <w:rFonts w:ascii="Arial" w:hAnsi="Arial" w:cs="Arial"/>
          <w:color w:val="000000" w:themeColor="text1"/>
        </w:rPr>
        <w:t xml:space="preserve"> </w:t>
      </w:r>
      <w:r w:rsidRPr="00D048EC">
        <w:rPr>
          <w:rFonts w:ascii="Arial" w:hAnsi="Arial" w:cs="Arial"/>
          <w:i/>
          <w:iCs/>
          <w:color w:val="000000" w:themeColor="text1"/>
        </w:rPr>
        <w:t>et al.</w:t>
      </w:r>
      <w:r w:rsidRPr="00D048EC">
        <w:rPr>
          <w:rFonts w:ascii="Arial" w:hAnsi="Arial" w:cs="Arial"/>
          <w:color w:val="000000" w:themeColor="text1"/>
        </w:rPr>
        <w:t xml:space="preserve">, “The case for early identification and intervention of chronic kidney disease: Conclusions from a </w:t>
      </w:r>
      <w:proofErr w:type="gramStart"/>
      <w:r w:rsidRPr="00D048EC">
        <w:rPr>
          <w:rFonts w:ascii="Arial" w:hAnsi="Arial" w:cs="Arial"/>
          <w:color w:val="000000" w:themeColor="text1"/>
        </w:rPr>
        <w:t>Kidney Disease</w:t>
      </w:r>
      <w:proofErr w:type="gramEnd"/>
      <w:r w:rsidRPr="00D048EC">
        <w:rPr>
          <w:rFonts w:ascii="Arial" w:hAnsi="Arial" w:cs="Arial"/>
          <w:color w:val="000000" w:themeColor="text1"/>
        </w:rPr>
        <w:t xml:space="preserve">: Improving Global Outcomes (KDIGO) Controversies Conference,” </w:t>
      </w:r>
      <w:r w:rsidRPr="00D048EC">
        <w:rPr>
          <w:rFonts w:ascii="Arial" w:hAnsi="Arial" w:cs="Arial"/>
          <w:i/>
          <w:iCs/>
          <w:color w:val="000000" w:themeColor="text1"/>
        </w:rPr>
        <w:t>Kidney Int.</w:t>
      </w:r>
      <w:r w:rsidRPr="00D048EC">
        <w:rPr>
          <w:rFonts w:ascii="Arial" w:hAnsi="Arial" w:cs="Arial"/>
          <w:color w:val="000000" w:themeColor="text1"/>
        </w:rPr>
        <w:t>, vol. 99, no. 1, pp. 34–47, 2021.</w:t>
      </w:r>
    </w:p>
    <w:p w14:paraId="1075FCAA"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t>[13]</w:t>
      </w:r>
      <w:r w:rsidRPr="00D048EC">
        <w:rPr>
          <w:rFonts w:ascii="Arial" w:hAnsi="Arial" w:cs="Arial"/>
          <w:color w:val="000000" w:themeColor="text1"/>
        </w:rPr>
        <w:tab/>
        <w:t xml:space="preserve">N. Tangri </w:t>
      </w:r>
      <w:r w:rsidRPr="00D048EC">
        <w:rPr>
          <w:rFonts w:ascii="Arial" w:hAnsi="Arial" w:cs="Arial"/>
          <w:i/>
          <w:iCs/>
          <w:color w:val="000000" w:themeColor="text1"/>
        </w:rPr>
        <w:t>et al.</w:t>
      </w:r>
      <w:r w:rsidRPr="00D048EC">
        <w:rPr>
          <w:rFonts w:ascii="Arial" w:hAnsi="Arial" w:cs="Arial"/>
          <w:color w:val="000000" w:themeColor="text1"/>
        </w:rPr>
        <w:t xml:space="preserve">, “A predictive model for progression of chronic kidney disease to kidney failure,” </w:t>
      </w:r>
      <w:r w:rsidRPr="00D048EC">
        <w:rPr>
          <w:rFonts w:ascii="Arial" w:hAnsi="Arial" w:cs="Arial"/>
          <w:i/>
          <w:iCs/>
          <w:color w:val="000000" w:themeColor="text1"/>
        </w:rPr>
        <w:t>JAMA</w:t>
      </w:r>
      <w:r w:rsidRPr="00D048EC">
        <w:rPr>
          <w:rFonts w:ascii="Arial" w:hAnsi="Arial" w:cs="Arial"/>
          <w:color w:val="000000" w:themeColor="text1"/>
        </w:rPr>
        <w:t>, vol. 305, no. 15, pp. 1553–1559, 2011.</w:t>
      </w:r>
    </w:p>
    <w:p w14:paraId="196AB2B8"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lastRenderedPageBreak/>
        <w:t>[14]</w:t>
      </w:r>
      <w:r w:rsidRPr="00D048EC">
        <w:rPr>
          <w:rFonts w:ascii="Arial" w:hAnsi="Arial" w:cs="Arial"/>
          <w:color w:val="000000" w:themeColor="text1"/>
        </w:rPr>
        <w:tab/>
        <w:t xml:space="preserve">GBD Chronic Kidney Disease Collaboration, “Global, regional, and national burden of chronic kidney disease, 1990–2017: A systematic analysis for the Global Burden of Disease Study 2017,” </w:t>
      </w:r>
      <w:r w:rsidRPr="00D048EC">
        <w:rPr>
          <w:rFonts w:ascii="Arial" w:hAnsi="Arial" w:cs="Arial"/>
          <w:i/>
          <w:iCs/>
          <w:color w:val="000000" w:themeColor="text1"/>
        </w:rPr>
        <w:t>Lancet</w:t>
      </w:r>
      <w:r w:rsidRPr="00D048EC">
        <w:rPr>
          <w:rFonts w:ascii="Arial" w:hAnsi="Arial" w:cs="Arial"/>
          <w:color w:val="000000" w:themeColor="text1"/>
        </w:rPr>
        <w:t>, vol. 395, no. 10225, pp. 709–733, 2020.</w:t>
      </w:r>
    </w:p>
    <w:p w14:paraId="2D56EFB9"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t>[15]</w:t>
      </w:r>
      <w:r w:rsidRPr="00D048EC">
        <w:rPr>
          <w:rFonts w:ascii="Arial" w:hAnsi="Arial" w:cs="Arial"/>
          <w:color w:val="000000" w:themeColor="text1"/>
        </w:rPr>
        <w:tab/>
        <w:t xml:space="preserve">K. J. Foreman </w:t>
      </w:r>
      <w:r w:rsidRPr="00D048EC">
        <w:rPr>
          <w:rFonts w:ascii="Arial" w:hAnsi="Arial" w:cs="Arial"/>
          <w:i/>
          <w:iCs/>
          <w:color w:val="000000" w:themeColor="text1"/>
        </w:rPr>
        <w:t>et al.</w:t>
      </w:r>
      <w:r w:rsidRPr="00D048EC">
        <w:rPr>
          <w:rFonts w:ascii="Arial" w:hAnsi="Arial" w:cs="Arial"/>
          <w:color w:val="000000" w:themeColor="text1"/>
        </w:rPr>
        <w:t xml:space="preserve">, “Forecasting life expectancy, years of life lost, and all-cause and cause-specific mortality for 250 causes of death: Reference and alternative scenarios for 2016–40 for 195 countries and territories,” </w:t>
      </w:r>
      <w:r w:rsidRPr="00D048EC">
        <w:rPr>
          <w:rFonts w:ascii="Arial" w:hAnsi="Arial" w:cs="Arial"/>
          <w:i/>
          <w:iCs/>
          <w:color w:val="000000" w:themeColor="text1"/>
        </w:rPr>
        <w:t>Lancet</w:t>
      </w:r>
      <w:r w:rsidRPr="00D048EC">
        <w:rPr>
          <w:rFonts w:ascii="Arial" w:hAnsi="Arial" w:cs="Arial"/>
          <w:color w:val="000000" w:themeColor="text1"/>
        </w:rPr>
        <w:t>, vol. 392, no. 10159, pp. 2052–2090, 2018.</w:t>
      </w:r>
    </w:p>
    <w:p w14:paraId="7B374C7E"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t>[16]</w:t>
      </w:r>
      <w:r w:rsidRPr="00D048EC">
        <w:rPr>
          <w:rFonts w:ascii="Arial" w:hAnsi="Arial" w:cs="Arial"/>
          <w:color w:val="000000" w:themeColor="text1"/>
        </w:rPr>
        <w:tab/>
        <w:t xml:space="preserve">V. Jha </w:t>
      </w:r>
      <w:r w:rsidRPr="00D048EC">
        <w:rPr>
          <w:rFonts w:ascii="Arial" w:hAnsi="Arial" w:cs="Arial"/>
          <w:i/>
          <w:iCs/>
          <w:color w:val="000000" w:themeColor="text1"/>
        </w:rPr>
        <w:t>et al.</w:t>
      </w:r>
      <w:r w:rsidRPr="00D048EC">
        <w:rPr>
          <w:rFonts w:ascii="Arial" w:hAnsi="Arial" w:cs="Arial"/>
          <w:color w:val="000000" w:themeColor="text1"/>
        </w:rPr>
        <w:t>, “</w:t>
      </w:r>
      <w:proofErr w:type="gramStart"/>
      <w:r w:rsidRPr="00D048EC">
        <w:rPr>
          <w:rFonts w:ascii="Arial" w:hAnsi="Arial" w:cs="Arial"/>
          <w:color w:val="000000" w:themeColor="text1"/>
        </w:rPr>
        <w:t>Chronic kidney disease</w:t>
      </w:r>
      <w:proofErr w:type="gramEnd"/>
      <w:r w:rsidRPr="00D048EC">
        <w:rPr>
          <w:rFonts w:ascii="Arial" w:hAnsi="Arial" w:cs="Arial"/>
          <w:color w:val="000000" w:themeColor="text1"/>
        </w:rPr>
        <w:t xml:space="preserve">: Global dimension and perspectives,” </w:t>
      </w:r>
      <w:r w:rsidRPr="00D048EC">
        <w:rPr>
          <w:rFonts w:ascii="Arial" w:hAnsi="Arial" w:cs="Arial"/>
          <w:i/>
          <w:iCs/>
          <w:color w:val="000000" w:themeColor="text1"/>
        </w:rPr>
        <w:t>Lancet</w:t>
      </w:r>
      <w:r w:rsidRPr="00D048EC">
        <w:rPr>
          <w:rFonts w:ascii="Arial" w:hAnsi="Arial" w:cs="Arial"/>
          <w:color w:val="000000" w:themeColor="text1"/>
        </w:rPr>
        <w:t>, vol. 382, no. 9888, pp. 260–272, 2013.</w:t>
      </w:r>
    </w:p>
    <w:p w14:paraId="137E7822"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t>[17]</w:t>
      </w:r>
      <w:r w:rsidRPr="00D048EC">
        <w:rPr>
          <w:rFonts w:ascii="Arial" w:hAnsi="Arial" w:cs="Arial"/>
          <w:color w:val="000000" w:themeColor="text1"/>
        </w:rPr>
        <w:tab/>
        <w:t xml:space="preserve">P. </w:t>
      </w:r>
      <w:proofErr w:type="spellStart"/>
      <w:r w:rsidRPr="00D048EC">
        <w:rPr>
          <w:rFonts w:ascii="Arial" w:hAnsi="Arial" w:cs="Arial"/>
          <w:color w:val="000000" w:themeColor="text1"/>
        </w:rPr>
        <w:t>Cockwell</w:t>
      </w:r>
      <w:proofErr w:type="spellEnd"/>
      <w:r w:rsidRPr="00D048EC">
        <w:rPr>
          <w:rFonts w:ascii="Arial" w:hAnsi="Arial" w:cs="Arial"/>
          <w:color w:val="000000" w:themeColor="text1"/>
        </w:rPr>
        <w:t xml:space="preserve"> and L.-A. Fisher, “The global burden of chronic kidney disease,” </w:t>
      </w:r>
      <w:r w:rsidRPr="00D048EC">
        <w:rPr>
          <w:rFonts w:ascii="Arial" w:hAnsi="Arial" w:cs="Arial"/>
          <w:i/>
          <w:iCs/>
          <w:color w:val="000000" w:themeColor="text1"/>
        </w:rPr>
        <w:t>Lancet</w:t>
      </w:r>
      <w:r w:rsidRPr="00D048EC">
        <w:rPr>
          <w:rFonts w:ascii="Arial" w:hAnsi="Arial" w:cs="Arial"/>
          <w:color w:val="000000" w:themeColor="text1"/>
        </w:rPr>
        <w:t>, vol. 395, no. 10225, pp. 662–664, 2020.</w:t>
      </w:r>
    </w:p>
    <w:p w14:paraId="75D37BA7"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t>[18]</w:t>
      </w:r>
      <w:r w:rsidRPr="00D048EC">
        <w:rPr>
          <w:rFonts w:ascii="Arial" w:hAnsi="Arial" w:cs="Arial"/>
          <w:color w:val="000000" w:themeColor="text1"/>
        </w:rPr>
        <w:tab/>
        <w:t xml:space="preserve">N. R. Hill </w:t>
      </w:r>
      <w:r w:rsidRPr="00D048EC">
        <w:rPr>
          <w:rFonts w:ascii="Arial" w:hAnsi="Arial" w:cs="Arial"/>
          <w:i/>
          <w:iCs/>
          <w:color w:val="000000" w:themeColor="text1"/>
        </w:rPr>
        <w:t>et al.</w:t>
      </w:r>
      <w:r w:rsidRPr="00D048EC">
        <w:rPr>
          <w:rFonts w:ascii="Arial" w:hAnsi="Arial" w:cs="Arial"/>
          <w:color w:val="000000" w:themeColor="text1"/>
        </w:rPr>
        <w:t xml:space="preserve">, “Global prevalence of chronic kidney disease – A systematic review and meta-analysis,” </w:t>
      </w:r>
      <w:proofErr w:type="spellStart"/>
      <w:r w:rsidRPr="00D048EC">
        <w:rPr>
          <w:rFonts w:ascii="Arial" w:hAnsi="Arial" w:cs="Arial"/>
          <w:i/>
          <w:iCs/>
          <w:color w:val="000000" w:themeColor="text1"/>
        </w:rPr>
        <w:t>PLoS</w:t>
      </w:r>
      <w:proofErr w:type="spellEnd"/>
      <w:r w:rsidRPr="00D048EC">
        <w:rPr>
          <w:rFonts w:ascii="Arial" w:hAnsi="Arial" w:cs="Arial"/>
          <w:i/>
          <w:iCs/>
          <w:color w:val="000000" w:themeColor="text1"/>
        </w:rPr>
        <w:t xml:space="preserve"> ONE</w:t>
      </w:r>
      <w:r w:rsidRPr="00D048EC">
        <w:rPr>
          <w:rFonts w:ascii="Arial" w:hAnsi="Arial" w:cs="Arial"/>
          <w:color w:val="000000" w:themeColor="text1"/>
        </w:rPr>
        <w:t>, vol. 11, no. 7, Art. no. e0158765, 2016.</w:t>
      </w:r>
    </w:p>
    <w:p w14:paraId="4D3BA490"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t>[19]</w:t>
      </w:r>
      <w:r w:rsidRPr="00D048EC">
        <w:rPr>
          <w:rFonts w:ascii="Arial" w:hAnsi="Arial" w:cs="Arial"/>
          <w:color w:val="000000" w:themeColor="text1"/>
        </w:rPr>
        <w:tab/>
        <w:t xml:space="preserve">A. Francis </w:t>
      </w:r>
      <w:r w:rsidRPr="00D048EC">
        <w:rPr>
          <w:rFonts w:ascii="Arial" w:hAnsi="Arial" w:cs="Arial"/>
          <w:i/>
          <w:iCs/>
          <w:color w:val="000000" w:themeColor="text1"/>
        </w:rPr>
        <w:t>et al.</w:t>
      </w:r>
      <w:r w:rsidRPr="00D048EC">
        <w:rPr>
          <w:rFonts w:ascii="Arial" w:hAnsi="Arial" w:cs="Arial"/>
          <w:color w:val="000000" w:themeColor="text1"/>
        </w:rPr>
        <w:t>, “</w:t>
      </w:r>
      <w:proofErr w:type="gramStart"/>
      <w:r w:rsidRPr="00D048EC">
        <w:rPr>
          <w:rFonts w:ascii="Arial" w:hAnsi="Arial" w:cs="Arial"/>
          <w:color w:val="000000" w:themeColor="text1"/>
        </w:rPr>
        <w:t>Chronic kidney disease</w:t>
      </w:r>
      <w:proofErr w:type="gramEnd"/>
      <w:r w:rsidRPr="00D048EC">
        <w:rPr>
          <w:rFonts w:ascii="Arial" w:hAnsi="Arial" w:cs="Arial"/>
          <w:color w:val="000000" w:themeColor="text1"/>
        </w:rPr>
        <w:t xml:space="preserve"> and the global public health agenda: An international consensus,” </w:t>
      </w:r>
      <w:r w:rsidRPr="00D048EC">
        <w:rPr>
          <w:rFonts w:ascii="Arial" w:hAnsi="Arial" w:cs="Arial"/>
          <w:i/>
          <w:iCs/>
          <w:color w:val="000000" w:themeColor="text1"/>
        </w:rPr>
        <w:t>Nat. Rev. Nephrol.</w:t>
      </w:r>
      <w:r w:rsidRPr="00D048EC">
        <w:rPr>
          <w:rFonts w:ascii="Arial" w:hAnsi="Arial" w:cs="Arial"/>
          <w:color w:val="000000" w:themeColor="text1"/>
        </w:rPr>
        <w:t>, vol. 20, no. 7, pp. 473–485, 2024.</w:t>
      </w:r>
    </w:p>
    <w:p w14:paraId="0424FB90"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t>[20]</w:t>
      </w:r>
      <w:r w:rsidRPr="00D048EC">
        <w:rPr>
          <w:rFonts w:ascii="Arial" w:hAnsi="Arial" w:cs="Arial"/>
          <w:color w:val="000000" w:themeColor="text1"/>
        </w:rPr>
        <w:tab/>
        <w:t xml:space="preserve">R. T. Gansevoort </w:t>
      </w:r>
      <w:r w:rsidRPr="00D048EC">
        <w:rPr>
          <w:rFonts w:ascii="Arial" w:hAnsi="Arial" w:cs="Arial"/>
          <w:i/>
          <w:iCs/>
          <w:color w:val="000000" w:themeColor="text1"/>
        </w:rPr>
        <w:t>et al.</w:t>
      </w:r>
      <w:r w:rsidRPr="00D048EC">
        <w:rPr>
          <w:rFonts w:ascii="Arial" w:hAnsi="Arial" w:cs="Arial"/>
          <w:color w:val="000000" w:themeColor="text1"/>
        </w:rPr>
        <w:t>, “</w:t>
      </w:r>
      <w:proofErr w:type="gramStart"/>
      <w:r w:rsidRPr="00D048EC">
        <w:rPr>
          <w:rFonts w:ascii="Arial" w:hAnsi="Arial" w:cs="Arial"/>
          <w:color w:val="000000" w:themeColor="text1"/>
        </w:rPr>
        <w:t>Chronic kidney disease</w:t>
      </w:r>
      <w:proofErr w:type="gramEnd"/>
      <w:r w:rsidRPr="00D048EC">
        <w:rPr>
          <w:rFonts w:ascii="Arial" w:hAnsi="Arial" w:cs="Arial"/>
          <w:color w:val="000000" w:themeColor="text1"/>
        </w:rPr>
        <w:t xml:space="preserve"> and cardiovascular risk: Epidemiology, mechanisms, and prevention,” </w:t>
      </w:r>
      <w:r w:rsidRPr="00D048EC">
        <w:rPr>
          <w:rFonts w:ascii="Arial" w:hAnsi="Arial" w:cs="Arial"/>
          <w:i/>
          <w:iCs/>
          <w:color w:val="000000" w:themeColor="text1"/>
        </w:rPr>
        <w:t>Lancet</w:t>
      </w:r>
      <w:r w:rsidRPr="00D048EC">
        <w:rPr>
          <w:rFonts w:ascii="Arial" w:hAnsi="Arial" w:cs="Arial"/>
          <w:color w:val="000000" w:themeColor="text1"/>
        </w:rPr>
        <w:t>, vol. 382, no. 9889, pp. 339–352, 2013.</w:t>
      </w:r>
    </w:p>
    <w:p w14:paraId="19D36F39"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t>[21]</w:t>
      </w:r>
      <w:r w:rsidRPr="00D048EC">
        <w:rPr>
          <w:rFonts w:ascii="Arial" w:hAnsi="Arial" w:cs="Arial"/>
          <w:color w:val="000000" w:themeColor="text1"/>
        </w:rPr>
        <w:tab/>
        <w:t>T. K. Chen, D. H. Knicely, and M. E. Grams, “</w:t>
      </w:r>
      <w:proofErr w:type="gramStart"/>
      <w:r w:rsidRPr="00D048EC">
        <w:rPr>
          <w:rFonts w:ascii="Arial" w:hAnsi="Arial" w:cs="Arial"/>
          <w:color w:val="000000" w:themeColor="text1"/>
        </w:rPr>
        <w:t>Chronic kidney disease</w:t>
      </w:r>
      <w:proofErr w:type="gramEnd"/>
      <w:r w:rsidRPr="00D048EC">
        <w:rPr>
          <w:rFonts w:ascii="Arial" w:hAnsi="Arial" w:cs="Arial"/>
          <w:color w:val="000000" w:themeColor="text1"/>
        </w:rPr>
        <w:t xml:space="preserve"> diagnosis and management: A review,” </w:t>
      </w:r>
      <w:r w:rsidRPr="00D048EC">
        <w:rPr>
          <w:rFonts w:ascii="Arial" w:hAnsi="Arial" w:cs="Arial"/>
          <w:i/>
          <w:iCs/>
          <w:color w:val="000000" w:themeColor="text1"/>
        </w:rPr>
        <w:t>JAMA</w:t>
      </w:r>
      <w:r w:rsidRPr="00D048EC">
        <w:rPr>
          <w:rFonts w:ascii="Arial" w:hAnsi="Arial" w:cs="Arial"/>
          <w:color w:val="000000" w:themeColor="text1"/>
        </w:rPr>
        <w:t>, vol. 322, no. 13, pp. 1294–1304, 2019.</w:t>
      </w:r>
    </w:p>
    <w:p w14:paraId="5F5EA21D"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t>[22]</w:t>
      </w:r>
      <w:r w:rsidRPr="00D048EC">
        <w:rPr>
          <w:rFonts w:ascii="Arial" w:hAnsi="Arial" w:cs="Arial"/>
          <w:color w:val="000000" w:themeColor="text1"/>
        </w:rPr>
        <w:tab/>
        <w:t xml:space="preserve">J. T. Kelly </w:t>
      </w:r>
      <w:r w:rsidRPr="00D048EC">
        <w:rPr>
          <w:rFonts w:ascii="Arial" w:hAnsi="Arial" w:cs="Arial"/>
          <w:i/>
          <w:iCs/>
          <w:color w:val="000000" w:themeColor="text1"/>
        </w:rPr>
        <w:t>et al.</w:t>
      </w:r>
      <w:r w:rsidRPr="00D048EC">
        <w:rPr>
          <w:rFonts w:ascii="Arial" w:hAnsi="Arial" w:cs="Arial"/>
          <w:color w:val="000000" w:themeColor="text1"/>
        </w:rPr>
        <w:t xml:space="preserve">, “Modifiable lifestyle factors for primary prevention of CKD: A systematic review and meta-analysis,” </w:t>
      </w:r>
      <w:r w:rsidRPr="00D048EC">
        <w:rPr>
          <w:rFonts w:ascii="Arial" w:hAnsi="Arial" w:cs="Arial"/>
          <w:i/>
          <w:iCs/>
          <w:color w:val="000000" w:themeColor="text1"/>
        </w:rPr>
        <w:t>J. Am. Soc. Nephrol.</w:t>
      </w:r>
      <w:r w:rsidRPr="00D048EC">
        <w:rPr>
          <w:rFonts w:ascii="Arial" w:hAnsi="Arial" w:cs="Arial"/>
          <w:color w:val="000000" w:themeColor="text1"/>
        </w:rPr>
        <w:t>, vol. 32, no. 1, pp. 239–253, 2021.</w:t>
      </w:r>
    </w:p>
    <w:p w14:paraId="4C7E2C85"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t>[23]</w:t>
      </w:r>
      <w:r w:rsidRPr="00D048EC">
        <w:rPr>
          <w:rFonts w:ascii="Arial" w:hAnsi="Arial" w:cs="Arial"/>
          <w:color w:val="000000" w:themeColor="text1"/>
        </w:rPr>
        <w:tab/>
        <w:t xml:space="preserve">P. Vart </w:t>
      </w:r>
      <w:r w:rsidRPr="00D048EC">
        <w:rPr>
          <w:rFonts w:ascii="Arial" w:hAnsi="Arial" w:cs="Arial"/>
          <w:i/>
          <w:iCs/>
          <w:color w:val="000000" w:themeColor="text1"/>
        </w:rPr>
        <w:t>et al.</w:t>
      </w:r>
      <w:r w:rsidRPr="00D048EC">
        <w:rPr>
          <w:rFonts w:ascii="Arial" w:hAnsi="Arial" w:cs="Arial"/>
          <w:color w:val="000000" w:themeColor="text1"/>
        </w:rPr>
        <w:t xml:space="preserve">, “Socioeconomic disparities in chronic kidney disease: A systematic review and meta-analysis,” </w:t>
      </w:r>
      <w:r w:rsidRPr="00D048EC">
        <w:rPr>
          <w:rFonts w:ascii="Arial" w:hAnsi="Arial" w:cs="Arial"/>
          <w:i/>
          <w:iCs/>
          <w:color w:val="000000" w:themeColor="text1"/>
        </w:rPr>
        <w:t>Am. J. Prev. Med.</w:t>
      </w:r>
      <w:r w:rsidRPr="00D048EC">
        <w:rPr>
          <w:rFonts w:ascii="Arial" w:hAnsi="Arial" w:cs="Arial"/>
          <w:color w:val="000000" w:themeColor="text1"/>
        </w:rPr>
        <w:t>, vol. 48, no. 5, pp. 580–592, 2015.</w:t>
      </w:r>
    </w:p>
    <w:p w14:paraId="1F7EB911"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t>[24]</w:t>
      </w:r>
      <w:r w:rsidRPr="00D048EC">
        <w:rPr>
          <w:rFonts w:ascii="Arial" w:hAnsi="Arial" w:cs="Arial"/>
          <w:color w:val="000000" w:themeColor="text1"/>
        </w:rPr>
        <w:tab/>
        <w:t xml:space="preserve">H. O. </w:t>
      </w:r>
      <w:proofErr w:type="spellStart"/>
      <w:r w:rsidRPr="00D048EC">
        <w:rPr>
          <w:rFonts w:ascii="Arial" w:hAnsi="Arial" w:cs="Arial"/>
          <w:color w:val="000000" w:themeColor="text1"/>
        </w:rPr>
        <w:t>Hounkpatin</w:t>
      </w:r>
      <w:proofErr w:type="spellEnd"/>
      <w:r w:rsidRPr="00D048EC">
        <w:rPr>
          <w:rFonts w:ascii="Arial" w:hAnsi="Arial" w:cs="Arial"/>
          <w:color w:val="000000" w:themeColor="text1"/>
        </w:rPr>
        <w:t xml:space="preserve"> </w:t>
      </w:r>
      <w:r w:rsidRPr="00D048EC">
        <w:rPr>
          <w:rFonts w:ascii="Arial" w:hAnsi="Arial" w:cs="Arial"/>
          <w:i/>
          <w:iCs/>
          <w:color w:val="000000" w:themeColor="text1"/>
        </w:rPr>
        <w:t>et al.</w:t>
      </w:r>
      <w:r w:rsidRPr="00D048EC">
        <w:rPr>
          <w:rFonts w:ascii="Arial" w:hAnsi="Arial" w:cs="Arial"/>
          <w:color w:val="000000" w:themeColor="text1"/>
        </w:rPr>
        <w:t xml:space="preserve">, “Ethnic minority disparities in progression and mortality of pre-dialysis chronic kidney disease: A systematic scoping review,” </w:t>
      </w:r>
      <w:r w:rsidRPr="00D048EC">
        <w:rPr>
          <w:rFonts w:ascii="Arial" w:hAnsi="Arial" w:cs="Arial"/>
          <w:i/>
          <w:iCs/>
          <w:color w:val="000000" w:themeColor="text1"/>
        </w:rPr>
        <w:t>BMC Nephrol.</w:t>
      </w:r>
      <w:r w:rsidRPr="00D048EC">
        <w:rPr>
          <w:rFonts w:ascii="Arial" w:hAnsi="Arial" w:cs="Arial"/>
          <w:color w:val="000000" w:themeColor="text1"/>
        </w:rPr>
        <w:t>, vol. 21, Art. no. 217, 2020.</w:t>
      </w:r>
    </w:p>
    <w:p w14:paraId="5B8E9758"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t>[25]</w:t>
      </w:r>
      <w:r w:rsidRPr="00D048EC">
        <w:rPr>
          <w:rFonts w:ascii="Arial" w:hAnsi="Arial" w:cs="Arial"/>
          <w:color w:val="000000" w:themeColor="text1"/>
        </w:rPr>
        <w:tab/>
        <w:t xml:space="preserve">D. C. Crews, A. K. Bello, and G. Saadi, “Burden, access, and disparities in kidney disease,” </w:t>
      </w:r>
      <w:r w:rsidRPr="00D048EC">
        <w:rPr>
          <w:rFonts w:ascii="Arial" w:hAnsi="Arial" w:cs="Arial"/>
          <w:i/>
          <w:iCs/>
          <w:color w:val="000000" w:themeColor="text1"/>
        </w:rPr>
        <w:t>Kidney Int.</w:t>
      </w:r>
      <w:r w:rsidRPr="00D048EC">
        <w:rPr>
          <w:rFonts w:ascii="Arial" w:hAnsi="Arial" w:cs="Arial"/>
          <w:color w:val="000000" w:themeColor="text1"/>
        </w:rPr>
        <w:t>, vol. 95, no. 2, pp. 242–248, 2019.</w:t>
      </w:r>
    </w:p>
    <w:p w14:paraId="0850E077"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t>[26]</w:t>
      </w:r>
      <w:r w:rsidRPr="00D048EC">
        <w:rPr>
          <w:rFonts w:ascii="Arial" w:hAnsi="Arial" w:cs="Arial"/>
          <w:color w:val="000000" w:themeColor="text1"/>
        </w:rPr>
        <w:tab/>
        <w:t xml:space="preserve">M. Marmot </w:t>
      </w:r>
      <w:r w:rsidRPr="00D048EC">
        <w:rPr>
          <w:rFonts w:ascii="Arial" w:hAnsi="Arial" w:cs="Arial"/>
          <w:i/>
          <w:iCs/>
          <w:color w:val="000000" w:themeColor="text1"/>
        </w:rPr>
        <w:t>et al.</w:t>
      </w:r>
      <w:r w:rsidRPr="00D048EC">
        <w:rPr>
          <w:rFonts w:ascii="Arial" w:hAnsi="Arial" w:cs="Arial"/>
          <w:color w:val="000000" w:themeColor="text1"/>
        </w:rPr>
        <w:t xml:space="preserve">, </w:t>
      </w:r>
      <w:r w:rsidRPr="00D048EC">
        <w:rPr>
          <w:rFonts w:ascii="Arial" w:hAnsi="Arial" w:cs="Arial"/>
          <w:i/>
          <w:iCs/>
          <w:color w:val="000000" w:themeColor="text1"/>
        </w:rPr>
        <w:t>Health Equity in England: The Marmot Review 10 Years On</w:t>
      </w:r>
      <w:r w:rsidRPr="00D048EC">
        <w:rPr>
          <w:rFonts w:ascii="Arial" w:hAnsi="Arial" w:cs="Arial"/>
          <w:color w:val="000000" w:themeColor="text1"/>
        </w:rPr>
        <w:t>. London, U.K.: Institute of Health Equity, 2020.</w:t>
      </w:r>
    </w:p>
    <w:p w14:paraId="21BFF260"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lastRenderedPageBreak/>
        <w:t>[27]</w:t>
      </w:r>
      <w:r w:rsidRPr="00D048EC">
        <w:rPr>
          <w:rFonts w:ascii="Arial" w:hAnsi="Arial" w:cs="Arial"/>
          <w:color w:val="000000" w:themeColor="text1"/>
        </w:rPr>
        <w:tab/>
        <w:t xml:space="preserve">L. A. Inker </w:t>
      </w:r>
      <w:r w:rsidRPr="00D048EC">
        <w:rPr>
          <w:rFonts w:ascii="Arial" w:hAnsi="Arial" w:cs="Arial"/>
          <w:i/>
          <w:iCs/>
          <w:color w:val="000000" w:themeColor="text1"/>
        </w:rPr>
        <w:t>et al.</w:t>
      </w:r>
      <w:r w:rsidRPr="00D048EC">
        <w:rPr>
          <w:rFonts w:ascii="Arial" w:hAnsi="Arial" w:cs="Arial"/>
          <w:color w:val="000000" w:themeColor="text1"/>
        </w:rPr>
        <w:t xml:space="preserve">, “New creatinine- and cystatin C–based equations to estimate GFR without race,” </w:t>
      </w:r>
      <w:r w:rsidRPr="00D048EC">
        <w:rPr>
          <w:rFonts w:ascii="Arial" w:hAnsi="Arial" w:cs="Arial"/>
          <w:i/>
          <w:iCs/>
          <w:color w:val="000000" w:themeColor="text1"/>
        </w:rPr>
        <w:t>N. Engl. J. Med.</w:t>
      </w:r>
      <w:r w:rsidRPr="00D048EC">
        <w:rPr>
          <w:rFonts w:ascii="Arial" w:hAnsi="Arial" w:cs="Arial"/>
          <w:color w:val="000000" w:themeColor="text1"/>
        </w:rPr>
        <w:t>, vol. 385, no. 19, pp. 1737–1749, 2021.</w:t>
      </w:r>
    </w:p>
    <w:p w14:paraId="5BC208BE"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t>[28]</w:t>
      </w:r>
      <w:r w:rsidRPr="00D048EC">
        <w:rPr>
          <w:rFonts w:ascii="Arial" w:hAnsi="Arial" w:cs="Arial"/>
          <w:color w:val="000000" w:themeColor="text1"/>
        </w:rPr>
        <w:tab/>
        <w:t>S. D. S. Fraser and T. Blakeman, “</w:t>
      </w:r>
      <w:proofErr w:type="gramStart"/>
      <w:r w:rsidRPr="00D048EC">
        <w:rPr>
          <w:rFonts w:ascii="Arial" w:hAnsi="Arial" w:cs="Arial"/>
          <w:color w:val="000000" w:themeColor="text1"/>
        </w:rPr>
        <w:t>Chronic kidney disease</w:t>
      </w:r>
      <w:proofErr w:type="gramEnd"/>
      <w:r w:rsidRPr="00D048EC">
        <w:rPr>
          <w:rFonts w:ascii="Arial" w:hAnsi="Arial" w:cs="Arial"/>
          <w:color w:val="000000" w:themeColor="text1"/>
        </w:rPr>
        <w:t xml:space="preserve">: Identification and management in primary care,” </w:t>
      </w:r>
      <w:r w:rsidRPr="00D048EC">
        <w:rPr>
          <w:rFonts w:ascii="Arial" w:hAnsi="Arial" w:cs="Arial"/>
          <w:i/>
          <w:iCs/>
          <w:color w:val="000000" w:themeColor="text1"/>
        </w:rPr>
        <w:t>Pragmatic Obs. Res.</w:t>
      </w:r>
      <w:r w:rsidRPr="00D048EC">
        <w:rPr>
          <w:rFonts w:ascii="Arial" w:hAnsi="Arial" w:cs="Arial"/>
          <w:color w:val="000000" w:themeColor="text1"/>
        </w:rPr>
        <w:t>, vol. 7, pp. 21–32, 2016.</w:t>
      </w:r>
    </w:p>
    <w:p w14:paraId="3DD63FE2"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t>[29]</w:t>
      </w:r>
      <w:r w:rsidRPr="00D048EC">
        <w:rPr>
          <w:rFonts w:ascii="Arial" w:hAnsi="Arial" w:cs="Arial"/>
          <w:color w:val="000000" w:themeColor="text1"/>
        </w:rPr>
        <w:tab/>
        <w:t>National Institute for Health and Care Excellence, “Empagliflozin for treating chronic kidney disease,” NICE, London, U.K., Technology Appraisal TA942, 2023. [Online]. Available: https://www.nice.org.uk/guidance/ta942</w:t>
      </w:r>
    </w:p>
    <w:p w14:paraId="5F5D994A"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t>[30]</w:t>
      </w:r>
      <w:r w:rsidRPr="00D048EC">
        <w:rPr>
          <w:rFonts w:ascii="Arial" w:hAnsi="Arial" w:cs="Arial"/>
          <w:color w:val="000000" w:themeColor="text1"/>
        </w:rPr>
        <w:tab/>
        <w:t xml:space="preserve">SPRINT Research Group, “A randomized trial of intensive versus standard blood-pressure control,” </w:t>
      </w:r>
      <w:r w:rsidRPr="00D048EC">
        <w:rPr>
          <w:rFonts w:ascii="Arial" w:hAnsi="Arial" w:cs="Arial"/>
          <w:i/>
          <w:iCs/>
          <w:color w:val="000000" w:themeColor="text1"/>
        </w:rPr>
        <w:t>N. Engl. J. Med.</w:t>
      </w:r>
      <w:r w:rsidRPr="00D048EC">
        <w:rPr>
          <w:rFonts w:ascii="Arial" w:hAnsi="Arial" w:cs="Arial"/>
          <w:color w:val="000000" w:themeColor="text1"/>
        </w:rPr>
        <w:t>, vol. 373, no. 22, pp. 2103–2116, 2015.</w:t>
      </w:r>
    </w:p>
    <w:p w14:paraId="24CEA412"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t>[31]</w:t>
      </w:r>
      <w:r w:rsidRPr="00D048EC">
        <w:rPr>
          <w:rFonts w:ascii="Arial" w:hAnsi="Arial" w:cs="Arial"/>
          <w:color w:val="000000" w:themeColor="text1"/>
        </w:rPr>
        <w:tab/>
        <w:t xml:space="preserve">D. Pugh, P. J. Gallacher, and N. </w:t>
      </w:r>
      <w:proofErr w:type="spellStart"/>
      <w:r w:rsidRPr="00D048EC">
        <w:rPr>
          <w:rFonts w:ascii="Arial" w:hAnsi="Arial" w:cs="Arial"/>
          <w:color w:val="000000" w:themeColor="text1"/>
        </w:rPr>
        <w:t>Dhaun</w:t>
      </w:r>
      <w:proofErr w:type="spellEnd"/>
      <w:r w:rsidRPr="00D048EC">
        <w:rPr>
          <w:rFonts w:ascii="Arial" w:hAnsi="Arial" w:cs="Arial"/>
          <w:color w:val="000000" w:themeColor="text1"/>
        </w:rPr>
        <w:t xml:space="preserve">, “Management of hypertension in chronic kidney disease,” </w:t>
      </w:r>
      <w:r w:rsidRPr="00D048EC">
        <w:rPr>
          <w:rFonts w:ascii="Arial" w:hAnsi="Arial" w:cs="Arial"/>
          <w:i/>
          <w:iCs/>
          <w:color w:val="000000" w:themeColor="text1"/>
        </w:rPr>
        <w:t>Drugs</w:t>
      </w:r>
      <w:r w:rsidRPr="00D048EC">
        <w:rPr>
          <w:rFonts w:ascii="Arial" w:hAnsi="Arial" w:cs="Arial"/>
          <w:color w:val="000000" w:themeColor="text1"/>
        </w:rPr>
        <w:t>, vol. 79, no. 4, pp. 365–379, 2019.</w:t>
      </w:r>
    </w:p>
    <w:p w14:paraId="26790781"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t>[32]</w:t>
      </w:r>
      <w:r w:rsidRPr="00D048EC">
        <w:rPr>
          <w:rFonts w:ascii="Arial" w:hAnsi="Arial" w:cs="Arial"/>
          <w:color w:val="000000" w:themeColor="text1"/>
        </w:rPr>
        <w:tab/>
        <w:t xml:space="preserve">B. M. Brenner </w:t>
      </w:r>
      <w:r w:rsidRPr="00D048EC">
        <w:rPr>
          <w:rFonts w:ascii="Arial" w:hAnsi="Arial" w:cs="Arial"/>
          <w:i/>
          <w:iCs/>
          <w:color w:val="000000" w:themeColor="text1"/>
        </w:rPr>
        <w:t>et al.</w:t>
      </w:r>
      <w:r w:rsidRPr="00D048EC">
        <w:rPr>
          <w:rFonts w:ascii="Arial" w:hAnsi="Arial" w:cs="Arial"/>
          <w:color w:val="000000" w:themeColor="text1"/>
        </w:rPr>
        <w:t xml:space="preserve">, “Effects of losartan on renal and cardiovascular outcomes in patients with type 2 diabetes and nephropathy,” </w:t>
      </w:r>
      <w:r w:rsidRPr="00D048EC">
        <w:rPr>
          <w:rFonts w:ascii="Arial" w:hAnsi="Arial" w:cs="Arial"/>
          <w:i/>
          <w:iCs/>
          <w:color w:val="000000" w:themeColor="text1"/>
        </w:rPr>
        <w:t>N. Engl. J. Med.</w:t>
      </w:r>
      <w:r w:rsidRPr="00D048EC">
        <w:rPr>
          <w:rFonts w:ascii="Arial" w:hAnsi="Arial" w:cs="Arial"/>
          <w:color w:val="000000" w:themeColor="text1"/>
        </w:rPr>
        <w:t>, vol. 345, no. 12, pp. 861–869, 2001.</w:t>
      </w:r>
    </w:p>
    <w:p w14:paraId="0C21A5DA"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t>[33]</w:t>
      </w:r>
      <w:r w:rsidRPr="00D048EC">
        <w:rPr>
          <w:rFonts w:ascii="Arial" w:hAnsi="Arial" w:cs="Arial"/>
          <w:color w:val="000000" w:themeColor="text1"/>
        </w:rPr>
        <w:tab/>
        <w:t xml:space="preserve">G. L. </w:t>
      </w:r>
      <w:proofErr w:type="spellStart"/>
      <w:r w:rsidRPr="00D048EC">
        <w:rPr>
          <w:rFonts w:ascii="Arial" w:hAnsi="Arial" w:cs="Arial"/>
          <w:color w:val="000000" w:themeColor="text1"/>
        </w:rPr>
        <w:t>Bakris</w:t>
      </w:r>
      <w:proofErr w:type="spellEnd"/>
      <w:r w:rsidRPr="00D048EC">
        <w:rPr>
          <w:rFonts w:ascii="Arial" w:hAnsi="Arial" w:cs="Arial"/>
          <w:color w:val="000000" w:themeColor="text1"/>
        </w:rPr>
        <w:t xml:space="preserve"> </w:t>
      </w:r>
      <w:r w:rsidRPr="00D048EC">
        <w:rPr>
          <w:rFonts w:ascii="Arial" w:hAnsi="Arial" w:cs="Arial"/>
          <w:i/>
          <w:iCs/>
          <w:color w:val="000000" w:themeColor="text1"/>
        </w:rPr>
        <w:t>et al.</w:t>
      </w:r>
      <w:r w:rsidRPr="00D048EC">
        <w:rPr>
          <w:rFonts w:ascii="Arial" w:hAnsi="Arial" w:cs="Arial"/>
          <w:color w:val="000000" w:themeColor="text1"/>
        </w:rPr>
        <w:t xml:space="preserve">, “Effect of </w:t>
      </w:r>
      <w:proofErr w:type="spellStart"/>
      <w:r w:rsidRPr="00D048EC">
        <w:rPr>
          <w:rFonts w:ascii="Arial" w:hAnsi="Arial" w:cs="Arial"/>
          <w:color w:val="000000" w:themeColor="text1"/>
        </w:rPr>
        <w:t>finerenone</w:t>
      </w:r>
      <w:proofErr w:type="spellEnd"/>
      <w:r w:rsidRPr="00D048EC">
        <w:rPr>
          <w:rFonts w:ascii="Arial" w:hAnsi="Arial" w:cs="Arial"/>
          <w:color w:val="000000" w:themeColor="text1"/>
        </w:rPr>
        <w:t xml:space="preserve"> on chronic kidney disease outcomes in type 2 diabetes,” </w:t>
      </w:r>
      <w:r w:rsidRPr="00D048EC">
        <w:rPr>
          <w:rFonts w:ascii="Arial" w:hAnsi="Arial" w:cs="Arial"/>
          <w:i/>
          <w:iCs/>
          <w:color w:val="000000" w:themeColor="text1"/>
        </w:rPr>
        <w:t>N. Engl. J. Med.</w:t>
      </w:r>
      <w:r w:rsidRPr="00D048EC">
        <w:rPr>
          <w:rFonts w:ascii="Arial" w:hAnsi="Arial" w:cs="Arial"/>
          <w:color w:val="000000" w:themeColor="text1"/>
        </w:rPr>
        <w:t>, vol. 383, no. 23, pp. 2219–2229, 2020.</w:t>
      </w:r>
    </w:p>
    <w:p w14:paraId="01E44257"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t>[34]</w:t>
      </w:r>
      <w:r w:rsidRPr="00D048EC">
        <w:rPr>
          <w:rFonts w:ascii="Arial" w:hAnsi="Arial" w:cs="Arial"/>
          <w:color w:val="000000" w:themeColor="text1"/>
        </w:rPr>
        <w:tab/>
        <w:t xml:space="preserve">T. A. </w:t>
      </w:r>
      <w:proofErr w:type="spellStart"/>
      <w:r w:rsidRPr="00D048EC">
        <w:rPr>
          <w:rFonts w:ascii="Arial" w:hAnsi="Arial" w:cs="Arial"/>
          <w:color w:val="000000" w:themeColor="text1"/>
        </w:rPr>
        <w:t>Ikizler</w:t>
      </w:r>
      <w:proofErr w:type="spellEnd"/>
      <w:r w:rsidRPr="00D048EC">
        <w:rPr>
          <w:rFonts w:ascii="Arial" w:hAnsi="Arial" w:cs="Arial"/>
          <w:color w:val="000000" w:themeColor="text1"/>
        </w:rPr>
        <w:t xml:space="preserve"> </w:t>
      </w:r>
      <w:r w:rsidRPr="00D048EC">
        <w:rPr>
          <w:rFonts w:ascii="Arial" w:hAnsi="Arial" w:cs="Arial"/>
          <w:i/>
          <w:iCs/>
          <w:color w:val="000000" w:themeColor="text1"/>
        </w:rPr>
        <w:t>et al.</w:t>
      </w:r>
      <w:r w:rsidRPr="00D048EC">
        <w:rPr>
          <w:rFonts w:ascii="Arial" w:hAnsi="Arial" w:cs="Arial"/>
          <w:color w:val="000000" w:themeColor="text1"/>
        </w:rPr>
        <w:t xml:space="preserve">, “KDOQI clinical practice guideline for nutrition in CKD: 2020 update,” </w:t>
      </w:r>
      <w:r w:rsidRPr="00D048EC">
        <w:rPr>
          <w:rFonts w:ascii="Arial" w:hAnsi="Arial" w:cs="Arial"/>
          <w:i/>
          <w:iCs/>
          <w:color w:val="000000" w:themeColor="text1"/>
        </w:rPr>
        <w:t>Am. J. Kidney Dis.</w:t>
      </w:r>
      <w:r w:rsidRPr="00D048EC">
        <w:rPr>
          <w:rFonts w:ascii="Arial" w:hAnsi="Arial" w:cs="Arial"/>
          <w:color w:val="000000" w:themeColor="text1"/>
        </w:rPr>
        <w:t>, vol. 76, no. 3, suppl. 1, pp. S1–S107, 2020.</w:t>
      </w:r>
    </w:p>
    <w:p w14:paraId="2CD1A22D"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t>[35]</w:t>
      </w:r>
      <w:r w:rsidRPr="00D048EC">
        <w:rPr>
          <w:rFonts w:ascii="Arial" w:hAnsi="Arial" w:cs="Arial"/>
          <w:color w:val="000000" w:themeColor="text1"/>
        </w:rPr>
        <w:tab/>
        <w:t xml:space="preserve">V. Perkovic </w:t>
      </w:r>
      <w:r w:rsidRPr="00D048EC">
        <w:rPr>
          <w:rFonts w:ascii="Arial" w:hAnsi="Arial" w:cs="Arial"/>
          <w:i/>
          <w:iCs/>
          <w:color w:val="000000" w:themeColor="text1"/>
        </w:rPr>
        <w:t>et al.</w:t>
      </w:r>
      <w:r w:rsidRPr="00D048EC">
        <w:rPr>
          <w:rFonts w:ascii="Arial" w:hAnsi="Arial" w:cs="Arial"/>
          <w:color w:val="000000" w:themeColor="text1"/>
        </w:rPr>
        <w:t xml:space="preserve">, “Canagliflozin and renal outcomes in type 2 diabetes and nephropathy,” </w:t>
      </w:r>
      <w:r w:rsidRPr="00D048EC">
        <w:rPr>
          <w:rFonts w:ascii="Arial" w:hAnsi="Arial" w:cs="Arial"/>
          <w:i/>
          <w:iCs/>
          <w:color w:val="000000" w:themeColor="text1"/>
        </w:rPr>
        <w:t>N. Engl. J. Med.</w:t>
      </w:r>
      <w:r w:rsidRPr="00D048EC">
        <w:rPr>
          <w:rFonts w:ascii="Arial" w:hAnsi="Arial" w:cs="Arial"/>
          <w:color w:val="000000" w:themeColor="text1"/>
        </w:rPr>
        <w:t>, vol. 380, no. 24, pp. 2295–2306, 2019.</w:t>
      </w:r>
    </w:p>
    <w:p w14:paraId="01477664"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t>[36]</w:t>
      </w:r>
      <w:r w:rsidRPr="00D048EC">
        <w:rPr>
          <w:rFonts w:ascii="Arial" w:hAnsi="Arial" w:cs="Arial"/>
          <w:color w:val="000000" w:themeColor="text1"/>
        </w:rPr>
        <w:tab/>
        <w:t xml:space="preserve">H. J. L. Heerspink </w:t>
      </w:r>
      <w:r w:rsidRPr="00D048EC">
        <w:rPr>
          <w:rFonts w:ascii="Arial" w:hAnsi="Arial" w:cs="Arial"/>
          <w:i/>
          <w:iCs/>
          <w:color w:val="000000" w:themeColor="text1"/>
        </w:rPr>
        <w:t>et al.</w:t>
      </w:r>
      <w:r w:rsidRPr="00D048EC">
        <w:rPr>
          <w:rFonts w:ascii="Arial" w:hAnsi="Arial" w:cs="Arial"/>
          <w:color w:val="000000" w:themeColor="text1"/>
        </w:rPr>
        <w:t xml:space="preserve">, “Dapagliflozin in patients with chronic kidney disease,” </w:t>
      </w:r>
      <w:r w:rsidRPr="00D048EC">
        <w:rPr>
          <w:rFonts w:ascii="Arial" w:hAnsi="Arial" w:cs="Arial"/>
          <w:i/>
          <w:iCs/>
          <w:color w:val="000000" w:themeColor="text1"/>
        </w:rPr>
        <w:t>N. Engl. J. Med.</w:t>
      </w:r>
      <w:r w:rsidRPr="00D048EC">
        <w:rPr>
          <w:rFonts w:ascii="Arial" w:hAnsi="Arial" w:cs="Arial"/>
          <w:color w:val="000000" w:themeColor="text1"/>
        </w:rPr>
        <w:t>, vol. 383, no. 15, pp. 1436–1446, 2020.</w:t>
      </w:r>
    </w:p>
    <w:p w14:paraId="2D957CDF"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t>[37]</w:t>
      </w:r>
      <w:r w:rsidRPr="00D048EC">
        <w:rPr>
          <w:rFonts w:ascii="Arial" w:hAnsi="Arial" w:cs="Arial"/>
          <w:color w:val="000000" w:themeColor="text1"/>
        </w:rPr>
        <w:tab/>
        <w:t xml:space="preserve">EMPA-KIDNEY Collaborative Group, “Empagliflozin in patients with chronic kidney disease,” </w:t>
      </w:r>
      <w:r w:rsidRPr="00D048EC">
        <w:rPr>
          <w:rFonts w:ascii="Arial" w:hAnsi="Arial" w:cs="Arial"/>
          <w:i/>
          <w:iCs/>
          <w:color w:val="000000" w:themeColor="text1"/>
        </w:rPr>
        <w:t>N. Engl. J. Med.</w:t>
      </w:r>
      <w:r w:rsidRPr="00D048EC">
        <w:rPr>
          <w:rFonts w:ascii="Arial" w:hAnsi="Arial" w:cs="Arial"/>
          <w:color w:val="000000" w:themeColor="text1"/>
        </w:rPr>
        <w:t>, vol. 388, no. 2, pp. 117–127, 2023.</w:t>
      </w:r>
    </w:p>
    <w:p w14:paraId="5AE446BC"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t>[38]</w:t>
      </w:r>
      <w:r w:rsidRPr="00D048EC">
        <w:rPr>
          <w:rFonts w:ascii="Arial" w:hAnsi="Arial" w:cs="Arial"/>
          <w:color w:val="000000" w:themeColor="text1"/>
        </w:rPr>
        <w:tab/>
        <w:t>National Institute for Health and Care Excellence, “Dapagliflozin for treating chronic kidney disease,” NICE, London, U.K., Technology Appraisal TA1075, 2025. [Online]. Available: https://www.nice.org.uk/guidance/ta1075</w:t>
      </w:r>
    </w:p>
    <w:p w14:paraId="027A89D5"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t>[39]</w:t>
      </w:r>
      <w:r w:rsidRPr="00D048EC">
        <w:rPr>
          <w:rFonts w:ascii="Arial" w:hAnsi="Arial" w:cs="Arial"/>
          <w:color w:val="000000" w:themeColor="text1"/>
        </w:rPr>
        <w:tab/>
        <w:t xml:space="preserve">E. H. Wagner, “Chronic disease management: What will it take to improve care for chronic </w:t>
      </w:r>
      <w:proofErr w:type="gramStart"/>
      <w:r w:rsidRPr="00D048EC">
        <w:rPr>
          <w:rFonts w:ascii="Arial" w:hAnsi="Arial" w:cs="Arial"/>
          <w:color w:val="000000" w:themeColor="text1"/>
        </w:rPr>
        <w:t>illness?,</w:t>
      </w:r>
      <w:proofErr w:type="gramEnd"/>
      <w:r w:rsidRPr="00D048EC">
        <w:rPr>
          <w:rFonts w:ascii="Arial" w:hAnsi="Arial" w:cs="Arial"/>
          <w:color w:val="000000" w:themeColor="text1"/>
        </w:rPr>
        <w:t xml:space="preserve">” </w:t>
      </w:r>
      <w:r w:rsidRPr="00D048EC">
        <w:rPr>
          <w:rFonts w:ascii="Arial" w:hAnsi="Arial" w:cs="Arial"/>
          <w:i/>
          <w:iCs/>
          <w:color w:val="000000" w:themeColor="text1"/>
        </w:rPr>
        <w:t xml:space="preserve">Eff. Clin. </w:t>
      </w:r>
      <w:proofErr w:type="spellStart"/>
      <w:r w:rsidRPr="00D048EC">
        <w:rPr>
          <w:rFonts w:ascii="Arial" w:hAnsi="Arial" w:cs="Arial"/>
          <w:i/>
          <w:iCs/>
          <w:color w:val="000000" w:themeColor="text1"/>
        </w:rPr>
        <w:t>Pract</w:t>
      </w:r>
      <w:proofErr w:type="spellEnd"/>
      <w:r w:rsidRPr="00D048EC">
        <w:rPr>
          <w:rFonts w:ascii="Arial" w:hAnsi="Arial" w:cs="Arial"/>
          <w:i/>
          <w:iCs/>
          <w:color w:val="000000" w:themeColor="text1"/>
        </w:rPr>
        <w:t>.</w:t>
      </w:r>
      <w:r w:rsidRPr="00D048EC">
        <w:rPr>
          <w:rFonts w:ascii="Arial" w:hAnsi="Arial" w:cs="Arial"/>
          <w:color w:val="000000" w:themeColor="text1"/>
        </w:rPr>
        <w:t>, vol. 1, no. 1, pp. 2–4, 1998.</w:t>
      </w:r>
    </w:p>
    <w:p w14:paraId="32065EFC"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t>[40]</w:t>
      </w:r>
      <w:r w:rsidRPr="00D048EC">
        <w:rPr>
          <w:rFonts w:ascii="Arial" w:hAnsi="Arial" w:cs="Arial"/>
          <w:color w:val="000000" w:themeColor="text1"/>
        </w:rPr>
        <w:tab/>
        <w:t xml:space="preserve">T. Bodenheimer, E. H. Wagner, and K. Grumbach, “Improving primary care for patients with chronic illness,” </w:t>
      </w:r>
      <w:r w:rsidRPr="00D048EC">
        <w:rPr>
          <w:rFonts w:ascii="Arial" w:hAnsi="Arial" w:cs="Arial"/>
          <w:i/>
          <w:iCs/>
          <w:color w:val="000000" w:themeColor="text1"/>
        </w:rPr>
        <w:t>JAMA</w:t>
      </w:r>
      <w:r w:rsidRPr="00D048EC">
        <w:rPr>
          <w:rFonts w:ascii="Arial" w:hAnsi="Arial" w:cs="Arial"/>
          <w:color w:val="000000" w:themeColor="text1"/>
        </w:rPr>
        <w:t>, vol. 288, no. 14, pp. 1775–1779, 2002.</w:t>
      </w:r>
    </w:p>
    <w:p w14:paraId="3976C2A4"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lastRenderedPageBreak/>
        <w:t>[41]</w:t>
      </w:r>
      <w:r w:rsidRPr="00D048EC">
        <w:rPr>
          <w:rFonts w:ascii="Arial" w:hAnsi="Arial" w:cs="Arial"/>
          <w:color w:val="000000" w:themeColor="text1"/>
        </w:rPr>
        <w:tab/>
        <w:t xml:space="preserve">D. M. Taylor </w:t>
      </w:r>
      <w:r w:rsidRPr="00D048EC">
        <w:rPr>
          <w:rFonts w:ascii="Arial" w:hAnsi="Arial" w:cs="Arial"/>
          <w:i/>
          <w:iCs/>
          <w:color w:val="000000" w:themeColor="text1"/>
        </w:rPr>
        <w:t>et al.</w:t>
      </w:r>
      <w:r w:rsidRPr="00D048EC">
        <w:rPr>
          <w:rFonts w:ascii="Arial" w:hAnsi="Arial" w:cs="Arial"/>
          <w:color w:val="000000" w:themeColor="text1"/>
        </w:rPr>
        <w:t xml:space="preserve">, “A systematic review of the prevalence and associations of limited health literacy in CKD,” </w:t>
      </w:r>
      <w:r w:rsidRPr="00D048EC">
        <w:rPr>
          <w:rFonts w:ascii="Arial" w:hAnsi="Arial" w:cs="Arial"/>
          <w:i/>
          <w:iCs/>
          <w:color w:val="000000" w:themeColor="text1"/>
        </w:rPr>
        <w:t>Clin. J. Am. Soc. Nephrol.</w:t>
      </w:r>
      <w:r w:rsidRPr="00D048EC">
        <w:rPr>
          <w:rFonts w:ascii="Arial" w:hAnsi="Arial" w:cs="Arial"/>
          <w:color w:val="000000" w:themeColor="text1"/>
        </w:rPr>
        <w:t>, vol. 12, no. 7, pp. 1070–1084, 2017.</w:t>
      </w:r>
    </w:p>
    <w:p w14:paraId="1C15D6EF"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t>[42]</w:t>
      </w:r>
      <w:r w:rsidRPr="00D048EC">
        <w:rPr>
          <w:rFonts w:ascii="Arial" w:hAnsi="Arial" w:cs="Arial"/>
          <w:color w:val="000000" w:themeColor="text1"/>
        </w:rPr>
        <w:tab/>
        <w:t xml:space="preserve">NHS England, </w:t>
      </w:r>
      <w:r w:rsidRPr="00D048EC">
        <w:rPr>
          <w:rFonts w:ascii="Arial" w:hAnsi="Arial" w:cs="Arial"/>
          <w:i/>
          <w:iCs/>
          <w:color w:val="000000" w:themeColor="text1"/>
        </w:rPr>
        <w:t>The NHS Long Term Plan</w:t>
      </w:r>
      <w:r w:rsidRPr="00D048EC">
        <w:rPr>
          <w:rFonts w:ascii="Arial" w:hAnsi="Arial" w:cs="Arial"/>
          <w:color w:val="000000" w:themeColor="text1"/>
        </w:rPr>
        <w:t>. London, U.K.: NHS England, 2019.</w:t>
      </w:r>
    </w:p>
    <w:p w14:paraId="0CE36200"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t>[43]</w:t>
      </w:r>
      <w:r w:rsidRPr="00D048EC">
        <w:rPr>
          <w:rFonts w:ascii="Arial" w:hAnsi="Arial" w:cs="Arial"/>
          <w:color w:val="000000" w:themeColor="text1"/>
        </w:rPr>
        <w:tab/>
        <w:t>Kidney Care UK, “Kidney Care UK.” https://www.kidneycareuk.org (accessed Oct. 20, 2026).</w:t>
      </w:r>
    </w:p>
    <w:p w14:paraId="0A333EF1"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t>[44]</w:t>
      </w:r>
      <w:r w:rsidRPr="00D048EC">
        <w:rPr>
          <w:rFonts w:ascii="Arial" w:hAnsi="Arial" w:cs="Arial"/>
          <w:color w:val="000000" w:themeColor="text1"/>
        </w:rPr>
        <w:tab/>
        <w:t>National Kidney Federation, “National Kidney Federation.” https://www.kidney.org.uk (accessed Oct. 20, 2026).</w:t>
      </w:r>
    </w:p>
    <w:p w14:paraId="6B026C14"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t>[45]</w:t>
      </w:r>
      <w:r w:rsidRPr="00D048EC">
        <w:rPr>
          <w:rFonts w:ascii="Arial" w:hAnsi="Arial" w:cs="Arial"/>
          <w:color w:val="000000" w:themeColor="text1"/>
        </w:rPr>
        <w:tab/>
        <w:t xml:space="preserve">World Health Organization, </w:t>
      </w:r>
      <w:r w:rsidRPr="00D048EC">
        <w:rPr>
          <w:rFonts w:ascii="Arial" w:hAnsi="Arial" w:cs="Arial"/>
          <w:i/>
          <w:iCs/>
          <w:color w:val="000000" w:themeColor="text1"/>
        </w:rPr>
        <w:t>Innovative Care for Chronic Conditions: Building Blocks for Action: Global Report</w:t>
      </w:r>
      <w:r w:rsidRPr="00D048EC">
        <w:rPr>
          <w:rFonts w:ascii="Arial" w:hAnsi="Arial" w:cs="Arial"/>
          <w:color w:val="000000" w:themeColor="text1"/>
        </w:rPr>
        <w:t>. Geneva, Switzerland: WHO, 2002.</w:t>
      </w:r>
    </w:p>
    <w:p w14:paraId="56F934E0"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t>[46]</w:t>
      </w:r>
      <w:r w:rsidRPr="00D048EC">
        <w:rPr>
          <w:rFonts w:ascii="Arial" w:hAnsi="Arial" w:cs="Arial"/>
          <w:color w:val="000000" w:themeColor="text1"/>
        </w:rPr>
        <w:tab/>
        <w:t xml:space="preserve">A. Bandura, “Self-efficacy: Toward a unifying theory of </w:t>
      </w:r>
      <w:proofErr w:type="spellStart"/>
      <w:r w:rsidRPr="00D048EC">
        <w:rPr>
          <w:rFonts w:ascii="Arial" w:hAnsi="Arial" w:cs="Arial"/>
          <w:color w:val="000000" w:themeColor="text1"/>
        </w:rPr>
        <w:t>behavioral</w:t>
      </w:r>
      <w:proofErr w:type="spellEnd"/>
      <w:r w:rsidRPr="00D048EC">
        <w:rPr>
          <w:rFonts w:ascii="Arial" w:hAnsi="Arial" w:cs="Arial"/>
          <w:color w:val="000000" w:themeColor="text1"/>
        </w:rPr>
        <w:t xml:space="preserve"> change,” </w:t>
      </w:r>
      <w:r w:rsidRPr="00D048EC">
        <w:rPr>
          <w:rFonts w:ascii="Arial" w:hAnsi="Arial" w:cs="Arial"/>
          <w:i/>
          <w:iCs/>
          <w:color w:val="000000" w:themeColor="text1"/>
        </w:rPr>
        <w:t>Psychol. Rev.</w:t>
      </w:r>
      <w:r w:rsidRPr="00D048EC">
        <w:rPr>
          <w:rFonts w:ascii="Arial" w:hAnsi="Arial" w:cs="Arial"/>
          <w:color w:val="000000" w:themeColor="text1"/>
        </w:rPr>
        <w:t>, vol. 84, no. 2, pp. 191–215, 1977.</w:t>
      </w:r>
    </w:p>
    <w:p w14:paraId="316E47B9"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t>[47]</w:t>
      </w:r>
      <w:r w:rsidRPr="00D048EC">
        <w:rPr>
          <w:rFonts w:ascii="Arial" w:hAnsi="Arial" w:cs="Arial"/>
          <w:color w:val="000000" w:themeColor="text1"/>
        </w:rPr>
        <w:tab/>
        <w:t xml:space="preserve">S. Michie, M. M. van Stralen, and R. West, “The behaviour change wheel: A new method for characterising and designing behaviour change interventions,” </w:t>
      </w:r>
      <w:r w:rsidRPr="00D048EC">
        <w:rPr>
          <w:rFonts w:ascii="Arial" w:hAnsi="Arial" w:cs="Arial"/>
          <w:i/>
          <w:iCs/>
          <w:color w:val="000000" w:themeColor="text1"/>
        </w:rPr>
        <w:t>Implement. Sci.</w:t>
      </w:r>
      <w:r w:rsidRPr="00D048EC">
        <w:rPr>
          <w:rFonts w:ascii="Arial" w:hAnsi="Arial" w:cs="Arial"/>
          <w:color w:val="000000" w:themeColor="text1"/>
        </w:rPr>
        <w:t>, vol. 6, Art. no. 42, 2011.</w:t>
      </w:r>
    </w:p>
    <w:p w14:paraId="6EC24F95" w14:textId="77777777" w:rsidR="00B35613" w:rsidRPr="00D048EC" w:rsidRDefault="00000000">
      <w:pPr>
        <w:tabs>
          <w:tab w:val="left" w:pos="680"/>
        </w:tabs>
        <w:spacing w:after="100" w:line="360" w:lineRule="auto"/>
        <w:ind w:left="680" w:hanging="680"/>
        <w:rPr>
          <w:rFonts w:ascii="Arial" w:hAnsi="Arial" w:cs="Arial"/>
          <w:color w:val="000000" w:themeColor="text1"/>
        </w:rPr>
      </w:pPr>
      <w:r w:rsidRPr="00D048EC">
        <w:rPr>
          <w:rFonts w:ascii="Arial" w:hAnsi="Arial" w:cs="Arial"/>
          <w:color w:val="000000" w:themeColor="text1"/>
        </w:rPr>
        <w:t>[48]</w:t>
      </w:r>
      <w:r w:rsidRPr="00D048EC">
        <w:rPr>
          <w:rFonts w:ascii="Arial" w:hAnsi="Arial" w:cs="Arial"/>
          <w:color w:val="000000" w:themeColor="text1"/>
        </w:rPr>
        <w:tab/>
        <w:t>National Institute for Health and Care Excellence, “Renal replacement therapy and conservative management,” NICE, London, U.K., NICE Guideline NG107, 2018. [Online]. Available: https://www.nice.org.uk/guidance/ng107</w:t>
      </w:r>
    </w:p>
    <w:sectPr w:rsidR="00B35613" w:rsidRPr="00D048EC">
      <w:headerReference w:type="default" r:id="rId11"/>
      <w:footerReference w:type="default" r:id="rId12"/>
      <w:pgSz w:w="11906" w:h="16838"/>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09FD24" w14:textId="77777777" w:rsidR="007F0031" w:rsidRDefault="007F0031">
      <w:r>
        <w:separator/>
      </w:r>
    </w:p>
  </w:endnote>
  <w:endnote w:type="continuationSeparator" w:id="0">
    <w:p w14:paraId="70245C64" w14:textId="77777777" w:rsidR="007F0031" w:rsidRDefault="007F00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36FD9" w14:textId="77777777" w:rsidR="00B35613" w:rsidRDefault="00000000">
    <w:pPr>
      <w:jc w:val="center"/>
    </w:pPr>
    <w:r>
      <w:rPr>
        <w:sz w:val="18"/>
        <w:szCs w:val="18"/>
      </w:rPr>
      <w:t xml:space="preserve">Page </w:t>
    </w:r>
    <w:r>
      <w:rPr>
        <w:sz w:val="18"/>
        <w:szCs w:val="18"/>
      </w:rPr>
      <w:fldChar w:fldCharType="begin"/>
    </w:r>
    <w:r>
      <w:rPr>
        <w:sz w:val="18"/>
        <w:szCs w:val="18"/>
      </w:rPr>
      <w:instrText>PAGE</w:instrText>
    </w:r>
    <w:r>
      <w:rPr>
        <w:sz w:val="18"/>
        <w:szCs w:val="18"/>
      </w:rPr>
      <w:fldChar w:fldCharType="separate"/>
    </w:r>
    <w:r w:rsidR="00D048EC">
      <w:rPr>
        <w:noProof/>
        <w:sz w:val="18"/>
        <w:szCs w:val="18"/>
      </w:rPr>
      <w:t>2</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8A05B" w14:textId="77777777" w:rsidR="007F0031" w:rsidRDefault="007F0031">
      <w:r>
        <w:separator/>
      </w:r>
    </w:p>
  </w:footnote>
  <w:footnote w:type="continuationSeparator" w:id="0">
    <w:p w14:paraId="379AFEA1" w14:textId="77777777" w:rsidR="007F0031" w:rsidRDefault="007F00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3862C" w14:textId="77777777" w:rsidR="00B35613" w:rsidRPr="00D048EC" w:rsidRDefault="00000000">
    <w:pPr>
      <w:pBdr>
        <w:bottom w:val="single" w:sz="6" w:space="4" w:color="1F5F6B"/>
      </w:pBdr>
      <w:jc w:val="right"/>
      <w:rPr>
        <w:color w:val="000000" w:themeColor="text1"/>
      </w:rPr>
    </w:pPr>
    <w:r w:rsidRPr="00D048EC">
      <w:rPr>
        <w:color w:val="000000" w:themeColor="text1"/>
        <w:sz w:val="18"/>
        <w:szCs w:val="18"/>
      </w:rPr>
      <w:t>Understanding Chronic Kidney Disease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EA1E65"/>
    <w:multiLevelType w:val="hybridMultilevel"/>
    <w:tmpl w:val="66DA38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AF767D4"/>
    <w:multiLevelType w:val="hybridMultilevel"/>
    <w:tmpl w:val="E078EEDE"/>
    <w:lvl w:ilvl="0" w:tplc="5434CA78">
      <w:start w:val="1"/>
      <w:numFmt w:val="bullet"/>
      <w:lvlText w:val="●"/>
      <w:lvlJc w:val="left"/>
      <w:pPr>
        <w:ind w:left="720" w:hanging="360"/>
      </w:pPr>
    </w:lvl>
    <w:lvl w:ilvl="1" w:tplc="FD8A5010">
      <w:start w:val="1"/>
      <w:numFmt w:val="bullet"/>
      <w:lvlText w:val="○"/>
      <w:lvlJc w:val="left"/>
      <w:pPr>
        <w:ind w:left="1440" w:hanging="360"/>
      </w:pPr>
    </w:lvl>
    <w:lvl w:ilvl="2" w:tplc="0C987998">
      <w:start w:val="1"/>
      <w:numFmt w:val="bullet"/>
      <w:lvlText w:val="■"/>
      <w:lvlJc w:val="left"/>
      <w:pPr>
        <w:ind w:left="2160" w:hanging="360"/>
      </w:pPr>
    </w:lvl>
    <w:lvl w:ilvl="3" w:tplc="279E578C">
      <w:start w:val="1"/>
      <w:numFmt w:val="bullet"/>
      <w:lvlText w:val="●"/>
      <w:lvlJc w:val="left"/>
      <w:pPr>
        <w:ind w:left="2880" w:hanging="360"/>
      </w:pPr>
    </w:lvl>
    <w:lvl w:ilvl="4" w:tplc="171CD5C4">
      <w:start w:val="1"/>
      <w:numFmt w:val="bullet"/>
      <w:lvlText w:val="○"/>
      <w:lvlJc w:val="left"/>
      <w:pPr>
        <w:ind w:left="3600" w:hanging="360"/>
      </w:pPr>
    </w:lvl>
    <w:lvl w:ilvl="5" w:tplc="5DB443BE">
      <w:start w:val="1"/>
      <w:numFmt w:val="bullet"/>
      <w:lvlText w:val="■"/>
      <w:lvlJc w:val="left"/>
      <w:pPr>
        <w:ind w:left="4320" w:hanging="360"/>
      </w:pPr>
    </w:lvl>
    <w:lvl w:ilvl="6" w:tplc="35DEE240">
      <w:start w:val="1"/>
      <w:numFmt w:val="bullet"/>
      <w:lvlText w:val="●"/>
      <w:lvlJc w:val="left"/>
      <w:pPr>
        <w:ind w:left="5040" w:hanging="360"/>
      </w:pPr>
    </w:lvl>
    <w:lvl w:ilvl="7" w:tplc="5F5CB8DA">
      <w:start w:val="1"/>
      <w:numFmt w:val="bullet"/>
      <w:lvlText w:val="●"/>
      <w:lvlJc w:val="left"/>
      <w:pPr>
        <w:ind w:left="5760" w:hanging="360"/>
      </w:pPr>
    </w:lvl>
    <w:lvl w:ilvl="8" w:tplc="2C8A02AE">
      <w:start w:val="1"/>
      <w:numFmt w:val="bullet"/>
      <w:lvlText w:val="●"/>
      <w:lvlJc w:val="left"/>
      <w:pPr>
        <w:ind w:left="6480" w:hanging="360"/>
      </w:pPr>
    </w:lvl>
  </w:abstractNum>
  <w:abstractNum w:abstractNumId="2" w15:restartNumberingAfterBreak="0">
    <w:nsid w:val="50AC0D7D"/>
    <w:multiLevelType w:val="hybridMultilevel"/>
    <w:tmpl w:val="4D00623A"/>
    <w:lvl w:ilvl="0" w:tplc="B45EED72">
      <w:start w:val="1"/>
      <w:numFmt w:val="bullet"/>
      <w:lvlText w:val="•"/>
      <w:lvlJc w:val="left"/>
      <w:pPr>
        <w:ind w:left="540" w:hanging="300"/>
      </w:pPr>
      <w:rPr>
        <w:color w:val="1F5F6B"/>
      </w:rPr>
    </w:lvl>
    <w:lvl w:ilvl="1" w:tplc="E42856E4">
      <w:numFmt w:val="decimal"/>
      <w:lvlText w:val=""/>
      <w:lvlJc w:val="left"/>
    </w:lvl>
    <w:lvl w:ilvl="2" w:tplc="F8686E5E">
      <w:numFmt w:val="decimal"/>
      <w:lvlText w:val=""/>
      <w:lvlJc w:val="left"/>
    </w:lvl>
    <w:lvl w:ilvl="3" w:tplc="75E43512">
      <w:numFmt w:val="decimal"/>
      <w:lvlText w:val=""/>
      <w:lvlJc w:val="left"/>
    </w:lvl>
    <w:lvl w:ilvl="4" w:tplc="495CCFDC">
      <w:numFmt w:val="decimal"/>
      <w:lvlText w:val=""/>
      <w:lvlJc w:val="left"/>
    </w:lvl>
    <w:lvl w:ilvl="5" w:tplc="DDD82328">
      <w:numFmt w:val="decimal"/>
      <w:lvlText w:val=""/>
      <w:lvlJc w:val="left"/>
    </w:lvl>
    <w:lvl w:ilvl="6" w:tplc="2A9029C2">
      <w:numFmt w:val="decimal"/>
      <w:lvlText w:val=""/>
      <w:lvlJc w:val="left"/>
    </w:lvl>
    <w:lvl w:ilvl="7" w:tplc="589256A8">
      <w:numFmt w:val="decimal"/>
      <w:lvlText w:val=""/>
      <w:lvlJc w:val="left"/>
    </w:lvl>
    <w:lvl w:ilvl="8" w:tplc="F5A6A372">
      <w:numFmt w:val="decimal"/>
      <w:lvlText w:val=""/>
      <w:lvlJc w:val="left"/>
    </w:lvl>
  </w:abstractNum>
  <w:abstractNum w:abstractNumId="3" w15:restartNumberingAfterBreak="0">
    <w:nsid w:val="6F795746"/>
    <w:multiLevelType w:val="hybridMultilevel"/>
    <w:tmpl w:val="CF241CB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FE57753"/>
    <w:multiLevelType w:val="hybridMultilevel"/>
    <w:tmpl w:val="F17CC9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6D06A0B"/>
    <w:multiLevelType w:val="hybridMultilevel"/>
    <w:tmpl w:val="D7CEA792"/>
    <w:lvl w:ilvl="0" w:tplc="40090001">
      <w:start w:val="1"/>
      <w:numFmt w:val="bullet"/>
      <w:lvlText w:val=""/>
      <w:lvlJc w:val="left"/>
      <w:pPr>
        <w:ind w:left="960" w:hanging="360"/>
      </w:pPr>
      <w:rPr>
        <w:rFonts w:ascii="Symbol" w:hAnsi="Symbol" w:hint="default"/>
      </w:rPr>
    </w:lvl>
    <w:lvl w:ilvl="1" w:tplc="40090003" w:tentative="1">
      <w:start w:val="1"/>
      <w:numFmt w:val="bullet"/>
      <w:lvlText w:val="o"/>
      <w:lvlJc w:val="left"/>
      <w:pPr>
        <w:ind w:left="1680" w:hanging="360"/>
      </w:pPr>
      <w:rPr>
        <w:rFonts w:ascii="Courier New" w:hAnsi="Courier New" w:cs="Courier New" w:hint="default"/>
      </w:rPr>
    </w:lvl>
    <w:lvl w:ilvl="2" w:tplc="40090005" w:tentative="1">
      <w:start w:val="1"/>
      <w:numFmt w:val="bullet"/>
      <w:lvlText w:val=""/>
      <w:lvlJc w:val="left"/>
      <w:pPr>
        <w:ind w:left="2400" w:hanging="360"/>
      </w:pPr>
      <w:rPr>
        <w:rFonts w:ascii="Wingdings" w:hAnsi="Wingdings" w:hint="default"/>
      </w:rPr>
    </w:lvl>
    <w:lvl w:ilvl="3" w:tplc="40090001" w:tentative="1">
      <w:start w:val="1"/>
      <w:numFmt w:val="bullet"/>
      <w:lvlText w:val=""/>
      <w:lvlJc w:val="left"/>
      <w:pPr>
        <w:ind w:left="3120" w:hanging="360"/>
      </w:pPr>
      <w:rPr>
        <w:rFonts w:ascii="Symbol" w:hAnsi="Symbol" w:hint="default"/>
      </w:rPr>
    </w:lvl>
    <w:lvl w:ilvl="4" w:tplc="40090003" w:tentative="1">
      <w:start w:val="1"/>
      <w:numFmt w:val="bullet"/>
      <w:lvlText w:val="o"/>
      <w:lvlJc w:val="left"/>
      <w:pPr>
        <w:ind w:left="3840" w:hanging="360"/>
      </w:pPr>
      <w:rPr>
        <w:rFonts w:ascii="Courier New" w:hAnsi="Courier New" w:cs="Courier New" w:hint="default"/>
      </w:rPr>
    </w:lvl>
    <w:lvl w:ilvl="5" w:tplc="40090005" w:tentative="1">
      <w:start w:val="1"/>
      <w:numFmt w:val="bullet"/>
      <w:lvlText w:val=""/>
      <w:lvlJc w:val="left"/>
      <w:pPr>
        <w:ind w:left="4560" w:hanging="360"/>
      </w:pPr>
      <w:rPr>
        <w:rFonts w:ascii="Wingdings" w:hAnsi="Wingdings" w:hint="default"/>
      </w:rPr>
    </w:lvl>
    <w:lvl w:ilvl="6" w:tplc="40090001" w:tentative="1">
      <w:start w:val="1"/>
      <w:numFmt w:val="bullet"/>
      <w:lvlText w:val=""/>
      <w:lvlJc w:val="left"/>
      <w:pPr>
        <w:ind w:left="5280" w:hanging="360"/>
      </w:pPr>
      <w:rPr>
        <w:rFonts w:ascii="Symbol" w:hAnsi="Symbol" w:hint="default"/>
      </w:rPr>
    </w:lvl>
    <w:lvl w:ilvl="7" w:tplc="40090003" w:tentative="1">
      <w:start w:val="1"/>
      <w:numFmt w:val="bullet"/>
      <w:lvlText w:val="o"/>
      <w:lvlJc w:val="left"/>
      <w:pPr>
        <w:ind w:left="6000" w:hanging="360"/>
      </w:pPr>
      <w:rPr>
        <w:rFonts w:ascii="Courier New" w:hAnsi="Courier New" w:cs="Courier New" w:hint="default"/>
      </w:rPr>
    </w:lvl>
    <w:lvl w:ilvl="8" w:tplc="40090005" w:tentative="1">
      <w:start w:val="1"/>
      <w:numFmt w:val="bullet"/>
      <w:lvlText w:val=""/>
      <w:lvlJc w:val="left"/>
      <w:pPr>
        <w:ind w:left="6720" w:hanging="360"/>
      </w:pPr>
      <w:rPr>
        <w:rFonts w:ascii="Wingdings" w:hAnsi="Wingdings" w:hint="default"/>
      </w:rPr>
    </w:lvl>
  </w:abstractNum>
  <w:num w:numId="1" w16cid:durableId="393236266">
    <w:abstractNumId w:val="1"/>
    <w:lvlOverride w:ilvl="0">
      <w:startOverride w:val="1"/>
    </w:lvlOverride>
  </w:num>
  <w:num w:numId="2" w16cid:durableId="2038657586">
    <w:abstractNumId w:val="2"/>
    <w:lvlOverride w:ilvl="0">
      <w:startOverride w:val="1"/>
    </w:lvlOverride>
  </w:num>
  <w:num w:numId="3" w16cid:durableId="1110901280">
    <w:abstractNumId w:val="0"/>
  </w:num>
  <w:num w:numId="4" w16cid:durableId="26420582">
    <w:abstractNumId w:val="3"/>
  </w:num>
  <w:num w:numId="5" w16cid:durableId="899900158">
    <w:abstractNumId w:val="4"/>
  </w:num>
  <w:num w:numId="6" w16cid:durableId="10802970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5613"/>
    <w:rsid w:val="00366614"/>
    <w:rsid w:val="007A0968"/>
    <w:rsid w:val="007F0031"/>
    <w:rsid w:val="00A12B5C"/>
    <w:rsid w:val="00B35613"/>
    <w:rsid w:val="00D048E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F64F1"/>
  <w15:docId w15:val="{8CD5E21B-91A8-4ADE-BB29-840A3202C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00" w:after="120"/>
      <w:outlineLvl w:val="0"/>
    </w:pPr>
    <w:rPr>
      <w:b/>
      <w:bCs/>
      <w:color w:val="1F5F6B"/>
      <w:sz w:val="30"/>
      <w:szCs w:val="30"/>
    </w:rPr>
  </w:style>
  <w:style w:type="paragraph" w:styleId="Heading2">
    <w:name w:val="heading 2"/>
    <w:uiPriority w:val="9"/>
    <w:unhideWhenUsed/>
    <w:qFormat/>
    <w:pPr>
      <w:spacing w:before="180" w:after="80"/>
      <w:outlineLvl w:val="1"/>
    </w:pPr>
    <w:rPr>
      <w:b/>
      <w:bCs/>
      <w:color w:val="1F5F6B"/>
      <w:sz w:val="25"/>
      <w:szCs w:val="25"/>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D048EC"/>
    <w:pPr>
      <w:tabs>
        <w:tab w:val="center" w:pos="4513"/>
        <w:tab w:val="right" w:pos="9026"/>
      </w:tabs>
    </w:pPr>
  </w:style>
  <w:style w:type="character" w:customStyle="1" w:styleId="HeaderChar">
    <w:name w:val="Header Char"/>
    <w:basedOn w:val="DefaultParagraphFont"/>
    <w:link w:val="Header"/>
    <w:uiPriority w:val="99"/>
    <w:rsid w:val="00D048EC"/>
  </w:style>
  <w:style w:type="paragraph" w:styleId="Footer">
    <w:name w:val="footer"/>
    <w:basedOn w:val="Normal"/>
    <w:link w:val="FooterChar"/>
    <w:uiPriority w:val="99"/>
    <w:unhideWhenUsed/>
    <w:rsid w:val="00D048EC"/>
    <w:pPr>
      <w:tabs>
        <w:tab w:val="center" w:pos="4513"/>
        <w:tab w:val="right" w:pos="9026"/>
      </w:tabs>
    </w:pPr>
  </w:style>
  <w:style w:type="character" w:customStyle="1" w:styleId="FooterChar">
    <w:name w:val="Footer Char"/>
    <w:basedOn w:val="DefaultParagraphFont"/>
    <w:link w:val="Footer"/>
    <w:uiPriority w:val="99"/>
    <w:rsid w:val="00D048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4682</Words>
  <Characters>26690</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Understanding Chronic Kidney Disease: An Information Booklet</vt:lpstr>
    </vt:vector>
  </TitlesOfParts>
  <Company/>
  <LinksUpToDate>false</LinksUpToDate>
  <CharactersWithSpaces>31310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Chronic Kidney Disease: An Information Booklet</dc:title>
  <dc:creator>Abrar Saiyad</dc:creator>
  <cp:lastModifiedBy>Abrar Saiyad</cp:lastModifiedBy>
  <cp:revision>2</cp:revision>
  <dcterms:created xsi:type="dcterms:W3CDTF">2026-10-22T23:23:00Z</dcterms:created>
  <dcterms:modified xsi:type="dcterms:W3CDTF">2026-10-22T23:23:00Z</dcterms:modified>
</cp:coreProperties>
</file>