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3F4101" w14:textId="77777777" w:rsidR="007335A8" w:rsidRDefault="00120F45" w:rsidP="005635B3">
      <w:pPr>
        <w:spacing w:after="0" w:line="240" w:lineRule="auto"/>
        <w:jc w:val="center"/>
        <w:rPr>
          <w:rFonts w:ascii="Times New Roman" w:hAnsi="Times New Roman" w:cs="Times New Roman"/>
          <w:b/>
          <w:bCs/>
          <w:color w:val="000000"/>
          <w:kern w:val="0"/>
          <w:sz w:val="36"/>
          <w:szCs w:val="36"/>
          <w14:ligatures w14:val="none"/>
        </w:rPr>
      </w:pPr>
      <w:r>
        <w:rPr>
          <w:noProof/>
          <w:color w:val="000000" w:themeColor="text1"/>
          <w:sz w:val="28"/>
          <w:szCs w:val="28"/>
          <w:lang w:val="en-IN"/>
        </w:rPr>
        <w:t xml:space="preserve">                            </w:t>
      </w:r>
      <w:r w:rsidR="007335A8" w:rsidRPr="002C0C4B">
        <w:rPr>
          <w:noProof/>
          <w:color w:val="000000" w:themeColor="text1"/>
          <w:sz w:val="28"/>
          <w:szCs w:val="28"/>
        </w:rPr>
        <w:drawing>
          <wp:inline distT="114300" distB="114300" distL="114300" distR="114300" wp14:anchorId="24F7AFA6" wp14:editId="2AAB05E6">
            <wp:extent cx="3028950" cy="824753"/>
            <wp:effectExtent l="0" t="0" r="0" b="1270"/>
            <wp:docPr id="2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3028950" cy="824753"/>
                    </a:xfrm>
                    <a:prstGeom prst="rect">
                      <a:avLst/>
                    </a:prstGeom>
                    <a:ln/>
                  </pic:spPr>
                </pic:pic>
              </a:graphicData>
            </a:graphic>
          </wp:inline>
        </w:drawing>
      </w:r>
    </w:p>
    <w:p w14:paraId="7EADAC42" w14:textId="77777777" w:rsidR="007335A8" w:rsidRDefault="007335A8" w:rsidP="005635B3">
      <w:pPr>
        <w:spacing w:after="0" w:line="240" w:lineRule="auto"/>
        <w:jc w:val="center"/>
        <w:rPr>
          <w:rFonts w:ascii="Times New Roman" w:hAnsi="Times New Roman" w:cs="Times New Roman"/>
          <w:b/>
          <w:bCs/>
          <w:color w:val="000000"/>
          <w:kern w:val="0"/>
          <w:sz w:val="36"/>
          <w:szCs w:val="36"/>
          <w14:ligatures w14:val="none"/>
        </w:rPr>
      </w:pPr>
    </w:p>
    <w:p w14:paraId="42A395CA" w14:textId="77777777" w:rsidR="008962DF" w:rsidRPr="00884023" w:rsidRDefault="008962DF" w:rsidP="00087C21">
      <w:pPr>
        <w:spacing w:before="240" w:after="240" w:line="480" w:lineRule="auto"/>
        <w:jc w:val="center"/>
        <w:rPr>
          <w:rFonts w:ascii="Arial" w:eastAsia="Arial" w:hAnsi="Arial" w:cs="Arial"/>
          <w:color w:val="000000" w:themeColor="text1"/>
          <w:kern w:val="0"/>
          <w:sz w:val="36"/>
          <w:szCs w:val="36"/>
          <w:lang w:eastAsia="en-US"/>
          <w14:ligatures w14:val="none"/>
        </w:rPr>
      </w:pPr>
      <w:r w:rsidRPr="00884023">
        <w:rPr>
          <w:rFonts w:ascii="Arial" w:eastAsia="Arial" w:hAnsi="Arial" w:cs="Arial"/>
          <w:b/>
          <w:color w:val="000000" w:themeColor="text1"/>
          <w:kern w:val="0"/>
          <w:sz w:val="36"/>
          <w:szCs w:val="36"/>
          <w:lang w:eastAsia="en-US"/>
          <w14:ligatures w14:val="none"/>
        </w:rPr>
        <w:t>LEVEL 7 ASSESSMENT REPORT</w:t>
      </w:r>
    </w:p>
    <w:p w14:paraId="621E13F9" w14:textId="77777777" w:rsidR="002E59D2" w:rsidRPr="00884023" w:rsidRDefault="002E59D2" w:rsidP="00087C21">
      <w:pPr>
        <w:keepNext/>
        <w:keepLines/>
        <w:spacing w:after="60" w:line="276" w:lineRule="auto"/>
        <w:jc w:val="center"/>
        <w:rPr>
          <w:rFonts w:ascii="Times New Roman" w:eastAsia="Times New Roman" w:hAnsi="Times New Roman" w:cs="Times New Roman"/>
          <w:b/>
          <w:bCs/>
          <w:color w:val="000000" w:themeColor="text1"/>
          <w:kern w:val="0"/>
          <w:sz w:val="36"/>
          <w:szCs w:val="36"/>
          <w:lang w:eastAsia="en-IN"/>
          <w14:ligatures w14:val="none"/>
        </w:rPr>
      </w:pPr>
      <w:r w:rsidRPr="00884023">
        <w:rPr>
          <w:rFonts w:ascii="Times New Roman" w:eastAsia="Times New Roman" w:hAnsi="Times New Roman" w:cs="Times New Roman"/>
          <w:b/>
          <w:bCs/>
          <w:color w:val="000000" w:themeColor="text1"/>
          <w:kern w:val="0"/>
          <w:sz w:val="36"/>
          <w:szCs w:val="36"/>
          <w:lang w:eastAsia="en-IN"/>
          <w14:ligatures w14:val="none"/>
        </w:rPr>
        <w:t>Master of Business Administration</w:t>
      </w:r>
    </w:p>
    <w:p w14:paraId="3E8705FE" w14:textId="77777777" w:rsidR="00192237" w:rsidRPr="00884023" w:rsidRDefault="00192237" w:rsidP="00087C21">
      <w:pPr>
        <w:keepNext/>
        <w:keepLines/>
        <w:spacing w:after="60" w:line="276" w:lineRule="auto"/>
        <w:jc w:val="center"/>
        <w:rPr>
          <w:rFonts w:ascii="Times New Roman" w:eastAsia="Times New Roman" w:hAnsi="Times New Roman" w:cs="Times New Roman"/>
          <w:b/>
          <w:bCs/>
          <w:color w:val="000000" w:themeColor="text1"/>
          <w:kern w:val="0"/>
          <w:sz w:val="36"/>
          <w:szCs w:val="36"/>
          <w:lang w:eastAsia="en-IN"/>
          <w14:ligatures w14:val="none"/>
        </w:rPr>
      </w:pPr>
    </w:p>
    <w:p w14:paraId="36F11D5C" w14:textId="742280C2" w:rsidR="002E59D2" w:rsidRPr="00884023" w:rsidRDefault="009B3F0F" w:rsidP="00087C21">
      <w:pPr>
        <w:keepNext/>
        <w:keepLines/>
        <w:spacing w:after="60" w:line="276" w:lineRule="auto"/>
        <w:jc w:val="center"/>
        <w:rPr>
          <w:rFonts w:ascii="Times New Roman" w:eastAsia="Times New Roman" w:hAnsi="Times New Roman" w:cs="Times New Roman"/>
          <w:b/>
          <w:bCs/>
          <w:color w:val="000000" w:themeColor="text1"/>
          <w:kern w:val="0"/>
          <w:sz w:val="36"/>
          <w:szCs w:val="36"/>
          <w:lang w:eastAsia="en-IN"/>
          <w14:ligatures w14:val="none"/>
        </w:rPr>
      </w:pPr>
      <w:r w:rsidRPr="00884023">
        <w:rPr>
          <w:rFonts w:ascii="Times New Roman" w:eastAsia="Times New Roman" w:hAnsi="Times New Roman" w:cs="Times New Roman"/>
          <w:b/>
          <w:bCs/>
          <w:color w:val="000000" w:themeColor="text1"/>
          <w:kern w:val="0"/>
          <w:sz w:val="36"/>
          <w:szCs w:val="36"/>
          <w:lang w:eastAsia="en-IN"/>
          <w14:ligatures w14:val="none"/>
        </w:rPr>
        <w:t xml:space="preserve">International Marketing: Principal And </w:t>
      </w:r>
      <w:r w:rsidR="00C429C2" w:rsidRPr="00884023">
        <w:rPr>
          <w:rFonts w:ascii="Times New Roman" w:eastAsia="Times New Roman" w:hAnsi="Times New Roman" w:cs="Times New Roman"/>
          <w:b/>
          <w:bCs/>
          <w:color w:val="000000" w:themeColor="text1"/>
          <w:kern w:val="0"/>
          <w:sz w:val="36"/>
          <w:szCs w:val="36"/>
          <w:lang w:eastAsia="en-IN"/>
          <w14:ligatures w14:val="none"/>
        </w:rPr>
        <w:t>Practices</w:t>
      </w:r>
      <w:r w:rsidR="000150E9">
        <w:rPr>
          <w:rFonts w:ascii="Times New Roman" w:eastAsia="Times New Roman" w:hAnsi="Times New Roman" w:cs="Times New Roman"/>
          <w:b/>
          <w:bCs/>
          <w:color w:val="000000" w:themeColor="text1"/>
          <w:kern w:val="0"/>
          <w:sz w:val="36"/>
          <w:szCs w:val="36"/>
          <w:lang w:eastAsia="en-IN"/>
          <w14:ligatures w14:val="none"/>
        </w:rPr>
        <w:t xml:space="preserve"> -</w:t>
      </w:r>
      <w:r w:rsidR="00C429C2" w:rsidRPr="00884023">
        <w:rPr>
          <w:rFonts w:ascii="Times New Roman" w:eastAsia="Times New Roman" w:hAnsi="Times New Roman" w:cs="Times New Roman"/>
          <w:b/>
          <w:bCs/>
          <w:color w:val="000000" w:themeColor="text1"/>
          <w:kern w:val="0"/>
          <w:sz w:val="36"/>
          <w:szCs w:val="36"/>
          <w:lang w:eastAsia="en-IN"/>
          <w14:ligatures w14:val="none"/>
        </w:rPr>
        <w:t xml:space="preserve"> </w:t>
      </w:r>
      <w:r w:rsidR="0063050B" w:rsidRPr="00884023">
        <w:rPr>
          <w:rFonts w:ascii="Times New Roman" w:eastAsia="Times New Roman" w:hAnsi="Times New Roman" w:cs="Times New Roman"/>
          <w:b/>
          <w:bCs/>
          <w:color w:val="000000" w:themeColor="text1"/>
          <w:kern w:val="0"/>
          <w:sz w:val="36"/>
          <w:szCs w:val="36"/>
          <w:lang w:eastAsia="en-IN"/>
          <w14:ligatures w14:val="none"/>
        </w:rPr>
        <w:t>LCMB7026</w:t>
      </w:r>
    </w:p>
    <w:p w14:paraId="0B370DC6" w14:textId="77777777" w:rsidR="00192237" w:rsidRPr="00884023" w:rsidRDefault="00192237" w:rsidP="00087C21">
      <w:pPr>
        <w:keepNext/>
        <w:keepLines/>
        <w:spacing w:after="60" w:line="276" w:lineRule="auto"/>
        <w:jc w:val="center"/>
        <w:rPr>
          <w:rFonts w:ascii="Times New Roman" w:eastAsia="Times New Roman" w:hAnsi="Times New Roman" w:cs="Times New Roman"/>
          <w:b/>
          <w:bCs/>
          <w:color w:val="000000" w:themeColor="text1"/>
          <w:kern w:val="0"/>
          <w:sz w:val="36"/>
          <w:szCs w:val="36"/>
          <w:lang w:eastAsia="en-IN"/>
          <w14:ligatures w14:val="none"/>
        </w:rPr>
      </w:pPr>
    </w:p>
    <w:p w14:paraId="5B002D75" w14:textId="09AB6DCC" w:rsidR="002E59D2" w:rsidRPr="00884023" w:rsidRDefault="002E59D2" w:rsidP="00087C21">
      <w:pPr>
        <w:keepNext/>
        <w:keepLines/>
        <w:spacing w:after="60" w:line="276" w:lineRule="auto"/>
        <w:jc w:val="center"/>
        <w:rPr>
          <w:rFonts w:ascii="Times New Roman" w:eastAsia="Times New Roman" w:hAnsi="Times New Roman" w:cs="Times New Roman"/>
          <w:b/>
          <w:bCs/>
          <w:color w:val="000000" w:themeColor="text1"/>
          <w:kern w:val="0"/>
          <w:sz w:val="36"/>
          <w:szCs w:val="36"/>
          <w:lang w:eastAsia="en-IN"/>
          <w14:ligatures w14:val="none"/>
        </w:rPr>
      </w:pPr>
      <w:r w:rsidRPr="00884023">
        <w:rPr>
          <w:rFonts w:ascii="Times New Roman" w:eastAsia="Times New Roman" w:hAnsi="Times New Roman" w:cs="Times New Roman"/>
          <w:b/>
          <w:bCs/>
          <w:color w:val="000000" w:themeColor="text1"/>
          <w:kern w:val="0"/>
          <w:sz w:val="36"/>
          <w:szCs w:val="36"/>
          <w:lang w:eastAsia="en-IN"/>
          <w14:ligatures w14:val="none"/>
        </w:rPr>
        <w:t>Student Name-</w:t>
      </w:r>
      <w:r w:rsidR="009000B0" w:rsidRPr="00884023">
        <w:rPr>
          <w:rFonts w:ascii="Times New Roman" w:eastAsia="Times New Roman" w:hAnsi="Times New Roman" w:cs="Times New Roman"/>
          <w:b/>
          <w:bCs/>
          <w:color w:val="000000" w:themeColor="text1"/>
          <w:kern w:val="0"/>
          <w:sz w:val="36"/>
          <w:szCs w:val="36"/>
          <w:lang w:eastAsia="en-IN"/>
          <w14:ligatures w14:val="none"/>
        </w:rPr>
        <w:t xml:space="preserve"> </w:t>
      </w:r>
      <w:proofErr w:type="spellStart"/>
      <w:r w:rsidR="005C046B">
        <w:rPr>
          <w:rFonts w:ascii="Times New Roman" w:eastAsia="Times New Roman" w:hAnsi="Times New Roman" w:cs="Times New Roman"/>
          <w:b/>
          <w:bCs/>
          <w:color w:val="000000" w:themeColor="text1"/>
          <w:kern w:val="0"/>
          <w:sz w:val="36"/>
          <w:szCs w:val="36"/>
          <w:lang w:eastAsia="en-IN"/>
          <w14:ligatures w14:val="none"/>
        </w:rPr>
        <w:t>HARSHKUMAR</w:t>
      </w:r>
      <w:proofErr w:type="spellEnd"/>
      <w:r w:rsidR="005C046B">
        <w:rPr>
          <w:rFonts w:ascii="Times New Roman" w:eastAsia="Times New Roman" w:hAnsi="Times New Roman" w:cs="Times New Roman"/>
          <w:b/>
          <w:bCs/>
          <w:color w:val="000000" w:themeColor="text1"/>
          <w:kern w:val="0"/>
          <w:sz w:val="36"/>
          <w:szCs w:val="36"/>
          <w:lang w:eastAsia="en-IN"/>
          <w14:ligatures w14:val="none"/>
        </w:rPr>
        <w:t xml:space="preserve"> MANOJKUMAR PATEL</w:t>
      </w:r>
    </w:p>
    <w:p w14:paraId="69D1BAED" w14:textId="77777777" w:rsidR="00192237" w:rsidRPr="00884023" w:rsidRDefault="00192237" w:rsidP="00087C21">
      <w:pPr>
        <w:keepNext/>
        <w:keepLines/>
        <w:spacing w:after="60" w:line="276" w:lineRule="auto"/>
        <w:jc w:val="center"/>
        <w:rPr>
          <w:rFonts w:ascii="Times New Roman" w:eastAsia="Times New Roman" w:hAnsi="Times New Roman" w:cs="Times New Roman"/>
          <w:b/>
          <w:bCs/>
          <w:color w:val="000000" w:themeColor="text1"/>
          <w:kern w:val="0"/>
          <w:sz w:val="36"/>
          <w:szCs w:val="36"/>
          <w:lang w:eastAsia="en-IN"/>
          <w14:ligatures w14:val="none"/>
        </w:rPr>
      </w:pPr>
    </w:p>
    <w:p w14:paraId="30DCD5F2" w14:textId="61E380D9" w:rsidR="002E59D2" w:rsidRPr="00884023" w:rsidRDefault="002E59D2" w:rsidP="00087C21">
      <w:pPr>
        <w:keepNext/>
        <w:keepLines/>
        <w:spacing w:after="60" w:line="276" w:lineRule="auto"/>
        <w:jc w:val="center"/>
        <w:rPr>
          <w:rFonts w:ascii="Times New Roman" w:eastAsia="Times New Roman" w:hAnsi="Times New Roman" w:cs="Times New Roman"/>
          <w:b/>
          <w:bCs/>
          <w:color w:val="000000" w:themeColor="text1"/>
          <w:kern w:val="0"/>
          <w:sz w:val="36"/>
          <w:szCs w:val="36"/>
          <w:lang w:eastAsia="en-IN"/>
          <w14:ligatures w14:val="none"/>
        </w:rPr>
      </w:pPr>
      <w:r w:rsidRPr="00884023">
        <w:rPr>
          <w:rFonts w:ascii="Times New Roman" w:eastAsia="Times New Roman" w:hAnsi="Times New Roman" w:cs="Times New Roman"/>
          <w:b/>
          <w:bCs/>
          <w:color w:val="000000" w:themeColor="text1"/>
          <w:kern w:val="0"/>
          <w:sz w:val="36"/>
          <w:szCs w:val="36"/>
          <w:lang w:eastAsia="en-IN"/>
          <w14:ligatures w14:val="none"/>
        </w:rPr>
        <w:t>Student ID-</w:t>
      </w:r>
      <w:r w:rsidR="00192237" w:rsidRPr="00884023">
        <w:rPr>
          <w:rFonts w:ascii="Times New Roman" w:eastAsia="Times New Roman" w:hAnsi="Times New Roman" w:cs="Times New Roman"/>
          <w:b/>
          <w:bCs/>
          <w:color w:val="000000" w:themeColor="text1"/>
          <w:kern w:val="0"/>
          <w:sz w:val="36"/>
          <w:szCs w:val="36"/>
          <w:lang w:eastAsia="en-IN"/>
          <w14:ligatures w14:val="none"/>
        </w:rPr>
        <w:t xml:space="preserve"> </w:t>
      </w:r>
      <w:r w:rsidR="005C046B">
        <w:rPr>
          <w:rFonts w:ascii="Times New Roman" w:eastAsia="Times New Roman" w:hAnsi="Times New Roman" w:cs="Times New Roman"/>
          <w:b/>
          <w:bCs/>
          <w:color w:val="000000" w:themeColor="text1"/>
          <w:kern w:val="0"/>
          <w:sz w:val="36"/>
          <w:szCs w:val="36"/>
          <w:lang w:eastAsia="en-IN"/>
          <w14:ligatures w14:val="none"/>
        </w:rPr>
        <w:t>2503790</w:t>
      </w:r>
    </w:p>
    <w:p w14:paraId="5CDDECBA" w14:textId="77777777" w:rsidR="00192237" w:rsidRPr="00884023" w:rsidRDefault="00192237" w:rsidP="00087C21">
      <w:pPr>
        <w:keepNext/>
        <w:keepLines/>
        <w:spacing w:after="60" w:line="276" w:lineRule="auto"/>
        <w:jc w:val="center"/>
        <w:rPr>
          <w:rFonts w:ascii="Times New Roman" w:eastAsia="Times New Roman" w:hAnsi="Times New Roman" w:cs="Times New Roman"/>
          <w:b/>
          <w:bCs/>
          <w:color w:val="000000" w:themeColor="text1"/>
          <w:kern w:val="0"/>
          <w:sz w:val="36"/>
          <w:szCs w:val="36"/>
          <w:lang w:eastAsia="en-IN"/>
          <w14:ligatures w14:val="none"/>
        </w:rPr>
      </w:pPr>
    </w:p>
    <w:p w14:paraId="230862BB" w14:textId="2629B0F8" w:rsidR="002E59D2" w:rsidRDefault="002E59D2" w:rsidP="00087C21">
      <w:pPr>
        <w:keepNext/>
        <w:keepLines/>
        <w:spacing w:after="60" w:line="276" w:lineRule="auto"/>
        <w:jc w:val="center"/>
        <w:rPr>
          <w:rFonts w:ascii="Times New Roman" w:eastAsia="Times New Roman" w:hAnsi="Times New Roman" w:cs="Times New Roman"/>
          <w:b/>
          <w:bCs/>
          <w:color w:val="000000" w:themeColor="text1"/>
          <w:kern w:val="0"/>
          <w:sz w:val="36"/>
          <w:szCs w:val="36"/>
          <w:lang w:eastAsia="en-IN"/>
          <w14:ligatures w14:val="none"/>
        </w:rPr>
      </w:pPr>
      <w:r w:rsidRPr="00884023">
        <w:rPr>
          <w:rFonts w:ascii="Times New Roman" w:eastAsia="Times New Roman" w:hAnsi="Times New Roman" w:cs="Times New Roman"/>
          <w:b/>
          <w:bCs/>
          <w:color w:val="000000" w:themeColor="text1"/>
          <w:kern w:val="0"/>
          <w:sz w:val="36"/>
          <w:szCs w:val="36"/>
          <w:lang w:eastAsia="en-IN"/>
          <w14:ligatures w14:val="none"/>
        </w:rPr>
        <w:t>Lecturer Name-</w:t>
      </w:r>
      <w:r w:rsidR="00E42ED9">
        <w:rPr>
          <w:rFonts w:ascii="Times New Roman" w:eastAsia="Times New Roman" w:hAnsi="Times New Roman" w:cs="Times New Roman"/>
          <w:b/>
          <w:bCs/>
          <w:color w:val="000000" w:themeColor="text1"/>
          <w:kern w:val="0"/>
          <w:sz w:val="36"/>
          <w:szCs w:val="36"/>
          <w:lang w:eastAsia="en-IN"/>
          <w14:ligatures w14:val="none"/>
        </w:rPr>
        <w:t xml:space="preserve"> Dr. </w:t>
      </w:r>
      <w:proofErr w:type="spellStart"/>
      <w:r w:rsidR="009000B0" w:rsidRPr="00884023">
        <w:rPr>
          <w:rFonts w:ascii="Times New Roman" w:eastAsia="Times New Roman" w:hAnsi="Times New Roman" w:cs="Times New Roman"/>
          <w:b/>
          <w:bCs/>
          <w:color w:val="000000" w:themeColor="text1"/>
          <w:kern w:val="0"/>
          <w:sz w:val="36"/>
          <w:szCs w:val="36"/>
          <w:lang w:eastAsia="en-IN"/>
          <w14:ligatures w14:val="none"/>
        </w:rPr>
        <w:t>Mustakkima</w:t>
      </w:r>
      <w:proofErr w:type="spellEnd"/>
      <w:r w:rsidR="009000B0" w:rsidRPr="00884023">
        <w:rPr>
          <w:rFonts w:ascii="Times New Roman" w:eastAsia="Times New Roman" w:hAnsi="Times New Roman" w:cs="Times New Roman"/>
          <w:b/>
          <w:bCs/>
          <w:color w:val="000000" w:themeColor="text1"/>
          <w:kern w:val="0"/>
          <w:sz w:val="36"/>
          <w:szCs w:val="36"/>
          <w:lang w:eastAsia="en-IN"/>
          <w14:ligatures w14:val="none"/>
        </w:rPr>
        <w:t xml:space="preserve"> </w:t>
      </w:r>
      <w:proofErr w:type="spellStart"/>
      <w:r w:rsidR="009000B0" w:rsidRPr="00884023">
        <w:rPr>
          <w:rFonts w:ascii="Times New Roman" w:eastAsia="Times New Roman" w:hAnsi="Times New Roman" w:cs="Times New Roman"/>
          <w:b/>
          <w:bCs/>
          <w:color w:val="000000" w:themeColor="text1"/>
          <w:kern w:val="0"/>
          <w:sz w:val="36"/>
          <w:szCs w:val="36"/>
          <w:lang w:eastAsia="en-IN"/>
          <w14:ligatures w14:val="none"/>
        </w:rPr>
        <w:t>Afrin</w:t>
      </w:r>
      <w:proofErr w:type="spellEnd"/>
    </w:p>
    <w:p w14:paraId="574CF0C0" w14:textId="77777777" w:rsidR="003A185D" w:rsidRDefault="003A185D" w:rsidP="00087C21">
      <w:pPr>
        <w:keepNext/>
        <w:keepLines/>
        <w:spacing w:after="60" w:line="276" w:lineRule="auto"/>
        <w:jc w:val="center"/>
        <w:rPr>
          <w:rFonts w:ascii="Times New Roman" w:eastAsia="Times New Roman" w:hAnsi="Times New Roman" w:cs="Times New Roman"/>
          <w:b/>
          <w:bCs/>
          <w:color w:val="000000" w:themeColor="text1"/>
          <w:kern w:val="0"/>
          <w:sz w:val="36"/>
          <w:szCs w:val="36"/>
          <w:lang w:eastAsia="en-IN"/>
          <w14:ligatures w14:val="none"/>
        </w:rPr>
      </w:pPr>
    </w:p>
    <w:p w14:paraId="41EE55A3" w14:textId="6E2D9F7F" w:rsidR="00884023" w:rsidRPr="00884023" w:rsidRDefault="00BD52D5" w:rsidP="00087C21">
      <w:pPr>
        <w:keepNext/>
        <w:keepLines/>
        <w:spacing w:after="60" w:line="276" w:lineRule="auto"/>
        <w:jc w:val="center"/>
        <w:rPr>
          <w:rFonts w:ascii="Times New Roman" w:eastAsia="Times New Roman" w:hAnsi="Times New Roman" w:cs="Times New Roman"/>
          <w:b/>
          <w:bCs/>
          <w:color w:val="000000" w:themeColor="text1"/>
          <w:kern w:val="0"/>
          <w:sz w:val="36"/>
          <w:szCs w:val="36"/>
          <w:lang w:eastAsia="en-IN"/>
          <w14:ligatures w14:val="none"/>
        </w:rPr>
      </w:pPr>
      <w:r>
        <w:rPr>
          <w:rFonts w:ascii="Times New Roman" w:eastAsia="Times New Roman" w:hAnsi="Times New Roman" w:cs="Times New Roman"/>
          <w:b/>
          <w:bCs/>
          <w:color w:val="000000" w:themeColor="text1"/>
          <w:kern w:val="0"/>
          <w:sz w:val="36"/>
          <w:szCs w:val="36"/>
          <w:lang w:eastAsia="en-IN"/>
          <w14:ligatures w14:val="none"/>
        </w:rPr>
        <w:t xml:space="preserve">Word Count </w:t>
      </w:r>
      <w:r w:rsidR="003A185D">
        <w:rPr>
          <w:rFonts w:ascii="Times New Roman" w:eastAsia="Times New Roman" w:hAnsi="Times New Roman" w:cs="Times New Roman"/>
          <w:b/>
          <w:bCs/>
          <w:color w:val="000000" w:themeColor="text1"/>
          <w:kern w:val="0"/>
          <w:sz w:val="36"/>
          <w:szCs w:val="36"/>
          <w:lang w:eastAsia="en-IN"/>
          <w14:ligatures w14:val="none"/>
        </w:rPr>
        <w:t xml:space="preserve">- </w:t>
      </w:r>
      <w:r w:rsidR="006E243E">
        <w:rPr>
          <w:rFonts w:ascii="Times New Roman" w:eastAsia="Times New Roman" w:hAnsi="Times New Roman" w:cs="Times New Roman"/>
          <w:b/>
          <w:bCs/>
          <w:color w:val="000000" w:themeColor="text1"/>
          <w:kern w:val="0"/>
          <w:sz w:val="36"/>
          <w:szCs w:val="36"/>
          <w:lang w:eastAsia="en-IN"/>
          <w14:ligatures w14:val="none"/>
        </w:rPr>
        <w:t>5</w:t>
      </w:r>
      <w:r w:rsidR="00B374C5">
        <w:rPr>
          <w:rFonts w:ascii="Times New Roman" w:eastAsia="Times New Roman" w:hAnsi="Times New Roman" w:cs="Times New Roman"/>
          <w:b/>
          <w:bCs/>
          <w:color w:val="000000" w:themeColor="text1"/>
          <w:kern w:val="0"/>
          <w:sz w:val="36"/>
          <w:szCs w:val="36"/>
          <w:lang w:eastAsia="en-IN"/>
          <w14:ligatures w14:val="none"/>
        </w:rPr>
        <w:t>500</w:t>
      </w:r>
    </w:p>
    <w:p w14:paraId="524D209C" w14:textId="77777777" w:rsidR="00644E7E" w:rsidRPr="00884023" w:rsidRDefault="00644E7E" w:rsidP="00087C21">
      <w:pPr>
        <w:keepNext/>
        <w:keepLines/>
        <w:spacing w:after="60" w:line="276" w:lineRule="auto"/>
        <w:jc w:val="center"/>
        <w:rPr>
          <w:rFonts w:ascii="Times New Roman" w:eastAsia="Times New Roman" w:hAnsi="Times New Roman" w:cs="Times New Roman"/>
          <w:b/>
          <w:bCs/>
          <w:color w:val="000000" w:themeColor="text1"/>
          <w:kern w:val="0"/>
          <w:sz w:val="36"/>
          <w:szCs w:val="36"/>
          <w:lang w:eastAsia="en-IN"/>
          <w14:ligatures w14:val="none"/>
        </w:rPr>
      </w:pPr>
    </w:p>
    <w:p w14:paraId="14654F8A" w14:textId="48CE87D0" w:rsidR="0043043C" w:rsidRPr="00C3340C" w:rsidRDefault="0043043C" w:rsidP="00087C21">
      <w:pPr>
        <w:keepNext/>
        <w:keepLines/>
        <w:spacing w:after="60" w:line="276" w:lineRule="auto"/>
        <w:jc w:val="center"/>
        <w:rPr>
          <w:rFonts w:ascii="Times New Roman" w:eastAsia="Times New Roman" w:hAnsi="Times New Roman" w:cs="Times New Roman"/>
          <w:b/>
          <w:bCs/>
          <w:color w:val="000000" w:themeColor="text1"/>
          <w:kern w:val="0"/>
          <w:sz w:val="44"/>
          <w:szCs w:val="44"/>
          <w:lang w:eastAsia="en-IN"/>
          <w14:ligatures w14:val="none"/>
        </w:rPr>
      </w:pPr>
      <w:r w:rsidRPr="00C3340C">
        <w:rPr>
          <w:rFonts w:ascii="Times New Roman" w:eastAsia="Times New Roman" w:hAnsi="Times New Roman" w:cs="Times New Roman"/>
          <w:b/>
          <w:bCs/>
          <w:color w:val="000000" w:themeColor="text1"/>
          <w:kern w:val="0"/>
          <w:sz w:val="44"/>
          <w:szCs w:val="44"/>
          <w:lang w:eastAsia="en-IN"/>
          <w14:ligatures w14:val="none"/>
        </w:rPr>
        <w:t xml:space="preserve">Country- UK &amp; USA </w:t>
      </w:r>
      <w:r w:rsidR="00486B28" w:rsidRPr="00C3340C">
        <w:rPr>
          <w:rFonts w:ascii="Times New Roman" w:eastAsia="Times New Roman" w:hAnsi="Times New Roman" w:cs="Times New Roman"/>
          <w:b/>
          <w:bCs/>
          <w:color w:val="000000" w:themeColor="text1"/>
          <w:kern w:val="0"/>
          <w:sz w:val="44"/>
          <w:szCs w:val="44"/>
          <w:lang w:eastAsia="en-IN"/>
          <w14:ligatures w14:val="none"/>
        </w:rPr>
        <w:t>| Industry- ZARA</w:t>
      </w:r>
    </w:p>
    <w:p w14:paraId="13C07428" w14:textId="7FE53EEC" w:rsidR="002E59D2" w:rsidRPr="00C3340C" w:rsidRDefault="002E59D2" w:rsidP="0063050B">
      <w:pPr>
        <w:keepNext/>
        <w:keepLines/>
        <w:spacing w:after="60" w:line="276" w:lineRule="auto"/>
        <w:rPr>
          <w:rFonts w:ascii="Times New Roman" w:eastAsia="Times New Roman" w:hAnsi="Times New Roman" w:cs="Times New Roman"/>
          <w:color w:val="000000" w:themeColor="text1"/>
          <w:kern w:val="0"/>
          <w:sz w:val="44"/>
          <w:szCs w:val="44"/>
          <w:lang w:eastAsia="en-IN"/>
          <w14:ligatures w14:val="none"/>
        </w:rPr>
      </w:pPr>
    </w:p>
    <w:p w14:paraId="5BBB8100" w14:textId="77777777" w:rsidR="002E59D2" w:rsidRDefault="002E59D2" w:rsidP="005635B3">
      <w:pPr>
        <w:keepNext/>
        <w:keepLines/>
        <w:spacing w:after="60" w:line="276" w:lineRule="auto"/>
        <w:jc w:val="center"/>
        <w:rPr>
          <w:rFonts w:ascii="Times New Roman" w:eastAsia="Times New Roman" w:hAnsi="Times New Roman" w:cs="Times New Roman"/>
          <w:color w:val="000000" w:themeColor="text1"/>
          <w:kern w:val="0"/>
          <w:sz w:val="28"/>
          <w:szCs w:val="28"/>
          <w:lang w:eastAsia="en-IN"/>
          <w14:ligatures w14:val="none"/>
        </w:rPr>
      </w:pPr>
    </w:p>
    <w:p w14:paraId="0C54D2D4" w14:textId="77777777" w:rsidR="002E59D2" w:rsidRDefault="002E59D2" w:rsidP="005635B3">
      <w:pPr>
        <w:keepNext/>
        <w:keepLines/>
        <w:spacing w:after="60" w:line="276" w:lineRule="auto"/>
        <w:jc w:val="center"/>
        <w:rPr>
          <w:rFonts w:ascii="Times New Roman" w:eastAsia="Times New Roman" w:hAnsi="Times New Roman" w:cs="Times New Roman"/>
          <w:color w:val="000000" w:themeColor="text1"/>
          <w:kern w:val="0"/>
          <w:sz w:val="28"/>
          <w:szCs w:val="28"/>
          <w:lang w:eastAsia="en-IN"/>
          <w14:ligatures w14:val="none"/>
        </w:rPr>
      </w:pPr>
    </w:p>
    <w:p w14:paraId="131886A7" w14:textId="77777777" w:rsidR="002E59D2" w:rsidRPr="00DA187D" w:rsidRDefault="002E59D2" w:rsidP="005635B3">
      <w:pPr>
        <w:keepNext/>
        <w:keepLines/>
        <w:spacing w:after="60" w:line="276" w:lineRule="auto"/>
        <w:jc w:val="center"/>
        <w:rPr>
          <w:rFonts w:ascii="Times New Roman" w:eastAsia="Times New Roman" w:hAnsi="Times New Roman" w:cs="Times New Roman"/>
          <w:color w:val="000000" w:themeColor="text1"/>
          <w:kern w:val="0"/>
          <w:sz w:val="28"/>
          <w:szCs w:val="28"/>
          <w:lang w:eastAsia="en-IN"/>
          <w14:ligatures w14:val="none"/>
        </w:rPr>
      </w:pPr>
    </w:p>
    <w:p w14:paraId="01CFE037" w14:textId="77777777" w:rsidR="008962DF" w:rsidRPr="008962DF" w:rsidRDefault="008962DF" w:rsidP="008962DF">
      <w:pPr>
        <w:spacing w:before="240" w:after="240" w:line="480" w:lineRule="auto"/>
        <w:jc w:val="both"/>
        <w:rPr>
          <w:rFonts w:ascii="Arial" w:eastAsia="Arial" w:hAnsi="Arial" w:cs="Arial"/>
          <w:color w:val="000000" w:themeColor="text1"/>
          <w:kern w:val="0"/>
          <w:sz w:val="22"/>
          <w:szCs w:val="22"/>
          <w:lang w:eastAsia="en-US"/>
          <w14:ligatures w14:val="none"/>
        </w:rPr>
      </w:pPr>
      <w:r w:rsidRPr="008962DF">
        <w:rPr>
          <w:rFonts w:ascii="Arial" w:eastAsia="Arial" w:hAnsi="Arial" w:cs="Arial"/>
          <w:color w:val="000000" w:themeColor="text1"/>
          <w:kern w:val="0"/>
          <w:sz w:val="22"/>
          <w:szCs w:val="22"/>
          <w:lang w:eastAsia="en-US"/>
          <w14:ligatures w14:val="none"/>
        </w:rPr>
        <w:br w:type="page"/>
      </w:r>
    </w:p>
    <w:sdt>
      <w:sdtPr>
        <w:rPr>
          <w:rFonts w:ascii="Times New Roman" w:eastAsia="Times New Roman" w:hAnsi="Times New Roman" w:cstheme="minorBidi"/>
          <w:b w:val="0"/>
          <w:bCs w:val="0"/>
          <w:color w:val="auto"/>
          <w:sz w:val="24"/>
          <w:szCs w:val="22"/>
        </w:rPr>
        <w:id w:val="764267321"/>
        <w:docPartObj>
          <w:docPartGallery w:val="Table of Contents"/>
          <w:docPartUnique/>
        </w:docPartObj>
      </w:sdtPr>
      <w:sdtEndPr>
        <w:rPr>
          <w:noProof/>
        </w:rPr>
      </w:sdtEndPr>
      <w:sdtContent>
        <w:p w14:paraId="110F5F7A" w14:textId="15D0DE43" w:rsidR="001A3AE3" w:rsidRPr="001A3AE3" w:rsidRDefault="001A3AE3" w:rsidP="00202B23">
          <w:pPr>
            <w:pStyle w:val="TOCHeading"/>
            <w:rPr>
              <w:color w:val="000000"/>
              <w:sz w:val="26"/>
            </w:rPr>
          </w:pPr>
          <w:r w:rsidRPr="001A3AE3">
            <w:rPr>
              <w:color w:val="000000"/>
              <w:sz w:val="26"/>
            </w:rPr>
            <w:t>Table of Contents</w:t>
          </w:r>
        </w:p>
        <w:p w14:paraId="15CE92BB" w14:textId="77777777" w:rsidR="001A3AE3" w:rsidRPr="001A3AE3" w:rsidRDefault="001A3AE3" w:rsidP="001A3AE3">
          <w:pPr>
            <w:tabs>
              <w:tab w:val="right" w:leader="dot" w:pos="9350"/>
            </w:tabs>
            <w:spacing w:after="100" w:line="276" w:lineRule="auto"/>
            <w:rPr>
              <w:noProof/>
              <w:lang w:val="en-IN" w:eastAsia="en-IN"/>
            </w:rPr>
          </w:pPr>
          <w:r w:rsidRPr="001A3AE3">
            <w:rPr>
              <w:rFonts w:ascii="Times New Roman" w:eastAsia="Times New Roman" w:hAnsi="Times New Roman"/>
              <w:kern w:val="0"/>
              <w:szCs w:val="22"/>
              <w:lang w:val="en-US" w:eastAsia="en-US"/>
              <w14:ligatures w14:val="none"/>
            </w:rPr>
            <w:fldChar w:fldCharType="begin"/>
          </w:r>
          <w:r w:rsidRPr="001A3AE3">
            <w:rPr>
              <w:rFonts w:ascii="Times New Roman" w:eastAsia="Times New Roman" w:hAnsi="Times New Roman"/>
              <w:kern w:val="0"/>
              <w:szCs w:val="22"/>
              <w:lang w:val="en-US" w:eastAsia="en-US"/>
              <w14:ligatures w14:val="none"/>
            </w:rPr>
            <w:instrText xml:space="preserve"> TOC \o "1-3" \h \z \u </w:instrText>
          </w:r>
          <w:r w:rsidRPr="001A3AE3">
            <w:rPr>
              <w:rFonts w:ascii="Times New Roman" w:eastAsia="Times New Roman" w:hAnsi="Times New Roman"/>
              <w:kern w:val="0"/>
              <w:szCs w:val="22"/>
              <w:lang w:val="en-US" w:eastAsia="en-US"/>
              <w14:ligatures w14:val="none"/>
            </w:rPr>
            <w:fldChar w:fldCharType="separate"/>
          </w:r>
          <w:hyperlink w:anchor="_Toc227655421" w:history="1">
            <w:r w:rsidRPr="001A3AE3">
              <w:rPr>
                <w:rFonts w:ascii="Times New Roman" w:eastAsia="Times New Roman" w:hAnsi="Times New Roman"/>
                <w:noProof/>
                <w:color w:val="467886" w:themeColor="hyperlink"/>
                <w:kern w:val="0"/>
                <w:szCs w:val="22"/>
                <w:u w:val="single"/>
                <w:lang w:val="en-US" w:eastAsia="en-US"/>
                <w14:ligatures w14:val="none"/>
              </w:rPr>
              <w:t>Section 1: International business report</w:t>
            </w:r>
            <w:r w:rsidRPr="001A3AE3">
              <w:rPr>
                <w:rFonts w:ascii="Times New Roman" w:eastAsia="Times New Roman" w:hAnsi="Times New Roman"/>
                <w:noProof/>
                <w:webHidden/>
                <w:kern w:val="0"/>
                <w:szCs w:val="22"/>
                <w:lang w:val="en-US" w:eastAsia="en-US"/>
                <w14:ligatures w14:val="none"/>
              </w:rPr>
              <w:tab/>
            </w:r>
            <w:r w:rsidRPr="001A3AE3">
              <w:rPr>
                <w:rFonts w:ascii="Times New Roman" w:eastAsia="Times New Roman" w:hAnsi="Times New Roman"/>
                <w:noProof/>
                <w:webHidden/>
                <w:kern w:val="0"/>
                <w:szCs w:val="22"/>
                <w:lang w:val="en-US" w:eastAsia="en-US"/>
                <w14:ligatures w14:val="none"/>
              </w:rPr>
              <w:fldChar w:fldCharType="begin"/>
            </w:r>
            <w:r w:rsidRPr="001A3AE3">
              <w:rPr>
                <w:rFonts w:ascii="Times New Roman" w:eastAsia="Times New Roman" w:hAnsi="Times New Roman"/>
                <w:noProof/>
                <w:webHidden/>
                <w:kern w:val="0"/>
                <w:szCs w:val="22"/>
                <w:lang w:val="en-US" w:eastAsia="en-US"/>
                <w14:ligatures w14:val="none"/>
              </w:rPr>
              <w:instrText xml:space="preserve"> PAGEREF _Toc227655421 \h </w:instrText>
            </w:r>
            <w:r w:rsidRPr="001A3AE3">
              <w:rPr>
                <w:rFonts w:ascii="Times New Roman" w:eastAsia="Times New Roman" w:hAnsi="Times New Roman"/>
                <w:noProof/>
                <w:webHidden/>
                <w:kern w:val="0"/>
                <w:szCs w:val="22"/>
                <w:lang w:val="en-US" w:eastAsia="en-US"/>
                <w14:ligatures w14:val="none"/>
              </w:rPr>
            </w:r>
            <w:r w:rsidRPr="001A3AE3">
              <w:rPr>
                <w:rFonts w:ascii="Times New Roman" w:eastAsia="Times New Roman" w:hAnsi="Times New Roman"/>
                <w:noProof/>
                <w:webHidden/>
                <w:kern w:val="0"/>
                <w:szCs w:val="22"/>
                <w:lang w:val="en-US" w:eastAsia="en-US"/>
                <w14:ligatures w14:val="none"/>
              </w:rPr>
              <w:fldChar w:fldCharType="separate"/>
            </w:r>
            <w:r w:rsidRPr="001A3AE3">
              <w:rPr>
                <w:rFonts w:ascii="Times New Roman" w:eastAsia="Times New Roman" w:hAnsi="Times New Roman"/>
                <w:noProof/>
                <w:webHidden/>
                <w:kern w:val="0"/>
                <w:szCs w:val="22"/>
                <w:lang w:val="en-US" w:eastAsia="en-US"/>
                <w14:ligatures w14:val="none"/>
              </w:rPr>
              <w:t>3</w:t>
            </w:r>
            <w:r w:rsidRPr="001A3AE3">
              <w:rPr>
                <w:rFonts w:ascii="Times New Roman" w:eastAsia="Times New Roman" w:hAnsi="Times New Roman"/>
                <w:noProof/>
                <w:webHidden/>
                <w:kern w:val="0"/>
                <w:szCs w:val="22"/>
                <w:lang w:val="en-US" w:eastAsia="en-US"/>
                <w14:ligatures w14:val="none"/>
              </w:rPr>
              <w:fldChar w:fldCharType="end"/>
            </w:r>
          </w:hyperlink>
        </w:p>
        <w:p w14:paraId="30DFC762" w14:textId="77777777" w:rsidR="001A3AE3" w:rsidRPr="001A3AE3" w:rsidRDefault="001A3AE3" w:rsidP="001A3AE3">
          <w:pPr>
            <w:tabs>
              <w:tab w:val="right" w:leader="dot" w:pos="9350"/>
            </w:tabs>
            <w:spacing w:after="100" w:line="276" w:lineRule="auto"/>
            <w:ind w:left="240"/>
            <w:rPr>
              <w:noProof/>
              <w:lang w:val="en-IN" w:eastAsia="en-IN"/>
            </w:rPr>
          </w:pPr>
          <w:hyperlink w:anchor="_Toc227655422" w:history="1">
            <w:r w:rsidRPr="001A3AE3">
              <w:rPr>
                <w:rFonts w:ascii="Times New Roman" w:eastAsia="Times New Roman" w:hAnsi="Times New Roman"/>
                <w:noProof/>
                <w:color w:val="467886" w:themeColor="hyperlink"/>
                <w:kern w:val="0"/>
                <w:szCs w:val="22"/>
                <w:u w:val="single"/>
                <w:lang w:val="en-US" w:eastAsia="en-US"/>
                <w14:ligatures w14:val="none"/>
              </w:rPr>
              <w:t>1. Introduction</w:t>
            </w:r>
            <w:r w:rsidRPr="001A3AE3">
              <w:rPr>
                <w:rFonts w:ascii="Times New Roman" w:eastAsia="Times New Roman" w:hAnsi="Times New Roman"/>
                <w:noProof/>
                <w:webHidden/>
                <w:kern w:val="0"/>
                <w:szCs w:val="22"/>
                <w:lang w:val="en-US" w:eastAsia="en-US"/>
                <w14:ligatures w14:val="none"/>
              </w:rPr>
              <w:tab/>
            </w:r>
            <w:r w:rsidRPr="001A3AE3">
              <w:rPr>
                <w:rFonts w:ascii="Times New Roman" w:eastAsia="Times New Roman" w:hAnsi="Times New Roman"/>
                <w:noProof/>
                <w:webHidden/>
                <w:kern w:val="0"/>
                <w:szCs w:val="22"/>
                <w:lang w:val="en-US" w:eastAsia="en-US"/>
                <w14:ligatures w14:val="none"/>
              </w:rPr>
              <w:fldChar w:fldCharType="begin"/>
            </w:r>
            <w:r w:rsidRPr="001A3AE3">
              <w:rPr>
                <w:rFonts w:ascii="Times New Roman" w:eastAsia="Times New Roman" w:hAnsi="Times New Roman"/>
                <w:noProof/>
                <w:webHidden/>
                <w:kern w:val="0"/>
                <w:szCs w:val="22"/>
                <w:lang w:val="en-US" w:eastAsia="en-US"/>
                <w14:ligatures w14:val="none"/>
              </w:rPr>
              <w:instrText xml:space="preserve"> PAGEREF _Toc227655422 \h </w:instrText>
            </w:r>
            <w:r w:rsidRPr="001A3AE3">
              <w:rPr>
                <w:rFonts w:ascii="Times New Roman" w:eastAsia="Times New Roman" w:hAnsi="Times New Roman"/>
                <w:noProof/>
                <w:webHidden/>
                <w:kern w:val="0"/>
                <w:szCs w:val="22"/>
                <w:lang w:val="en-US" w:eastAsia="en-US"/>
                <w14:ligatures w14:val="none"/>
              </w:rPr>
            </w:r>
            <w:r w:rsidRPr="001A3AE3">
              <w:rPr>
                <w:rFonts w:ascii="Times New Roman" w:eastAsia="Times New Roman" w:hAnsi="Times New Roman"/>
                <w:noProof/>
                <w:webHidden/>
                <w:kern w:val="0"/>
                <w:szCs w:val="22"/>
                <w:lang w:val="en-US" w:eastAsia="en-US"/>
                <w14:ligatures w14:val="none"/>
              </w:rPr>
              <w:fldChar w:fldCharType="separate"/>
            </w:r>
            <w:r w:rsidRPr="001A3AE3">
              <w:rPr>
                <w:rFonts w:ascii="Times New Roman" w:eastAsia="Times New Roman" w:hAnsi="Times New Roman"/>
                <w:noProof/>
                <w:webHidden/>
                <w:kern w:val="0"/>
                <w:szCs w:val="22"/>
                <w:lang w:val="en-US" w:eastAsia="en-US"/>
                <w14:ligatures w14:val="none"/>
              </w:rPr>
              <w:t>3</w:t>
            </w:r>
            <w:r w:rsidRPr="001A3AE3">
              <w:rPr>
                <w:rFonts w:ascii="Times New Roman" w:eastAsia="Times New Roman" w:hAnsi="Times New Roman"/>
                <w:noProof/>
                <w:webHidden/>
                <w:kern w:val="0"/>
                <w:szCs w:val="22"/>
                <w:lang w:val="en-US" w:eastAsia="en-US"/>
                <w14:ligatures w14:val="none"/>
              </w:rPr>
              <w:fldChar w:fldCharType="end"/>
            </w:r>
          </w:hyperlink>
        </w:p>
        <w:p w14:paraId="13F0BDF7" w14:textId="77777777" w:rsidR="001A3AE3" w:rsidRPr="001A3AE3" w:rsidRDefault="001A3AE3" w:rsidP="001A3AE3">
          <w:pPr>
            <w:tabs>
              <w:tab w:val="right" w:leader="dot" w:pos="9350"/>
            </w:tabs>
            <w:spacing w:after="100" w:line="276" w:lineRule="auto"/>
            <w:ind w:left="240"/>
            <w:rPr>
              <w:noProof/>
              <w:lang w:val="en-IN" w:eastAsia="en-IN"/>
            </w:rPr>
          </w:pPr>
          <w:hyperlink w:anchor="_Toc227655423" w:history="1">
            <w:r w:rsidRPr="001A3AE3">
              <w:rPr>
                <w:rFonts w:ascii="Times New Roman" w:eastAsia="Times New Roman" w:hAnsi="Times New Roman"/>
                <w:noProof/>
                <w:color w:val="467886" w:themeColor="hyperlink"/>
                <w:kern w:val="0"/>
                <w:szCs w:val="22"/>
                <w:u w:val="single"/>
                <w:lang w:val="en-US" w:eastAsia="en-US"/>
                <w14:ligatures w14:val="none"/>
              </w:rPr>
              <w:t>2. Industry and country overview</w:t>
            </w:r>
            <w:r w:rsidRPr="001A3AE3">
              <w:rPr>
                <w:rFonts w:ascii="Times New Roman" w:eastAsia="Times New Roman" w:hAnsi="Times New Roman"/>
                <w:noProof/>
                <w:webHidden/>
                <w:kern w:val="0"/>
                <w:szCs w:val="22"/>
                <w:lang w:val="en-US" w:eastAsia="en-US"/>
                <w14:ligatures w14:val="none"/>
              </w:rPr>
              <w:tab/>
            </w:r>
            <w:r w:rsidRPr="001A3AE3">
              <w:rPr>
                <w:rFonts w:ascii="Times New Roman" w:eastAsia="Times New Roman" w:hAnsi="Times New Roman"/>
                <w:noProof/>
                <w:webHidden/>
                <w:kern w:val="0"/>
                <w:szCs w:val="22"/>
                <w:lang w:val="en-US" w:eastAsia="en-US"/>
                <w14:ligatures w14:val="none"/>
              </w:rPr>
              <w:fldChar w:fldCharType="begin"/>
            </w:r>
            <w:r w:rsidRPr="001A3AE3">
              <w:rPr>
                <w:rFonts w:ascii="Times New Roman" w:eastAsia="Times New Roman" w:hAnsi="Times New Roman"/>
                <w:noProof/>
                <w:webHidden/>
                <w:kern w:val="0"/>
                <w:szCs w:val="22"/>
                <w:lang w:val="en-US" w:eastAsia="en-US"/>
                <w14:ligatures w14:val="none"/>
              </w:rPr>
              <w:instrText xml:space="preserve"> PAGEREF _Toc227655423 \h </w:instrText>
            </w:r>
            <w:r w:rsidRPr="001A3AE3">
              <w:rPr>
                <w:rFonts w:ascii="Times New Roman" w:eastAsia="Times New Roman" w:hAnsi="Times New Roman"/>
                <w:noProof/>
                <w:webHidden/>
                <w:kern w:val="0"/>
                <w:szCs w:val="22"/>
                <w:lang w:val="en-US" w:eastAsia="en-US"/>
                <w14:ligatures w14:val="none"/>
              </w:rPr>
            </w:r>
            <w:r w:rsidRPr="001A3AE3">
              <w:rPr>
                <w:rFonts w:ascii="Times New Roman" w:eastAsia="Times New Roman" w:hAnsi="Times New Roman"/>
                <w:noProof/>
                <w:webHidden/>
                <w:kern w:val="0"/>
                <w:szCs w:val="22"/>
                <w:lang w:val="en-US" w:eastAsia="en-US"/>
                <w14:ligatures w14:val="none"/>
              </w:rPr>
              <w:fldChar w:fldCharType="separate"/>
            </w:r>
            <w:r w:rsidRPr="001A3AE3">
              <w:rPr>
                <w:rFonts w:ascii="Times New Roman" w:eastAsia="Times New Roman" w:hAnsi="Times New Roman"/>
                <w:noProof/>
                <w:webHidden/>
                <w:kern w:val="0"/>
                <w:szCs w:val="22"/>
                <w:lang w:val="en-US" w:eastAsia="en-US"/>
                <w14:ligatures w14:val="none"/>
              </w:rPr>
              <w:t>3</w:t>
            </w:r>
            <w:r w:rsidRPr="001A3AE3">
              <w:rPr>
                <w:rFonts w:ascii="Times New Roman" w:eastAsia="Times New Roman" w:hAnsi="Times New Roman"/>
                <w:noProof/>
                <w:webHidden/>
                <w:kern w:val="0"/>
                <w:szCs w:val="22"/>
                <w:lang w:val="en-US" w:eastAsia="en-US"/>
                <w14:ligatures w14:val="none"/>
              </w:rPr>
              <w:fldChar w:fldCharType="end"/>
            </w:r>
          </w:hyperlink>
        </w:p>
        <w:p w14:paraId="15B46B86" w14:textId="77777777" w:rsidR="001A3AE3" w:rsidRPr="001A3AE3" w:rsidRDefault="001A3AE3" w:rsidP="001A3AE3">
          <w:pPr>
            <w:tabs>
              <w:tab w:val="right" w:leader="dot" w:pos="9350"/>
            </w:tabs>
            <w:spacing w:after="100" w:line="276" w:lineRule="auto"/>
            <w:ind w:left="240"/>
            <w:rPr>
              <w:noProof/>
              <w:lang w:val="en-IN" w:eastAsia="en-IN"/>
            </w:rPr>
          </w:pPr>
          <w:hyperlink w:anchor="_Toc227655424" w:history="1">
            <w:r w:rsidRPr="001A3AE3">
              <w:rPr>
                <w:rFonts w:ascii="Times New Roman" w:eastAsia="Times New Roman" w:hAnsi="Times New Roman"/>
                <w:noProof/>
                <w:color w:val="467886" w:themeColor="hyperlink"/>
                <w:kern w:val="0"/>
                <w:szCs w:val="22"/>
                <w:u w:val="single"/>
                <w:lang w:val="en-US" w:eastAsia="en-US"/>
                <w14:ligatures w14:val="none"/>
              </w:rPr>
              <w:t>2.1 U.S. as a business location</w:t>
            </w:r>
            <w:r w:rsidRPr="001A3AE3">
              <w:rPr>
                <w:rFonts w:ascii="Times New Roman" w:eastAsia="Times New Roman" w:hAnsi="Times New Roman"/>
                <w:noProof/>
                <w:webHidden/>
                <w:kern w:val="0"/>
                <w:szCs w:val="22"/>
                <w:lang w:val="en-US" w:eastAsia="en-US"/>
                <w14:ligatures w14:val="none"/>
              </w:rPr>
              <w:tab/>
            </w:r>
            <w:r w:rsidRPr="001A3AE3">
              <w:rPr>
                <w:rFonts w:ascii="Times New Roman" w:eastAsia="Times New Roman" w:hAnsi="Times New Roman"/>
                <w:noProof/>
                <w:webHidden/>
                <w:kern w:val="0"/>
                <w:szCs w:val="22"/>
                <w:lang w:val="en-US" w:eastAsia="en-US"/>
                <w14:ligatures w14:val="none"/>
              </w:rPr>
              <w:fldChar w:fldCharType="begin"/>
            </w:r>
            <w:r w:rsidRPr="001A3AE3">
              <w:rPr>
                <w:rFonts w:ascii="Times New Roman" w:eastAsia="Times New Roman" w:hAnsi="Times New Roman"/>
                <w:noProof/>
                <w:webHidden/>
                <w:kern w:val="0"/>
                <w:szCs w:val="22"/>
                <w:lang w:val="en-US" w:eastAsia="en-US"/>
                <w14:ligatures w14:val="none"/>
              </w:rPr>
              <w:instrText xml:space="preserve"> PAGEREF _Toc227655424 \h </w:instrText>
            </w:r>
            <w:r w:rsidRPr="001A3AE3">
              <w:rPr>
                <w:rFonts w:ascii="Times New Roman" w:eastAsia="Times New Roman" w:hAnsi="Times New Roman"/>
                <w:noProof/>
                <w:webHidden/>
                <w:kern w:val="0"/>
                <w:szCs w:val="22"/>
                <w:lang w:val="en-US" w:eastAsia="en-US"/>
                <w14:ligatures w14:val="none"/>
              </w:rPr>
            </w:r>
            <w:r w:rsidRPr="001A3AE3">
              <w:rPr>
                <w:rFonts w:ascii="Times New Roman" w:eastAsia="Times New Roman" w:hAnsi="Times New Roman"/>
                <w:noProof/>
                <w:webHidden/>
                <w:kern w:val="0"/>
                <w:szCs w:val="22"/>
                <w:lang w:val="en-US" w:eastAsia="en-US"/>
                <w14:ligatures w14:val="none"/>
              </w:rPr>
              <w:fldChar w:fldCharType="separate"/>
            </w:r>
            <w:r w:rsidRPr="001A3AE3">
              <w:rPr>
                <w:rFonts w:ascii="Times New Roman" w:eastAsia="Times New Roman" w:hAnsi="Times New Roman"/>
                <w:noProof/>
                <w:webHidden/>
                <w:kern w:val="0"/>
                <w:szCs w:val="22"/>
                <w:lang w:val="en-US" w:eastAsia="en-US"/>
                <w14:ligatures w14:val="none"/>
              </w:rPr>
              <w:t>3</w:t>
            </w:r>
            <w:r w:rsidRPr="001A3AE3">
              <w:rPr>
                <w:rFonts w:ascii="Times New Roman" w:eastAsia="Times New Roman" w:hAnsi="Times New Roman"/>
                <w:noProof/>
                <w:webHidden/>
                <w:kern w:val="0"/>
                <w:szCs w:val="22"/>
                <w:lang w:val="en-US" w:eastAsia="en-US"/>
                <w14:ligatures w14:val="none"/>
              </w:rPr>
              <w:fldChar w:fldCharType="end"/>
            </w:r>
          </w:hyperlink>
        </w:p>
        <w:p w14:paraId="458DAF66" w14:textId="77777777" w:rsidR="001A3AE3" w:rsidRPr="001A3AE3" w:rsidRDefault="001A3AE3" w:rsidP="001A3AE3">
          <w:pPr>
            <w:tabs>
              <w:tab w:val="right" w:leader="dot" w:pos="9350"/>
            </w:tabs>
            <w:spacing w:after="100" w:line="276" w:lineRule="auto"/>
            <w:ind w:left="240"/>
            <w:rPr>
              <w:noProof/>
              <w:lang w:val="en-IN" w:eastAsia="en-IN"/>
            </w:rPr>
          </w:pPr>
          <w:hyperlink w:anchor="_Toc227655425" w:history="1">
            <w:r w:rsidRPr="001A3AE3">
              <w:rPr>
                <w:rFonts w:ascii="Times New Roman" w:eastAsia="Times New Roman" w:hAnsi="Times New Roman"/>
                <w:noProof/>
                <w:color w:val="467886" w:themeColor="hyperlink"/>
                <w:kern w:val="0"/>
                <w:szCs w:val="22"/>
                <w:u w:val="single"/>
                <w:lang w:val="en-US" w:eastAsia="en-US"/>
                <w14:ligatures w14:val="none"/>
              </w:rPr>
              <w:t>2.2 Size, scope and economic importance</w:t>
            </w:r>
            <w:r w:rsidRPr="001A3AE3">
              <w:rPr>
                <w:rFonts w:ascii="Times New Roman" w:eastAsia="Times New Roman" w:hAnsi="Times New Roman"/>
                <w:noProof/>
                <w:webHidden/>
                <w:kern w:val="0"/>
                <w:szCs w:val="22"/>
                <w:lang w:val="en-US" w:eastAsia="en-US"/>
                <w14:ligatures w14:val="none"/>
              </w:rPr>
              <w:tab/>
            </w:r>
            <w:r w:rsidRPr="001A3AE3">
              <w:rPr>
                <w:rFonts w:ascii="Times New Roman" w:eastAsia="Times New Roman" w:hAnsi="Times New Roman"/>
                <w:noProof/>
                <w:webHidden/>
                <w:kern w:val="0"/>
                <w:szCs w:val="22"/>
                <w:lang w:val="en-US" w:eastAsia="en-US"/>
                <w14:ligatures w14:val="none"/>
              </w:rPr>
              <w:fldChar w:fldCharType="begin"/>
            </w:r>
            <w:r w:rsidRPr="001A3AE3">
              <w:rPr>
                <w:rFonts w:ascii="Times New Roman" w:eastAsia="Times New Roman" w:hAnsi="Times New Roman"/>
                <w:noProof/>
                <w:webHidden/>
                <w:kern w:val="0"/>
                <w:szCs w:val="22"/>
                <w:lang w:val="en-US" w:eastAsia="en-US"/>
                <w14:ligatures w14:val="none"/>
              </w:rPr>
              <w:instrText xml:space="preserve"> PAGEREF _Toc227655425 \h </w:instrText>
            </w:r>
            <w:r w:rsidRPr="001A3AE3">
              <w:rPr>
                <w:rFonts w:ascii="Times New Roman" w:eastAsia="Times New Roman" w:hAnsi="Times New Roman"/>
                <w:noProof/>
                <w:webHidden/>
                <w:kern w:val="0"/>
                <w:szCs w:val="22"/>
                <w:lang w:val="en-US" w:eastAsia="en-US"/>
                <w14:ligatures w14:val="none"/>
              </w:rPr>
            </w:r>
            <w:r w:rsidRPr="001A3AE3">
              <w:rPr>
                <w:rFonts w:ascii="Times New Roman" w:eastAsia="Times New Roman" w:hAnsi="Times New Roman"/>
                <w:noProof/>
                <w:webHidden/>
                <w:kern w:val="0"/>
                <w:szCs w:val="22"/>
                <w:lang w:val="en-US" w:eastAsia="en-US"/>
                <w14:ligatures w14:val="none"/>
              </w:rPr>
              <w:fldChar w:fldCharType="separate"/>
            </w:r>
            <w:r w:rsidRPr="001A3AE3">
              <w:rPr>
                <w:rFonts w:ascii="Times New Roman" w:eastAsia="Times New Roman" w:hAnsi="Times New Roman"/>
                <w:noProof/>
                <w:webHidden/>
                <w:kern w:val="0"/>
                <w:szCs w:val="22"/>
                <w:lang w:val="en-US" w:eastAsia="en-US"/>
                <w14:ligatures w14:val="none"/>
              </w:rPr>
              <w:t>5</w:t>
            </w:r>
            <w:r w:rsidRPr="001A3AE3">
              <w:rPr>
                <w:rFonts w:ascii="Times New Roman" w:eastAsia="Times New Roman" w:hAnsi="Times New Roman"/>
                <w:noProof/>
                <w:webHidden/>
                <w:kern w:val="0"/>
                <w:szCs w:val="22"/>
                <w:lang w:val="en-US" w:eastAsia="en-US"/>
                <w14:ligatures w14:val="none"/>
              </w:rPr>
              <w:fldChar w:fldCharType="end"/>
            </w:r>
          </w:hyperlink>
        </w:p>
        <w:p w14:paraId="678EACFA" w14:textId="77777777" w:rsidR="001A3AE3" w:rsidRPr="001A3AE3" w:rsidRDefault="001A3AE3" w:rsidP="001A3AE3">
          <w:pPr>
            <w:tabs>
              <w:tab w:val="right" w:leader="dot" w:pos="9350"/>
            </w:tabs>
            <w:spacing w:after="100" w:line="276" w:lineRule="auto"/>
            <w:ind w:left="240"/>
            <w:rPr>
              <w:noProof/>
              <w:lang w:val="en-IN" w:eastAsia="en-IN"/>
            </w:rPr>
          </w:pPr>
          <w:hyperlink w:anchor="_Toc227655426" w:history="1">
            <w:r w:rsidRPr="001A3AE3">
              <w:rPr>
                <w:rFonts w:ascii="Times New Roman" w:eastAsia="Times New Roman" w:hAnsi="Times New Roman"/>
                <w:noProof/>
                <w:color w:val="467886" w:themeColor="hyperlink"/>
                <w:kern w:val="0"/>
                <w:szCs w:val="22"/>
                <w:u w:val="single"/>
                <w:lang w:val="en-US" w:eastAsia="en-US"/>
                <w14:ligatures w14:val="none"/>
              </w:rPr>
              <w:t>2.3 Major domestic and multinational firms</w:t>
            </w:r>
            <w:r w:rsidRPr="001A3AE3">
              <w:rPr>
                <w:rFonts w:ascii="Times New Roman" w:eastAsia="Times New Roman" w:hAnsi="Times New Roman"/>
                <w:noProof/>
                <w:webHidden/>
                <w:kern w:val="0"/>
                <w:szCs w:val="22"/>
                <w:lang w:val="en-US" w:eastAsia="en-US"/>
                <w14:ligatures w14:val="none"/>
              </w:rPr>
              <w:tab/>
            </w:r>
            <w:r w:rsidRPr="001A3AE3">
              <w:rPr>
                <w:rFonts w:ascii="Times New Roman" w:eastAsia="Times New Roman" w:hAnsi="Times New Roman"/>
                <w:noProof/>
                <w:webHidden/>
                <w:kern w:val="0"/>
                <w:szCs w:val="22"/>
                <w:lang w:val="en-US" w:eastAsia="en-US"/>
                <w14:ligatures w14:val="none"/>
              </w:rPr>
              <w:fldChar w:fldCharType="begin"/>
            </w:r>
            <w:r w:rsidRPr="001A3AE3">
              <w:rPr>
                <w:rFonts w:ascii="Times New Roman" w:eastAsia="Times New Roman" w:hAnsi="Times New Roman"/>
                <w:noProof/>
                <w:webHidden/>
                <w:kern w:val="0"/>
                <w:szCs w:val="22"/>
                <w:lang w:val="en-US" w:eastAsia="en-US"/>
                <w14:ligatures w14:val="none"/>
              </w:rPr>
              <w:instrText xml:space="preserve"> PAGEREF _Toc227655426 \h </w:instrText>
            </w:r>
            <w:r w:rsidRPr="001A3AE3">
              <w:rPr>
                <w:rFonts w:ascii="Times New Roman" w:eastAsia="Times New Roman" w:hAnsi="Times New Roman"/>
                <w:noProof/>
                <w:webHidden/>
                <w:kern w:val="0"/>
                <w:szCs w:val="22"/>
                <w:lang w:val="en-US" w:eastAsia="en-US"/>
                <w14:ligatures w14:val="none"/>
              </w:rPr>
            </w:r>
            <w:r w:rsidRPr="001A3AE3">
              <w:rPr>
                <w:rFonts w:ascii="Times New Roman" w:eastAsia="Times New Roman" w:hAnsi="Times New Roman"/>
                <w:noProof/>
                <w:webHidden/>
                <w:kern w:val="0"/>
                <w:szCs w:val="22"/>
                <w:lang w:val="en-US" w:eastAsia="en-US"/>
                <w14:ligatures w14:val="none"/>
              </w:rPr>
              <w:fldChar w:fldCharType="separate"/>
            </w:r>
            <w:r w:rsidRPr="001A3AE3">
              <w:rPr>
                <w:rFonts w:ascii="Times New Roman" w:eastAsia="Times New Roman" w:hAnsi="Times New Roman"/>
                <w:noProof/>
                <w:webHidden/>
                <w:kern w:val="0"/>
                <w:szCs w:val="22"/>
                <w:lang w:val="en-US" w:eastAsia="en-US"/>
                <w14:ligatures w14:val="none"/>
              </w:rPr>
              <w:t>6</w:t>
            </w:r>
            <w:r w:rsidRPr="001A3AE3">
              <w:rPr>
                <w:rFonts w:ascii="Times New Roman" w:eastAsia="Times New Roman" w:hAnsi="Times New Roman"/>
                <w:noProof/>
                <w:webHidden/>
                <w:kern w:val="0"/>
                <w:szCs w:val="22"/>
                <w:lang w:val="en-US" w:eastAsia="en-US"/>
                <w14:ligatures w14:val="none"/>
              </w:rPr>
              <w:fldChar w:fldCharType="end"/>
            </w:r>
          </w:hyperlink>
        </w:p>
        <w:p w14:paraId="678ED340" w14:textId="77777777" w:rsidR="001A3AE3" w:rsidRPr="001A3AE3" w:rsidRDefault="001A3AE3" w:rsidP="001A3AE3">
          <w:pPr>
            <w:tabs>
              <w:tab w:val="right" w:leader="dot" w:pos="9350"/>
            </w:tabs>
            <w:spacing w:after="100" w:line="276" w:lineRule="auto"/>
            <w:rPr>
              <w:noProof/>
              <w:lang w:val="en-IN" w:eastAsia="en-IN"/>
            </w:rPr>
          </w:pPr>
          <w:hyperlink w:anchor="_Toc227655427" w:history="1">
            <w:r w:rsidRPr="001A3AE3">
              <w:rPr>
                <w:rFonts w:ascii="Times New Roman" w:eastAsia="Times New Roman" w:hAnsi="Times New Roman"/>
                <w:noProof/>
                <w:color w:val="467886" w:themeColor="hyperlink"/>
                <w:kern w:val="0"/>
                <w:szCs w:val="22"/>
                <w:u w:val="single"/>
                <w:lang w:val="en-US" w:eastAsia="en-US"/>
                <w14:ligatures w14:val="none"/>
              </w:rPr>
              <w:t>3. Porter’s Diamond Model and the global competitiveness of the U.S. automobile industry</w:t>
            </w:r>
            <w:r w:rsidRPr="001A3AE3">
              <w:rPr>
                <w:rFonts w:ascii="Times New Roman" w:eastAsia="Times New Roman" w:hAnsi="Times New Roman"/>
                <w:noProof/>
                <w:webHidden/>
                <w:kern w:val="0"/>
                <w:szCs w:val="22"/>
                <w:lang w:val="en-US" w:eastAsia="en-US"/>
                <w14:ligatures w14:val="none"/>
              </w:rPr>
              <w:tab/>
            </w:r>
            <w:r w:rsidRPr="001A3AE3">
              <w:rPr>
                <w:rFonts w:ascii="Times New Roman" w:eastAsia="Times New Roman" w:hAnsi="Times New Roman"/>
                <w:noProof/>
                <w:webHidden/>
                <w:kern w:val="0"/>
                <w:szCs w:val="22"/>
                <w:lang w:val="en-US" w:eastAsia="en-US"/>
                <w14:ligatures w14:val="none"/>
              </w:rPr>
              <w:fldChar w:fldCharType="begin"/>
            </w:r>
            <w:r w:rsidRPr="001A3AE3">
              <w:rPr>
                <w:rFonts w:ascii="Times New Roman" w:eastAsia="Times New Roman" w:hAnsi="Times New Roman"/>
                <w:noProof/>
                <w:webHidden/>
                <w:kern w:val="0"/>
                <w:szCs w:val="22"/>
                <w:lang w:val="en-US" w:eastAsia="en-US"/>
                <w14:ligatures w14:val="none"/>
              </w:rPr>
              <w:instrText xml:space="preserve"> PAGEREF _Toc227655427 \h </w:instrText>
            </w:r>
            <w:r w:rsidRPr="001A3AE3">
              <w:rPr>
                <w:rFonts w:ascii="Times New Roman" w:eastAsia="Times New Roman" w:hAnsi="Times New Roman"/>
                <w:noProof/>
                <w:webHidden/>
                <w:kern w:val="0"/>
                <w:szCs w:val="22"/>
                <w:lang w:val="en-US" w:eastAsia="en-US"/>
                <w14:ligatures w14:val="none"/>
              </w:rPr>
            </w:r>
            <w:r w:rsidRPr="001A3AE3">
              <w:rPr>
                <w:rFonts w:ascii="Times New Roman" w:eastAsia="Times New Roman" w:hAnsi="Times New Roman"/>
                <w:noProof/>
                <w:webHidden/>
                <w:kern w:val="0"/>
                <w:szCs w:val="22"/>
                <w:lang w:val="en-US" w:eastAsia="en-US"/>
                <w14:ligatures w14:val="none"/>
              </w:rPr>
              <w:fldChar w:fldCharType="separate"/>
            </w:r>
            <w:r w:rsidRPr="001A3AE3">
              <w:rPr>
                <w:rFonts w:ascii="Times New Roman" w:eastAsia="Times New Roman" w:hAnsi="Times New Roman"/>
                <w:noProof/>
                <w:webHidden/>
                <w:kern w:val="0"/>
                <w:szCs w:val="22"/>
                <w:lang w:val="en-US" w:eastAsia="en-US"/>
                <w14:ligatures w14:val="none"/>
              </w:rPr>
              <w:t>9</w:t>
            </w:r>
            <w:r w:rsidRPr="001A3AE3">
              <w:rPr>
                <w:rFonts w:ascii="Times New Roman" w:eastAsia="Times New Roman" w:hAnsi="Times New Roman"/>
                <w:noProof/>
                <w:webHidden/>
                <w:kern w:val="0"/>
                <w:szCs w:val="22"/>
                <w:lang w:val="en-US" w:eastAsia="en-US"/>
                <w14:ligatures w14:val="none"/>
              </w:rPr>
              <w:fldChar w:fldCharType="end"/>
            </w:r>
          </w:hyperlink>
        </w:p>
        <w:p w14:paraId="6D4B35AF" w14:textId="77777777" w:rsidR="001A3AE3" w:rsidRPr="001A3AE3" w:rsidRDefault="001A3AE3" w:rsidP="001A3AE3">
          <w:pPr>
            <w:tabs>
              <w:tab w:val="right" w:leader="dot" w:pos="9350"/>
            </w:tabs>
            <w:spacing w:after="100" w:line="276" w:lineRule="auto"/>
            <w:ind w:left="240"/>
            <w:rPr>
              <w:noProof/>
              <w:lang w:val="en-IN" w:eastAsia="en-IN"/>
            </w:rPr>
          </w:pPr>
          <w:hyperlink w:anchor="_Toc227655428" w:history="1">
            <w:r w:rsidRPr="001A3AE3">
              <w:rPr>
                <w:rFonts w:ascii="Times New Roman" w:eastAsia="Times New Roman" w:hAnsi="Times New Roman"/>
                <w:noProof/>
                <w:color w:val="467886" w:themeColor="hyperlink"/>
                <w:kern w:val="0"/>
                <w:szCs w:val="22"/>
                <w:u w:val="single"/>
                <w:lang w:val="en-US" w:eastAsia="en-US"/>
                <w14:ligatures w14:val="none"/>
              </w:rPr>
              <w:t>3.1 Factor conditions</w:t>
            </w:r>
            <w:r w:rsidRPr="001A3AE3">
              <w:rPr>
                <w:rFonts w:ascii="Times New Roman" w:eastAsia="Times New Roman" w:hAnsi="Times New Roman"/>
                <w:noProof/>
                <w:webHidden/>
                <w:kern w:val="0"/>
                <w:szCs w:val="22"/>
                <w:lang w:val="en-US" w:eastAsia="en-US"/>
                <w14:ligatures w14:val="none"/>
              </w:rPr>
              <w:tab/>
            </w:r>
            <w:r w:rsidRPr="001A3AE3">
              <w:rPr>
                <w:rFonts w:ascii="Times New Roman" w:eastAsia="Times New Roman" w:hAnsi="Times New Roman"/>
                <w:noProof/>
                <w:webHidden/>
                <w:kern w:val="0"/>
                <w:szCs w:val="22"/>
                <w:lang w:val="en-US" w:eastAsia="en-US"/>
                <w14:ligatures w14:val="none"/>
              </w:rPr>
              <w:fldChar w:fldCharType="begin"/>
            </w:r>
            <w:r w:rsidRPr="001A3AE3">
              <w:rPr>
                <w:rFonts w:ascii="Times New Roman" w:eastAsia="Times New Roman" w:hAnsi="Times New Roman"/>
                <w:noProof/>
                <w:webHidden/>
                <w:kern w:val="0"/>
                <w:szCs w:val="22"/>
                <w:lang w:val="en-US" w:eastAsia="en-US"/>
                <w14:ligatures w14:val="none"/>
              </w:rPr>
              <w:instrText xml:space="preserve"> PAGEREF _Toc227655428 \h </w:instrText>
            </w:r>
            <w:r w:rsidRPr="001A3AE3">
              <w:rPr>
                <w:rFonts w:ascii="Times New Roman" w:eastAsia="Times New Roman" w:hAnsi="Times New Roman"/>
                <w:noProof/>
                <w:webHidden/>
                <w:kern w:val="0"/>
                <w:szCs w:val="22"/>
                <w:lang w:val="en-US" w:eastAsia="en-US"/>
                <w14:ligatures w14:val="none"/>
              </w:rPr>
            </w:r>
            <w:r w:rsidRPr="001A3AE3">
              <w:rPr>
                <w:rFonts w:ascii="Times New Roman" w:eastAsia="Times New Roman" w:hAnsi="Times New Roman"/>
                <w:noProof/>
                <w:webHidden/>
                <w:kern w:val="0"/>
                <w:szCs w:val="22"/>
                <w:lang w:val="en-US" w:eastAsia="en-US"/>
                <w14:ligatures w14:val="none"/>
              </w:rPr>
              <w:fldChar w:fldCharType="separate"/>
            </w:r>
            <w:r w:rsidRPr="001A3AE3">
              <w:rPr>
                <w:rFonts w:ascii="Times New Roman" w:eastAsia="Times New Roman" w:hAnsi="Times New Roman"/>
                <w:noProof/>
                <w:webHidden/>
                <w:kern w:val="0"/>
                <w:szCs w:val="22"/>
                <w:lang w:val="en-US" w:eastAsia="en-US"/>
                <w14:ligatures w14:val="none"/>
              </w:rPr>
              <w:t>10</w:t>
            </w:r>
            <w:r w:rsidRPr="001A3AE3">
              <w:rPr>
                <w:rFonts w:ascii="Times New Roman" w:eastAsia="Times New Roman" w:hAnsi="Times New Roman"/>
                <w:noProof/>
                <w:webHidden/>
                <w:kern w:val="0"/>
                <w:szCs w:val="22"/>
                <w:lang w:val="en-US" w:eastAsia="en-US"/>
                <w14:ligatures w14:val="none"/>
              </w:rPr>
              <w:fldChar w:fldCharType="end"/>
            </w:r>
          </w:hyperlink>
        </w:p>
        <w:p w14:paraId="795768F1" w14:textId="77777777" w:rsidR="001A3AE3" w:rsidRPr="001A3AE3" w:rsidRDefault="001A3AE3" w:rsidP="001A3AE3">
          <w:pPr>
            <w:tabs>
              <w:tab w:val="right" w:leader="dot" w:pos="9350"/>
            </w:tabs>
            <w:spacing w:after="100" w:line="276" w:lineRule="auto"/>
            <w:ind w:left="240"/>
            <w:rPr>
              <w:noProof/>
              <w:lang w:val="en-IN" w:eastAsia="en-IN"/>
            </w:rPr>
          </w:pPr>
          <w:hyperlink w:anchor="_Toc227655429" w:history="1">
            <w:r w:rsidRPr="001A3AE3">
              <w:rPr>
                <w:rFonts w:ascii="Times New Roman" w:eastAsia="Times New Roman" w:hAnsi="Times New Roman"/>
                <w:noProof/>
                <w:color w:val="467886" w:themeColor="hyperlink"/>
                <w:kern w:val="0"/>
                <w:szCs w:val="22"/>
                <w:u w:val="single"/>
                <w:lang w:val="en-US" w:eastAsia="en-US"/>
                <w14:ligatures w14:val="none"/>
              </w:rPr>
              <w:t>3.2 Demand conditions</w:t>
            </w:r>
            <w:r w:rsidRPr="001A3AE3">
              <w:rPr>
                <w:rFonts w:ascii="Times New Roman" w:eastAsia="Times New Roman" w:hAnsi="Times New Roman"/>
                <w:noProof/>
                <w:webHidden/>
                <w:kern w:val="0"/>
                <w:szCs w:val="22"/>
                <w:lang w:val="en-US" w:eastAsia="en-US"/>
                <w14:ligatures w14:val="none"/>
              </w:rPr>
              <w:tab/>
            </w:r>
            <w:r w:rsidRPr="001A3AE3">
              <w:rPr>
                <w:rFonts w:ascii="Times New Roman" w:eastAsia="Times New Roman" w:hAnsi="Times New Roman"/>
                <w:noProof/>
                <w:webHidden/>
                <w:kern w:val="0"/>
                <w:szCs w:val="22"/>
                <w:lang w:val="en-US" w:eastAsia="en-US"/>
                <w14:ligatures w14:val="none"/>
              </w:rPr>
              <w:fldChar w:fldCharType="begin"/>
            </w:r>
            <w:r w:rsidRPr="001A3AE3">
              <w:rPr>
                <w:rFonts w:ascii="Times New Roman" w:eastAsia="Times New Roman" w:hAnsi="Times New Roman"/>
                <w:noProof/>
                <w:webHidden/>
                <w:kern w:val="0"/>
                <w:szCs w:val="22"/>
                <w:lang w:val="en-US" w:eastAsia="en-US"/>
                <w14:ligatures w14:val="none"/>
              </w:rPr>
              <w:instrText xml:space="preserve"> PAGEREF _Toc227655429 \h </w:instrText>
            </w:r>
            <w:r w:rsidRPr="001A3AE3">
              <w:rPr>
                <w:rFonts w:ascii="Times New Roman" w:eastAsia="Times New Roman" w:hAnsi="Times New Roman"/>
                <w:noProof/>
                <w:webHidden/>
                <w:kern w:val="0"/>
                <w:szCs w:val="22"/>
                <w:lang w:val="en-US" w:eastAsia="en-US"/>
                <w14:ligatures w14:val="none"/>
              </w:rPr>
            </w:r>
            <w:r w:rsidRPr="001A3AE3">
              <w:rPr>
                <w:rFonts w:ascii="Times New Roman" w:eastAsia="Times New Roman" w:hAnsi="Times New Roman"/>
                <w:noProof/>
                <w:webHidden/>
                <w:kern w:val="0"/>
                <w:szCs w:val="22"/>
                <w:lang w:val="en-US" w:eastAsia="en-US"/>
                <w14:ligatures w14:val="none"/>
              </w:rPr>
              <w:fldChar w:fldCharType="separate"/>
            </w:r>
            <w:r w:rsidRPr="001A3AE3">
              <w:rPr>
                <w:rFonts w:ascii="Times New Roman" w:eastAsia="Times New Roman" w:hAnsi="Times New Roman"/>
                <w:noProof/>
                <w:webHidden/>
                <w:kern w:val="0"/>
                <w:szCs w:val="22"/>
                <w:lang w:val="en-US" w:eastAsia="en-US"/>
                <w14:ligatures w14:val="none"/>
              </w:rPr>
              <w:t>10</w:t>
            </w:r>
            <w:r w:rsidRPr="001A3AE3">
              <w:rPr>
                <w:rFonts w:ascii="Times New Roman" w:eastAsia="Times New Roman" w:hAnsi="Times New Roman"/>
                <w:noProof/>
                <w:webHidden/>
                <w:kern w:val="0"/>
                <w:szCs w:val="22"/>
                <w:lang w:val="en-US" w:eastAsia="en-US"/>
                <w14:ligatures w14:val="none"/>
              </w:rPr>
              <w:fldChar w:fldCharType="end"/>
            </w:r>
          </w:hyperlink>
        </w:p>
        <w:p w14:paraId="2961D4D2" w14:textId="77777777" w:rsidR="001A3AE3" w:rsidRPr="001A3AE3" w:rsidRDefault="001A3AE3" w:rsidP="001A3AE3">
          <w:pPr>
            <w:tabs>
              <w:tab w:val="right" w:leader="dot" w:pos="9350"/>
            </w:tabs>
            <w:spacing w:after="100" w:line="276" w:lineRule="auto"/>
            <w:ind w:left="240"/>
            <w:rPr>
              <w:noProof/>
              <w:lang w:val="en-IN" w:eastAsia="en-IN"/>
            </w:rPr>
          </w:pPr>
          <w:hyperlink w:anchor="_Toc227655430" w:history="1">
            <w:r w:rsidRPr="001A3AE3">
              <w:rPr>
                <w:rFonts w:ascii="Times New Roman" w:eastAsia="Times New Roman" w:hAnsi="Times New Roman"/>
                <w:noProof/>
                <w:color w:val="467886" w:themeColor="hyperlink"/>
                <w:kern w:val="0"/>
                <w:szCs w:val="22"/>
                <w:u w:val="single"/>
                <w:lang w:val="en-US" w:eastAsia="en-US"/>
                <w14:ligatures w14:val="none"/>
              </w:rPr>
              <w:t>3.3 Related and supporting industries</w:t>
            </w:r>
            <w:r w:rsidRPr="001A3AE3">
              <w:rPr>
                <w:rFonts w:ascii="Times New Roman" w:eastAsia="Times New Roman" w:hAnsi="Times New Roman"/>
                <w:noProof/>
                <w:webHidden/>
                <w:kern w:val="0"/>
                <w:szCs w:val="22"/>
                <w:lang w:val="en-US" w:eastAsia="en-US"/>
                <w14:ligatures w14:val="none"/>
              </w:rPr>
              <w:tab/>
            </w:r>
            <w:r w:rsidRPr="001A3AE3">
              <w:rPr>
                <w:rFonts w:ascii="Times New Roman" w:eastAsia="Times New Roman" w:hAnsi="Times New Roman"/>
                <w:noProof/>
                <w:webHidden/>
                <w:kern w:val="0"/>
                <w:szCs w:val="22"/>
                <w:lang w:val="en-US" w:eastAsia="en-US"/>
                <w14:ligatures w14:val="none"/>
              </w:rPr>
              <w:fldChar w:fldCharType="begin"/>
            </w:r>
            <w:r w:rsidRPr="001A3AE3">
              <w:rPr>
                <w:rFonts w:ascii="Times New Roman" w:eastAsia="Times New Roman" w:hAnsi="Times New Roman"/>
                <w:noProof/>
                <w:webHidden/>
                <w:kern w:val="0"/>
                <w:szCs w:val="22"/>
                <w:lang w:val="en-US" w:eastAsia="en-US"/>
                <w14:ligatures w14:val="none"/>
              </w:rPr>
              <w:instrText xml:space="preserve"> PAGEREF _Toc227655430 \h </w:instrText>
            </w:r>
            <w:r w:rsidRPr="001A3AE3">
              <w:rPr>
                <w:rFonts w:ascii="Times New Roman" w:eastAsia="Times New Roman" w:hAnsi="Times New Roman"/>
                <w:noProof/>
                <w:webHidden/>
                <w:kern w:val="0"/>
                <w:szCs w:val="22"/>
                <w:lang w:val="en-US" w:eastAsia="en-US"/>
                <w14:ligatures w14:val="none"/>
              </w:rPr>
            </w:r>
            <w:r w:rsidRPr="001A3AE3">
              <w:rPr>
                <w:rFonts w:ascii="Times New Roman" w:eastAsia="Times New Roman" w:hAnsi="Times New Roman"/>
                <w:noProof/>
                <w:webHidden/>
                <w:kern w:val="0"/>
                <w:szCs w:val="22"/>
                <w:lang w:val="en-US" w:eastAsia="en-US"/>
                <w14:ligatures w14:val="none"/>
              </w:rPr>
              <w:fldChar w:fldCharType="separate"/>
            </w:r>
            <w:r w:rsidRPr="001A3AE3">
              <w:rPr>
                <w:rFonts w:ascii="Times New Roman" w:eastAsia="Times New Roman" w:hAnsi="Times New Roman"/>
                <w:noProof/>
                <w:webHidden/>
                <w:kern w:val="0"/>
                <w:szCs w:val="22"/>
                <w:lang w:val="en-US" w:eastAsia="en-US"/>
                <w14:ligatures w14:val="none"/>
              </w:rPr>
              <w:t>11</w:t>
            </w:r>
            <w:r w:rsidRPr="001A3AE3">
              <w:rPr>
                <w:rFonts w:ascii="Times New Roman" w:eastAsia="Times New Roman" w:hAnsi="Times New Roman"/>
                <w:noProof/>
                <w:webHidden/>
                <w:kern w:val="0"/>
                <w:szCs w:val="22"/>
                <w:lang w:val="en-US" w:eastAsia="en-US"/>
                <w14:ligatures w14:val="none"/>
              </w:rPr>
              <w:fldChar w:fldCharType="end"/>
            </w:r>
          </w:hyperlink>
        </w:p>
        <w:p w14:paraId="292E4C17" w14:textId="77777777" w:rsidR="001A3AE3" w:rsidRPr="001A3AE3" w:rsidRDefault="001A3AE3" w:rsidP="001A3AE3">
          <w:pPr>
            <w:tabs>
              <w:tab w:val="right" w:leader="dot" w:pos="9350"/>
            </w:tabs>
            <w:spacing w:after="100" w:line="276" w:lineRule="auto"/>
            <w:ind w:left="240"/>
            <w:rPr>
              <w:noProof/>
              <w:lang w:val="en-IN" w:eastAsia="en-IN"/>
            </w:rPr>
          </w:pPr>
          <w:hyperlink w:anchor="_Toc227655431" w:history="1">
            <w:r w:rsidRPr="001A3AE3">
              <w:rPr>
                <w:rFonts w:ascii="Times New Roman" w:eastAsia="Times New Roman" w:hAnsi="Times New Roman"/>
                <w:noProof/>
                <w:color w:val="467886" w:themeColor="hyperlink"/>
                <w:kern w:val="0"/>
                <w:szCs w:val="22"/>
                <w:u w:val="single"/>
                <w:lang w:val="en-US" w:eastAsia="en-US"/>
                <w14:ligatures w14:val="none"/>
              </w:rPr>
              <w:t>3.4 Firm strategy, structure and rivalry</w:t>
            </w:r>
            <w:r w:rsidRPr="001A3AE3">
              <w:rPr>
                <w:rFonts w:ascii="Times New Roman" w:eastAsia="Times New Roman" w:hAnsi="Times New Roman"/>
                <w:noProof/>
                <w:webHidden/>
                <w:kern w:val="0"/>
                <w:szCs w:val="22"/>
                <w:lang w:val="en-US" w:eastAsia="en-US"/>
                <w14:ligatures w14:val="none"/>
              </w:rPr>
              <w:tab/>
            </w:r>
            <w:r w:rsidRPr="001A3AE3">
              <w:rPr>
                <w:rFonts w:ascii="Times New Roman" w:eastAsia="Times New Roman" w:hAnsi="Times New Roman"/>
                <w:noProof/>
                <w:webHidden/>
                <w:kern w:val="0"/>
                <w:szCs w:val="22"/>
                <w:lang w:val="en-US" w:eastAsia="en-US"/>
                <w14:ligatures w14:val="none"/>
              </w:rPr>
              <w:fldChar w:fldCharType="begin"/>
            </w:r>
            <w:r w:rsidRPr="001A3AE3">
              <w:rPr>
                <w:rFonts w:ascii="Times New Roman" w:eastAsia="Times New Roman" w:hAnsi="Times New Roman"/>
                <w:noProof/>
                <w:webHidden/>
                <w:kern w:val="0"/>
                <w:szCs w:val="22"/>
                <w:lang w:val="en-US" w:eastAsia="en-US"/>
                <w14:ligatures w14:val="none"/>
              </w:rPr>
              <w:instrText xml:space="preserve"> PAGEREF _Toc227655431 \h </w:instrText>
            </w:r>
            <w:r w:rsidRPr="001A3AE3">
              <w:rPr>
                <w:rFonts w:ascii="Times New Roman" w:eastAsia="Times New Roman" w:hAnsi="Times New Roman"/>
                <w:noProof/>
                <w:webHidden/>
                <w:kern w:val="0"/>
                <w:szCs w:val="22"/>
                <w:lang w:val="en-US" w:eastAsia="en-US"/>
                <w14:ligatures w14:val="none"/>
              </w:rPr>
            </w:r>
            <w:r w:rsidRPr="001A3AE3">
              <w:rPr>
                <w:rFonts w:ascii="Times New Roman" w:eastAsia="Times New Roman" w:hAnsi="Times New Roman"/>
                <w:noProof/>
                <w:webHidden/>
                <w:kern w:val="0"/>
                <w:szCs w:val="22"/>
                <w:lang w:val="en-US" w:eastAsia="en-US"/>
                <w14:ligatures w14:val="none"/>
              </w:rPr>
              <w:fldChar w:fldCharType="separate"/>
            </w:r>
            <w:r w:rsidRPr="001A3AE3">
              <w:rPr>
                <w:rFonts w:ascii="Times New Roman" w:eastAsia="Times New Roman" w:hAnsi="Times New Roman"/>
                <w:noProof/>
                <w:webHidden/>
                <w:kern w:val="0"/>
                <w:szCs w:val="22"/>
                <w:lang w:val="en-US" w:eastAsia="en-US"/>
                <w14:ligatures w14:val="none"/>
              </w:rPr>
              <w:t>13</w:t>
            </w:r>
            <w:r w:rsidRPr="001A3AE3">
              <w:rPr>
                <w:rFonts w:ascii="Times New Roman" w:eastAsia="Times New Roman" w:hAnsi="Times New Roman"/>
                <w:noProof/>
                <w:webHidden/>
                <w:kern w:val="0"/>
                <w:szCs w:val="22"/>
                <w:lang w:val="en-US" w:eastAsia="en-US"/>
                <w14:ligatures w14:val="none"/>
              </w:rPr>
              <w:fldChar w:fldCharType="end"/>
            </w:r>
          </w:hyperlink>
        </w:p>
        <w:p w14:paraId="7029D2FD" w14:textId="77777777" w:rsidR="001A3AE3" w:rsidRPr="001A3AE3" w:rsidRDefault="001A3AE3" w:rsidP="001A3AE3">
          <w:pPr>
            <w:tabs>
              <w:tab w:val="right" w:leader="dot" w:pos="9350"/>
            </w:tabs>
            <w:spacing w:after="100" w:line="276" w:lineRule="auto"/>
            <w:ind w:left="240"/>
            <w:rPr>
              <w:noProof/>
              <w:lang w:val="en-IN" w:eastAsia="en-IN"/>
            </w:rPr>
          </w:pPr>
          <w:hyperlink w:anchor="_Toc227655432" w:history="1">
            <w:r w:rsidRPr="001A3AE3">
              <w:rPr>
                <w:rFonts w:ascii="Times New Roman" w:eastAsia="Times New Roman" w:hAnsi="Times New Roman"/>
                <w:noProof/>
                <w:color w:val="467886" w:themeColor="hyperlink"/>
                <w:kern w:val="0"/>
                <w:szCs w:val="22"/>
                <w:u w:val="single"/>
                <w:lang w:val="en-US" w:eastAsia="en-US"/>
                <w14:ligatures w14:val="none"/>
              </w:rPr>
              <w:t>3.5 Government and chance</w:t>
            </w:r>
            <w:r w:rsidRPr="001A3AE3">
              <w:rPr>
                <w:rFonts w:ascii="Times New Roman" w:eastAsia="Times New Roman" w:hAnsi="Times New Roman"/>
                <w:noProof/>
                <w:webHidden/>
                <w:kern w:val="0"/>
                <w:szCs w:val="22"/>
                <w:lang w:val="en-US" w:eastAsia="en-US"/>
                <w14:ligatures w14:val="none"/>
              </w:rPr>
              <w:tab/>
            </w:r>
            <w:r w:rsidRPr="001A3AE3">
              <w:rPr>
                <w:rFonts w:ascii="Times New Roman" w:eastAsia="Times New Roman" w:hAnsi="Times New Roman"/>
                <w:noProof/>
                <w:webHidden/>
                <w:kern w:val="0"/>
                <w:szCs w:val="22"/>
                <w:lang w:val="en-US" w:eastAsia="en-US"/>
                <w14:ligatures w14:val="none"/>
              </w:rPr>
              <w:fldChar w:fldCharType="begin"/>
            </w:r>
            <w:r w:rsidRPr="001A3AE3">
              <w:rPr>
                <w:rFonts w:ascii="Times New Roman" w:eastAsia="Times New Roman" w:hAnsi="Times New Roman"/>
                <w:noProof/>
                <w:webHidden/>
                <w:kern w:val="0"/>
                <w:szCs w:val="22"/>
                <w:lang w:val="en-US" w:eastAsia="en-US"/>
                <w14:ligatures w14:val="none"/>
              </w:rPr>
              <w:instrText xml:space="preserve"> PAGEREF _Toc227655432 \h </w:instrText>
            </w:r>
            <w:r w:rsidRPr="001A3AE3">
              <w:rPr>
                <w:rFonts w:ascii="Times New Roman" w:eastAsia="Times New Roman" w:hAnsi="Times New Roman"/>
                <w:noProof/>
                <w:webHidden/>
                <w:kern w:val="0"/>
                <w:szCs w:val="22"/>
                <w:lang w:val="en-US" w:eastAsia="en-US"/>
                <w14:ligatures w14:val="none"/>
              </w:rPr>
            </w:r>
            <w:r w:rsidRPr="001A3AE3">
              <w:rPr>
                <w:rFonts w:ascii="Times New Roman" w:eastAsia="Times New Roman" w:hAnsi="Times New Roman"/>
                <w:noProof/>
                <w:webHidden/>
                <w:kern w:val="0"/>
                <w:szCs w:val="22"/>
                <w:lang w:val="en-US" w:eastAsia="en-US"/>
                <w14:ligatures w14:val="none"/>
              </w:rPr>
              <w:fldChar w:fldCharType="separate"/>
            </w:r>
            <w:r w:rsidRPr="001A3AE3">
              <w:rPr>
                <w:rFonts w:ascii="Times New Roman" w:eastAsia="Times New Roman" w:hAnsi="Times New Roman"/>
                <w:noProof/>
                <w:webHidden/>
                <w:kern w:val="0"/>
                <w:szCs w:val="22"/>
                <w:lang w:val="en-US" w:eastAsia="en-US"/>
                <w14:ligatures w14:val="none"/>
              </w:rPr>
              <w:t>14</w:t>
            </w:r>
            <w:r w:rsidRPr="001A3AE3">
              <w:rPr>
                <w:rFonts w:ascii="Times New Roman" w:eastAsia="Times New Roman" w:hAnsi="Times New Roman"/>
                <w:noProof/>
                <w:webHidden/>
                <w:kern w:val="0"/>
                <w:szCs w:val="22"/>
                <w:lang w:val="en-US" w:eastAsia="en-US"/>
                <w14:ligatures w14:val="none"/>
              </w:rPr>
              <w:fldChar w:fldCharType="end"/>
            </w:r>
          </w:hyperlink>
        </w:p>
        <w:p w14:paraId="0F901C70" w14:textId="77777777" w:rsidR="001A3AE3" w:rsidRPr="001A3AE3" w:rsidRDefault="001A3AE3" w:rsidP="001A3AE3">
          <w:pPr>
            <w:tabs>
              <w:tab w:val="right" w:leader="dot" w:pos="9350"/>
            </w:tabs>
            <w:spacing w:after="100" w:line="276" w:lineRule="auto"/>
            <w:rPr>
              <w:noProof/>
              <w:lang w:val="en-IN" w:eastAsia="en-IN"/>
            </w:rPr>
          </w:pPr>
          <w:hyperlink w:anchor="_Toc227655433" w:history="1">
            <w:r w:rsidRPr="001A3AE3">
              <w:rPr>
                <w:rFonts w:ascii="Times New Roman" w:eastAsia="Times New Roman" w:hAnsi="Times New Roman"/>
                <w:noProof/>
                <w:color w:val="467886" w:themeColor="hyperlink"/>
                <w:kern w:val="0"/>
                <w:szCs w:val="22"/>
                <w:u w:val="single"/>
                <w:lang w:val="en-US" w:eastAsia="en-US"/>
                <w14:ligatures w14:val="none"/>
              </w:rPr>
              <w:t>4. Toyota in the U.S.: market attractiveness and success factors</w:t>
            </w:r>
            <w:r w:rsidRPr="001A3AE3">
              <w:rPr>
                <w:rFonts w:ascii="Times New Roman" w:eastAsia="Times New Roman" w:hAnsi="Times New Roman"/>
                <w:noProof/>
                <w:webHidden/>
                <w:kern w:val="0"/>
                <w:szCs w:val="22"/>
                <w:lang w:val="en-US" w:eastAsia="en-US"/>
                <w14:ligatures w14:val="none"/>
              </w:rPr>
              <w:tab/>
            </w:r>
            <w:r w:rsidRPr="001A3AE3">
              <w:rPr>
                <w:rFonts w:ascii="Times New Roman" w:eastAsia="Times New Roman" w:hAnsi="Times New Roman"/>
                <w:noProof/>
                <w:webHidden/>
                <w:kern w:val="0"/>
                <w:szCs w:val="22"/>
                <w:lang w:val="en-US" w:eastAsia="en-US"/>
                <w14:ligatures w14:val="none"/>
              </w:rPr>
              <w:fldChar w:fldCharType="begin"/>
            </w:r>
            <w:r w:rsidRPr="001A3AE3">
              <w:rPr>
                <w:rFonts w:ascii="Times New Roman" w:eastAsia="Times New Roman" w:hAnsi="Times New Roman"/>
                <w:noProof/>
                <w:webHidden/>
                <w:kern w:val="0"/>
                <w:szCs w:val="22"/>
                <w:lang w:val="en-US" w:eastAsia="en-US"/>
                <w14:ligatures w14:val="none"/>
              </w:rPr>
              <w:instrText xml:space="preserve"> PAGEREF _Toc227655433 \h </w:instrText>
            </w:r>
            <w:r w:rsidRPr="001A3AE3">
              <w:rPr>
                <w:rFonts w:ascii="Times New Roman" w:eastAsia="Times New Roman" w:hAnsi="Times New Roman"/>
                <w:noProof/>
                <w:webHidden/>
                <w:kern w:val="0"/>
                <w:szCs w:val="22"/>
                <w:lang w:val="en-US" w:eastAsia="en-US"/>
                <w14:ligatures w14:val="none"/>
              </w:rPr>
            </w:r>
            <w:r w:rsidRPr="001A3AE3">
              <w:rPr>
                <w:rFonts w:ascii="Times New Roman" w:eastAsia="Times New Roman" w:hAnsi="Times New Roman"/>
                <w:noProof/>
                <w:webHidden/>
                <w:kern w:val="0"/>
                <w:szCs w:val="22"/>
                <w:lang w:val="en-US" w:eastAsia="en-US"/>
                <w14:ligatures w14:val="none"/>
              </w:rPr>
              <w:fldChar w:fldCharType="separate"/>
            </w:r>
            <w:r w:rsidRPr="001A3AE3">
              <w:rPr>
                <w:rFonts w:ascii="Times New Roman" w:eastAsia="Times New Roman" w:hAnsi="Times New Roman"/>
                <w:noProof/>
                <w:webHidden/>
                <w:kern w:val="0"/>
                <w:szCs w:val="22"/>
                <w:lang w:val="en-US" w:eastAsia="en-US"/>
                <w14:ligatures w14:val="none"/>
              </w:rPr>
              <w:t>15</w:t>
            </w:r>
            <w:r w:rsidRPr="001A3AE3">
              <w:rPr>
                <w:rFonts w:ascii="Times New Roman" w:eastAsia="Times New Roman" w:hAnsi="Times New Roman"/>
                <w:noProof/>
                <w:webHidden/>
                <w:kern w:val="0"/>
                <w:szCs w:val="22"/>
                <w:lang w:val="en-US" w:eastAsia="en-US"/>
                <w14:ligatures w14:val="none"/>
              </w:rPr>
              <w:fldChar w:fldCharType="end"/>
            </w:r>
          </w:hyperlink>
        </w:p>
        <w:p w14:paraId="269FB727" w14:textId="77777777" w:rsidR="001A3AE3" w:rsidRPr="001A3AE3" w:rsidRDefault="001A3AE3" w:rsidP="001A3AE3">
          <w:pPr>
            <w:tabs>
              <w:tab w:val="right" w:leader="dot" w:pos="9350"/>
            </w:tabs>
            <w:spacing w:after="100" w:line="276" w:lineRule="auto"/>
            <w:ind w:left="240"/>
            <w:rPr>
              <w:noProof/>
              <w:lang w:val="en-IN" w:eastAsia="en-IN"/>
            </w:rPr>
          </w:pPr>
          <w:hyperlink w:anchor="_Toc227655434" w:history="1">
            <w:r w:rsidRPr="001A3AE3">
              <w:rPr>
                <w:rFonts w:ascii="Times New Roman" w:eastAsia="Times New Roman" w:hAnsi="Times New Roman"/>
                <w:noProof/>
                <w:color w:val="467886" w:themeColor="hyperlink"/>
                <w:kern w:val="0"/>
                <w:szCs w:val="22"/>
                <w:u w:val="single"/>
                <w:lang w:val="en-US" w:eastAsia="en-US"/>
                <w14:ligatures w14:val="none"/>
              </w:rPr>
              <w:t>5. Conclusion</w:t>
            </w:r>
            <w:r w:rsidRPr="001A3AE3">
              <w:rPr>
                <w:rFonts w:ascii="Times New Roman" w:eastAsia="Times New Roman" w:hAnsi="Times New Roman"/>
                <w:noProof/>
                <w:webHidden/>
                <w:kern w:val="0"/>
                <w:szCs w:val="22"/>
                <w:lang w:val="en-US" w:eastAsia="en-US"/>
                <w14:ligatures w14:val="none"/>
              </w:rPr>
              <w:tab/>
            </w:r>
            <w:r w:rsidRPr="001A3AE3">
              <w:rPr>
                <w:rFonts w:ascii="Times New Roman" w:eastAsia="Times New Roman" w:hAnsi="Times New Roman"/>
                <w:noProof/>
                <w:webHidden/>
                <w:kern w:val="0"/>
                <w:szCs w:val="22"/>
                <w:lang w:val="en-US" w:eastAsia="en-US"/>
                <w14:ligatures w14:val="none"/>
              </w:rPr>
              <w:fldChar w:fldCharType="begin"/>
            </w:r>
            <w:r w:rsidRPr="001A3AE3">
              <w:rPr>
                <w:rFonts w:ascii="Times New Roman" w:eastAsia="Times New Roman" w:hAnsi="Times New Roman"/>
                <w:noProof/>
                <w:webHidden/>
                <w:kern w:val="0"/>
                <w:szCs w:val="22"/>
                <w:lang w:val="en-US" w:eastAsia="en-US"/>
                <w14:ligatures w14:val="none"/>
              </w:rPr>
              <w:instrText xml:space="preserve"> PAGEREF _Toc227655434 \h </w:instrText>
            </w:r>
            <w:r w:rsidRPr="001A3AE3">
              <w:rPr>
                <w:rFonts w:ascii="Times New Roman" w:eastAsia="Times New Roman" w:hAnsi="Times New Roman"/>
                <w:noProof/>
                <w:webHidden/>
                <w:kern w:val="0"/>
                <w:szCs w:val="22"/>
                <w:lang w:val="en-US" w:eastAsia="en-US"/>
                <w14:ligatures w14:val="none"/>
              </w:rPr>
            </w:r>
            <w:r w:rsidRPr="001A3AE3">
              <w:rPr>
                <w:rFonts w:ascii="Times New Roman" w:eastAsia="Times New Roman" w:hAnsi="Times New Roman"/>
                <w:noProof/>
                <w:webHidden/>
                <w:kern w:val="0"/>
                <w:szCs w:val="22"/>
                <w:lang w:val="en-US" w:eastAsia="en-US"/>
                <w14:ligatures w14:val="none"/>
              </w:rPr>
              <w:fldChar w:fldCharType="separate"/>
            </w:r>
            <w:r w:rsidRPr="001A3AE3">
              <w:rPr>
                <w:rFonts w:ascii="Times New Roman" w:eastAsia="Times New Roman" w:hAnsi="Times New Roman"/>
                <w:noProof/>
                <w:webHidden/>
                <w:kern w:val="0"/>
                <w:szCs w:val="22"/>
                <w:lang w:val="en-US" w:eastAsia="en-US"/>
                <w14:ligatures w14:val="none"/>
              </w:rPr>
              <w:t>21</w:t>
            </w:r>
            <w:r w:rsidRPr="001A3AE3">
              <w:rPr>
                <w:rFonts w:ascii="Times New Roman" w:eastAsia="Times New Roman" w:hAnsi="Times New Roman"/>
                <w:noProof/>
                <w:webHidden/>
                <w:kern w:val="0"/>
                <w:szCs w:val="22"/>
                <w:lang w:val="en-US" w:eastAsia="en-US"/>
                <w14:ligatures w14:val="none"/>
              </w:rPr>
              <w:fldChar w:fldCharType="end"/>
            </w:r>
          </w:hyperlink>
        </w:p>
        <w:p w14:paraId="58420B10" w14:textId="77777777" w:rsidR="001A3AE3" w:rsidRPr="001A3AE3" w:rsidRDefault="001A3AE3" w:rsidP="001A3AE3">
          <w:pPr>
            <w:tabs>
              <w:tab w:val="right" w:leader="dot" w:pos="9350"/>
            </w:tabs>
            <w:spacing w:after="100" w:line="276" w:lineRule="auto"/>
            <w:rPr>
              <w:noProof/>
              <w:lang w:val="en-IN" w:eastAsia="en-IN"/>
            </w:rPr>
          </w:pPr>
          <w:hyperlink w:anchor="_Toc227655435" w:history="1">
            <w:r w:rsidRPr="001A3AE3">
              <w:rPr>
                <w:rFonts w:ascii="Times New Roman" w:eastAsia="Times New Roman" w:hAnsi="Times New Roman"/>
                <w:noProof/>
                <w:color w:val="467886" w:themeColor="hyperlink"/>
                <w:kern w:val="0"/>
                <w:szCs w:val="22"/>
                <w:u w:val="single"/>
                <w:lang w:val="en-US" w:eastAsia="en-US"/>
                <w14:ligatures w14:val="none"/>
              </w:rPr>
              <w:t>Section 2: Reflective account using Gibbs’ cycle</w:t>
            </w:r>
            <w:r w:rsidRPr="001A3AE3">
              <w:rPr>
                <w:rFonts w:ascii="Times New Roman" w:eastAsia="Times New Roman" w:hAnsi="Times New Roman"/>
                <w:noProof/>
                <w:webHidden/>
                <w:kern w:val="0"/>
                <w:szCs w:val="22"/>
                <w:lang w:val="en-US" w:eastAsia="en-US"/>
                <w14:ligatures w14:val="none"/>
              </w:rPr>
              <w:tab/>
            </w:r>
            <w:r w:rsidRPr="001A3AE3">
              <w:rPr>
                <w:rFonts w:ascii="Times New Roman" w:eastAsia="Times New Roman" w:hAnsi="Times New Roman"/>
                <w:noProof/>
                <w:webHidden/>
                <w:kern w:val="0"/>
                <w:szCs w:val="22"/>
                <w:lang w:val="en-US" w:eastAsia="en-US"/>
                <w14:ligatures w14:val="none"/>
              </w:rPr>
              <w:fldChar w:fldCharType="begin"/>
            </w:r>
            <w:r w:rsidRPr="001A3AE3">
              <w:rPr>
                <w:rFonts w:ascii="Times New Roman" w:eastAsia="Times New Roman" w:hAnsi="Times New Roman"/>
                <w:noProof/>
                <w:webHidden/>
                <w:kern w:val="0"/>
                <w:szCs w:val="22"/>
                <w:lang w:val="en-US" w:eastAsia="en-US"/>
                <w14:ligatures w14:val="none"/>
              </w:rPr>
              <w:instrText xml:space="preserve"> PAGEREF _Toc227655435 \h </w:instrText>
            </w:r>
            <w:r w:rsidRPr="001A3AE3">
              <w:rPr>
                <w:rFonts w:ascii="Times New Roman" w:eastAsia="Times New Roman" w:hAnsi="Times New Roman"/>
                <w:noProof/>
                <w:webHidden/>
                <w:kern w:val="0"/>
                <w:szCs w:val="22"/>
                <w:lang w:val="en-US" w:eastAsia="en-US"/>
                <w14:ligatures w14:val="none"/>
              </w:rPr>
            </w:r>
            <w:r w:rsidRPr="001A3AE3">
              <w:rPr>
                <w:rFonts w:ascii="Times New Roman" w:eastAsia="Times New Roman" w:hAnsi="Times New Roman"/>
                <w:noProof/>
                <w:webHidden/>
                <w:kern w:val="0"/>
                <w:szCs w:val="22"/>
                <w:lang w:val="en-US" w:eastAsia="en-US"/>
                <w14:ligatures w14:val="none"/>
              </w:rPr>
              <w:fldChar w:fldCharType="separate"/>
            </w:r>
            <w:r w:rsidRPr="001A3AE3">
              <w:rPr>
                <w:rFonts w:ascii="Times New Roman" w:eastAsia="Times New Roman" w:hAnsi="Times New Roman"/>
                <w:noProof/>
                <w:webHidden/>
                <w:kern w:val="0"/>
                <w:szCs w:val="22"/>
                <w:lang w:val="en-US" w:eastAsia="en-US"/>
                <w14:ligatures w14:val="none"/>
              </w:rPr>
              <w:t>21</w:t>
            </w:r>
            <w:r w:rsidRPr="001A3AE3">
              <w:rPr>
                <w:rFonts w:ascii="Times New Roman" w:eastAsia="Times New Roman" w:hAnsi="Times New Roman"/>
                <w:noProof/>
                <w:webHidden/>
                <w:kern w:val="0"/>
                <w:szCs w:val="22"/>
                <w:lang w:val="en-US" w:eastAsia="en-US"/>
                <w14:ligatures w14:val="none"/>
              </w:rPr>
              <w:fldChar w:fldCharType="end"/>
            </w:r>
          </w:hyperlink>
        </w:p>
        <w:p w14:paraId="78AF51FB" w14:textId="77777777" w:rsidR="001A3AE3" w:rsidRPr="001A3AE3" w:rsidRDefault="001A3AE3" w:rsidP="001A3AE3">
          <w:pPr>
            <w:tabs>
              <w:tab w:val="right" w:leader="dot" w:pos="9350"/>
            </w:tabs>
            <w:spacing w:after="100" w:line="276" w:lineRule="auto"/>
            <w:rPr>
              <w:noProof/>
              <w:lang w:val="en-IN" w:eastAsia="en-IN"/>
            </w:rPr>
          </w:pPr>
          <w:hyperlink w:anchor="_Toc227655436" w:history="1">
            <w:r w:rsidRPr="001A3AE3">
              <w:rPr>
                <w:rFonts w:ascii="Times New Roman" w:eastAsia="Times New Roman" w:hAnsi="Times New Roman"/>
                <w:noProof/>
                <w:color w:val="467886" w:themeColor="hyperlink"/>
                <w:kern w:val="0"/>
                <w:szCs w:val="22"/>
                <w:u w:val="single"/>
                <w:lang w:val="en-US" w:eastAsia="en-US"/>
                <w14:ligatures w14:val="none"/>
              </w:rPr>
              <w:t>References</w:t>
            </w:r>
            <w:r w:rsidRPr="001A3AE3">
              <w:rPr>
                <w:rFonts w:ascii="Times New Roman" w:eastAsia="Times New Roman" w:hAnsi="Times New Roman"/>
                <w:noProof/>
                <w:webHidden/>
                <w:kern w:val="0"/>
                <w:szCs w:val="22"/>
                <w:lang w:val="en-US" w:eastAsia="en-US"/>
                <w14:ligatures w14:val="none"/>
              </w:rPr>
              <w:tab/>
            </w:r>
            <w:r w:rsidRPr="001A3AE3">
              <w:rPr>
                <w:rFonts w:ascii="Times New Roman" w:eastAsia="Times New Roman" w:hAnsi="Times New Roman"/>
                <w:noProof/>
                <w:webHidden/>
                <w:kern w:val="0"/>
                <w:szCs w:val="22"/>
                <w:lang w:val="en-US" w:eastAsia="en-US"/>
                <w14:ligatures w14:val="none"/>
              </w:rPr>
              <w:fldChar w:fldCharType="begin"/>
            </w:r>
            <w:r w:rsidRPr="001A3AE3">
              <w:rPr>
                <w:rFonts w:ascii="Times New Roman" w:eastAsia="Times New Roman" w:hAnsi="Times New Roman"/>
                <w:noProof/>
                <w:webHidden/>
                <w:kern w:val="0"/>
                <w:szCs w:val="22"/>
                <w:lang w:val="en-US" w:eastAsia="en-US"/>
                <w14:ligatures w14:val="none"/>
              </w:rPr>
              <w:instrText xml:space="preserve"> PAGEREF _Toc227655436 \h </w:instrText>
            </w:r>
            <w:r w:rsidRPr="001A3AE3">
              <w:rPr>
                <w:rFonts w:ascii="Times New Roman" w:eastAsia="Times New Roman" w:hAnsi="Times New Roman"/>
                <w:noProof/>
                <w:webHidden/>
                <w:kern w:val="0"/>
                <w:szCs w:val="22"/>
                <w:lang w:val="en-US" w:eastAsia="en-US"/>
                <w14:ligatures w14:val="none"/>
              </w:rPr>
            </w:r>
            <w:r w:rsidRPr="001A3AE3">
              <w:rPr>
                <w:rFonts w:ascii="Times New Roman" w:eastAsia="Times New Roman" w:hAnsi="Times New Roman"/>
                <w:noProof/>
                <w:webHidden/>
                <w:kern w:val="0"/>
                <w:szCs w:val="22"/>
                <w:lang w:val="en-US" w:eastAsia="en-US"/>
                <w14:ligatures w14:val="none"/>
              </w:rPr>
              <w:fldChar w:fldCharType="separate"/>
            </w:r>
            <w:r w:rsidRPr="001A3AE3">
              <w:rPr>
                <w:rFonts w:ascii="Times New Roman" w:eastAsia="Times New Roman" w:hAnsi="Times New Roman"/>
                <w:noProof/>
                <w:webHidden/>
                <w:kern w:val="0"/>
                <w:szCs w:val="22"/>
                <w:lang w:val="en-US" w:eastAsia="en-US"/>
                <w14:ligatures w14:val="none"/>
              </w:rPr>
              <w:t>25</w:t>
            </w:r>
            <w:r w:rsidRPr="001A3AE3">
              <w:rPr>
                <w:rFonts w:ascii="Times New Roman" w:eastAsia="Times New Roman" w:hAnsi="Times New Roman"/>
                <w:noProof/>
                <w:webHidden/>
                <w:kern w:val="0"/>
                <w:szCs w:val="22"/>
                <w:lang w:val="en-US" w:eastAsia="en-US"/>
                <w14:ligatures w14:val="none"/>
              </w:rPr>
              <w:fldChar w:fldCharType="end"/>
            </w:r>
          </w:hyperlink>
        </w:p>
        <w:p w14:paraId="78E8FCF8" w14:textId="77777777" w:rsidR="001A3AE3" w:rsidRPr="001A3AE3" w:rsidRDefault="001A3AE3" w:rsidP="001A3AE3">
          <w:pPr>
            <w:spacing w:after="200" w:line="276" w:lineRule="auto"/>
            <w:rPr>
              <w:rFonts w:ascii="Times New Roman" w:eastAsia="Times New Roman" w:hAnsi="Times New Roman"/>
              <w:kern w:val="0"/>
              <w:szCs w:val="22"/>
              <w:lang w:val="en-US" w:eastAsia="en-US"/>
              <w14:ligatures w14:val="none"/>
            </w:rPr>
          </w:pPr>
          <w:r w:rsidRPr="001A3AE3">
            <w:rPr>
              <w:rFonts w:ascii="Times New Roman" w:eastAsia="Times New Roman" w:hAnsi="Times New Roman"/>
              <w:b/>
              <w:bCs/>
              <w:noProof/>
              <w:kern w:val="0"/>
              <w:szCs w:val="22"/>
              <w:lang w:val="en-US" w:eastAsia="en-US"/>
              <w14:ligatures w14:val="none"/>
            </w:rPr>
            <w:fldChar w:fldCharType="end"/>
          </w:r>
        </w:p>
      </w:sdtContent>
    </w:sdt>
    <w:p w14:paraId="1D3DC0CA" w14:textId="77777777" w:rsidR="001A3AE3" w:rsidRPr="001A3AE3" w:rsidRDefault="001A3AE3" w:rsidP="001A3AE3">
      <w:pPr>
        <w:spacing w:after="200" w:line="276" w:lineRule="auto"/>
        <w:rPr>
          <w:rFonts w:ascii="Times New Roman" w:eastAsia="Times New Roman" w:hAnsi="Times New Roman" w:cstheme="majorBidi"/>
          <w:b/>
          <w:bCs/>
          <w:color w:val="000000"/>
          <w:kern w:val="0"/>
          <w:sz w:val="26"/>
          <w:szCs w:val="28"/>
          <w:lang w:val="en-US" w:eastAsia="en-US"/>
          <w14:ligatures w14:val="none"/>
        </w:rPr>
      </w:pPr>
      <w:r w:rsidRPr="001A3AE3">
        <w:rPr>
          <w:rFonts w:ascii="Times New Roman" w:eastAsia="Times New Roman" w:hAnsi="Times New Roman"/>
          <w:kern w:val="0"/>
          <w:szCs w:val="22"/>
          <w:lang w:val="en-US" w:eastAsia="en-US"/>
          <w14:ligatures w14:val="none"/>
        </w:rPr>
        <w:br w:type="page"/>
      </w:r>
    </w:p>
    <w:p w14:paraId="6519C140" w14:textId="77777777" w:rsidR="001A3AE3" w:rsidRPr="001A3AE3" w:rsidRDefault="001A3AE3" w:rsidP="001A3AE3">
      <w:pPr>
        <w:keepNext/>
        <w:keepLines/>
        <w:spacing w:before="240" w:after="240" w:line="480" w:lineRule="auto"/>
        <w:outlineLvl w:val="0"/>
        <w:rPr>
          <w:rFonts w:asciiTheme="majorHAnsi" w:eastAsiaTheme="majorEastAsia" w:hAnsiTheme="majorHAnsi" w:cstheme="majorBidi"/>
          <w:b/>
          <w:bCs/>
          <w:color w:val="000000"/>
          <w:kern w:val="0"/>
          <w:sz w:val="26"/>
          <w:szCs w:val="28"/>
          <w:lang w:val="en-US" w:eastAsia="en-US"/>
          <w14:ligatures w14:val="none"/>
        </w:rPr>
      </w:pPr>
      <w:bookmarkStart w:id="0" w:name="_Toc227655421"/>
      <w:r w:rsidRPr="001A3AE3">
        <w:rPr>
          <w:rFonts w:ascii="Times New Roman" w:eastAsia="Times New Roman" w:hAnsi="Times New Roman" w:cstheme="majorBidi"/>
          <w:b/>
          <w:bCs/>
          <w:color w:val="000000"/>
          <w:kern w:val="0"/>
          <w:sz w:val="26"/>
          <w:szCs w:val="28"/>
          <w:lang w:val="en-US" w:eastAsia="en-US"/>
          <w14:ligatures w14:val="none"/>
        </w:rPr>
        <w:lastRenderedPageBreak/>
        <w:t>Section 1: International business report</w:t>
      </w:r>
      <w:bookmarkEnd w:id="0"/>
    </w:p>
    <w:p w14:paraId="2817931C" w14:textId="77777777" w:rsidR="001A3AE3" w:rsidRPr="001A3AE3" w:rsidRDefault="001A3AE3" w:rsidP="001A3AE3">
      <w:pPr>
        <w:keepNext/>
        <w:keepLines/>
        <w:spacing w:before="240" w:after="240" w:line="480" w:lineRule="auto"/>
        <w:outlineLvl w:val="1"/>
        <w:rPr>
          <w:rFonts w:asciiTheme="majorHAnsi" w:eastAsiaTheme="majorEastAsia" w:hAnsiTheme="majorHAnsi" w:cstheme="majorBidi"/>
          <w:b/>
          <w:bCs/>
          <w:color w:val="000000"/>
          <w:kern w:val="0"/>
          <w:szCs w:val="26"/>
          <w:lang w:val="en-US" w:eastAsia="en-US"/>
          <w14:ligatures w14:val="none"/>
        </w:rPr>
      </w:pPr>
      <w:bookmarkStart w:id="1" w:name="_Toc227655422"/>
      <w:r w:rsidRPr="001A3AE3">
        <w:rPr>
          <w:rFonts w:ascii="Times New Roman" w:eastAsia="Times New Roman" w:hAnsi="Times New Roman" w:cstheme="majorBidi"/>
          <w:b/>
          <w:bCs/>
          <w:color w:val="000000"/>
          <w:kern w:val="0"/>
          <w:szCs w:val="26"/>
          <w:lang w:val="en-US" w:eastAsia="en-US"/>
          <w14:ligatures w14:val="none"/>
        </w:rPr>
        <w:t>1. Introduction</w:t>
      </w:r>
      <w:bookmarkEnd w:id="1"/>
    </w:p>
    <w:p w14:paraId="2B73715D" w14:textId="77777777" w:rsidR="001A3AE3" w:rsidRPr="001A3AE3" w:rsidRDefault="001A3AE3" w:rsidP="001A3AE3">
      <w:pPr>
        <w:spacing w:before="240" w:after="240" w:line="480" w:lineRule="auto"/>
        <w:jc w:val="both"/>
        <w:rPr>
          <w:rFonts w:ascii="Times New Roman" w:eastAsia="Times New Roman" w:hAnsi="Times New Roman"/>
          <w:kern w:val="0"/>
          <w:szCs w:val="22"/>
          <w:lang w:val="en-US" w:eastAsia="en-US"/>
          <w14:ligatures w14:val="none"/>
        </w:rPr>
      </w:pPr>
      <w:r w:rsidRPr="001A3AE3">
        <w:rPr>
          <w:rFonts w:ascii="Times New Roman" w:eastAsia="Times New Roman" w:hAnsi="Times New Roman"/>
          <w:kern w:val="0"/>
          <w:szCs w:val="22"/>
          <w:lang w:val="en-US" w:eastAsia="en-US"/>
          <w14:ligatures w14:val="none"/>
        </w:rPr>
        <w:t>In the United States, the </w:t>
      </w:r>
      <w:hyperlink r:id="rId6" w:tooltip="Automotive industry" w:history="1">
        <w:r w:rsidRPr="001A3AE3">
          <w:rPr>
            <w:rFonts w:ascii="Times New Roman" w:eastAsia="Times New Roman" w:hAnsi="Times New Roman"/>
            <w:kern w:val="0"/>
            <w:szCs w:val="22"/>
            <w:lang w:val="en-US" w:eastAsia="en-US"/>
            <w14:ligatures w14:val="none"/>
          </w:rPr>
          <w:t>automotive industry</w:t>
        </w:r>
      </w:hyperlink>
      <w:r w:rsidRPr="001A3AE3">
        <w:rPr>
          <w:rFonts w:ascii="Times New Roman" w:eastAsia="Times New Roman" w:hAnsi="Times New Roman"/>
          <w:kern w:val="0"/>
          <w:szCs w:val="22"/>
          <w:lang w:val="en-US" w:eastAsia="en-US"/>
          <w14:ligatures w14:val="none"/>
        </w:rPr>
        <w:t xml:space="preserve"> began in the 1890s and, as a result of the size of the domestic market and the use of mass production, rapidly evolved into the largest in the world. The report concentrates on the United States in terms of country setting as well as Toyota in terms of the target foreign MNC and still maintains the automobile industry as the chosen industry. The United States is an excellent option to consider in an international business analysis due to its high income consumer market size in the world, a rich industrial base, a dynamic policy environment and stiff competition amongst domestic and foreign automobile companies. Toyota is an especially convenient example as it is not a fringe contender in the U.S. marketplace; it is a major player that has developed sales momentum, production capacity and brand loyalty and acclimated to electrification, </w:t>
      </w:r>
      <w:proofErr w:type="spellStart"/>
      <w:r w:rsidRPr="001A3AE3">
        <w:rPr>
          <w:rFonts w:ascii="Times New Roman" w:eastAsia="Times New Roman" w:hAnsi="Times New Roman"/>
          <w:kern w:val="0"/>
          <w:szCs w:val="22"/>
          <w:lang w:val="en-US" w:eastAsia="en-US"/>
          <w14:ligatures w14:val="none"/>
        </w:rPr>
        <w:t>localisation</w:t>
      </w:r>
      <w:proofErr w:type="spellEnd"/>
      <w:r w:rsidRPr="001A3AE3">
        <w:rPr>
          <w:rFonts w:ascii="Times New Roman" w:eastAsia="Times New Roman" w:hAnsi="Times New Roman"/>
          <w:kern w:val="0"/>
          <w:szCs w:val="22"/>
          <w:lang w:val="en-US" w:eastAsia="en-US"/>
          <w14:ligatures w14:val="none"/>
        </w:rPr>
        <w:t xml:space="preserve"> and regulatory demands. This report thus assesses the U.S. automobile industry based on country-and-industry overview, Diamond Model provided by Porter and a detailed examination of the operating environment of Toyota and its probable success factors. The report also takes a reflexive approach to the research process based on Gibbs cycle and uses only the latest, free sources published since 2020.</w:t>
      </w:r>
    </w:p>
    <w:p w14:paraId="06D0CE9C" w14:textId="77777777" w:rsidR="001A3AE3" w:rsidRPr="001A3AE3" w:rsidRDefault="001A3AE3" w:rsidP="001A3AE3">
      <w:pPr>
        <w:keepNext/>
        <w:keepLines/>
        <w:spacing w:before="240" w:after="240" w:line="480" w:lineRule="auto"/>
        <w:outlineLvl w:val="1"/>
        <w:rPr>
          <w:rFonts w:asciiTheme="majorHAnsi" w:eastAsiaTheme="majorEastAsia" w:hAnsiTheme="majorHAnsi" w:cstheme="majorBidi"/>
          <w:b/>
          <w:bCs/>
          <w:color w:val="000000"/>
          <w:kern w:val="0"/>
          <w:szCs w:val="26"/>
          <w:lang w:val="en-US" w:eastAsia="en-US"/>
          <w14:ligatures w14:val="none"/>
        </w:rPr>
      </w:pPr>
      <w:bookmarkStart w:id="2" w:name="_Toc227655423"/>
      <w:r w:rsidRPr="001A3AE3">
        <w:rPr>
          <w:rFonts w:ascii="Times New Roman" w:eastAsia="Times New Roman" w:hAnsi="Times New Roman" w:cstheme="majorBidi"/>
          <w:b/>
          <w:bCs/>
          <w:color w:val="000000"/>
          <w:kern w:val="0"/>
          <w:szCs w:val="26"/>
          <w:lang w:val="en-US" w:eastAsia="en-US"/>
          <w14:ligatures w14:val="none"/>
        </w:rPr>
        <w:t>2. Industry and country overview</w:t>
      </w:r>
      <w:bookmarkEnd w:id="2"/>
    </w:p>
    <w:p w14:paraId="1392F7A3" w14:textId="77777777" w:rsidR="001A3AE3" w:rsidRPr="001A3AE3" w:rsidRDefault="001A3AE3" w:rsidP="001A3AE3">
      <w:pPr>
        <w:keepNext/>
        <w:keepLines/>
        <w:spacing w:before="240" w:after="240" w:line="480" w:lineRule="auto"/>
        <w:outlineLvl w:val="1"/>
        <w:rPr>
          <w:rFonts w:asciiTheme="majorHAnsi" w:eastAsiaTheme="majorEastAsia" w:hAnsiTheme="majorHAnsi" w:cstheme="majorBidi"/>
          <w:b/>
          <w:bCs/>
          <w:color w:val="000000"/>
          <w:kern w:val="0"/>
          <w:szCs w:val="26"/>
          <w:lang w:val="en-US" w:eastAsia="en-US"/>
          <w14:ligatures w14:val="none"/>
        </w:rPr>
      </w:pPr>
      <w:bookmarkStart w:id="3" w:name="_Toc227655424"/>
      <w:r w:rsidRPr="001A3AE3">
        <w:rPr>
          <w:rFonts w:ascii="Times New Roman" w:eastAsia="Times New Roman" w:hAnsi="Times New Roman" w:cstheme="majorBidi"/>
          <w:b/>
          <w:bCs/>
          <w:color w:val="000000"/>
          <w:kern w:val="0"/>
          <w:szCs w:val="26"/>
          <w:lang w:val="en-US" w:eastAsia="en-US"/>
          <w14:ligatures w14:val="none"/>
        </w:rPr>
        <w:t>2.1 U.S. as a business location</w:t>
      </w:r>
      <w:bookmarkEnd w:id="3"/>
    </w:p>
    <w:p w14:paraId="0832EE34" w14:textId="77777777" w:rsidR="001A3AE3" w:rsidRPr="001A3AE3" w:rsidRDefault="001A3AE3" w:rsidP="001A3AE3">
      <w:pPr>
        <w:spacing w:before="240" w:after="240" w:line="480" w:lineRule="auto"/>
        <w:jc w:val="both"/>
        <w:rPr>
          <w:rFonts w:ascii="Times New Roman" w:eastAsia="Times New Roman" w:hAnsi="Times New Roman"/>
          <w:kern w:val="0"/>
          <w:szCs w:val="22"/>
          <w:lang w:val="en-US" w:eastAsia="en-US"/>
          <w14:ligatures w14:val="none"/>
        </w:rPr>
      </w:pPr>
      <w:r w:rsidRPr="001A3AE3">
        <w:rPr>
          <w:rFonts w:ascii="Times New Roman" w:eastAsia="Times New Roman" w:hAnsi="Times New Roman"/>
          <w:kern w:val="0"/>
          <w:szCs w:val="22"/>
          <w:lang w:val="en-US" w:eastAsia="en-US"/>
          <w14:ligatures w14:val="none"/>
        </w:rPr>
        <w:t xml:space="preserve">U.S. automotive industry is not narrowly defined but broad. The automotive industry is classified by the Bureau of Labor Statistics as a cluster that encompasses vehicle manufacturing, parts manufacturing, wholesaling, retailing and repair activities, which is significant since competitiveness is produced at the entire ecosystem, and not within assembly </w:t>
      </w:r>
      <w:r w:rsidRPr="001A3AE3">
        <w:rPr>
          <w:rFonts w:ascii="Times New Roman" w:eastAsia="Times New Roman" w:hAnsi="Times New Roman"/>
          <w:kern w:val="0"/>
          <w:szCs w:val="22"/>
          <w:lang w:val="en-US" w:eastAsia="en-US"/>
          <w14:ligatures w14:val="none"/>
        </w:rPr>
        <w:lastRenderedPageBreak/>
        <w:t>plants only (BLS, 2026). The broader lens is important in the United States as the industry is underpinned by a rich geography of OEMs, supply chains, logistics hubs, dealers, financing providers, charging operators and research facilities. The industry is more than a manufacturing industry; it is also a retail, service and technology system, which determines jobs, trade flows and spillovers in innovation across states like Michigan, Kentucky, Tennessee, Texas and California (BLS, 2026).</w:t>
      </w:r>
    </w:p>
    <w:p w14:paraId="24E8E708" w14:textId="77777777" w:rsidR="001A3AE3" w:rsidRPr="001A3AE3" w:rsidRDefault="001A3AE3" w:rsidP="001A3AE3">
      <w:pPr>
        <w:spacing w:before="240" w:after="240" w:line="480" w:lineRule="auto"/>
        <w:jc w:val="both"/>
        <w:rPr>
          <w:rFonts w:ascii="Times New Roman" w:eastAsia="Times New Roman" w:hAnsi="Times New Roman"/>
          <w:kern w:val="0"/>
          <w:szCs w:val="22"/>
          <w:lang w:val="en-US" w:eastAsia="en-US"/>
          <w14:ligatures w14:val="none"/>
        </w:rPr>
      </w:pPr>
      <w:r w:rsidRPr="001A3AE3">
        <w:rPr>
          <w:rFonts w:ascii="Times New Roman" w:eastAsia="Times New Roman" w:hAnsi="Times New Roman"/>
          <w:kern w:val="0"/>
          <w:szCs w:val="22"/>
          <w:lang w:val="en-US" w:eastAsia="en-US"/>
          <w14:ligatures w14:val="none"/>
        </w:rPr>
        <w:t>Trade and productivity are also important to the sector in terms of their economic significance. According to the Bureau of Economic Analysis, automotive vehicles, parts and engines continued to be a significant element of U.S. goods trade through 2024, and USTR 2024 autos report highlighted that the North American automotive industry has received billions of dollars of investment under USMCA, although the impact of the pandemic has disrupted the industry and Russia continues its war with Ukraine and concentration of supply chains outside of North America ( It implies that the industry is not only useful in making cars sales; it is a key element in U.S. industrial policy, regional economic stability, and employment. Analytically, the U.S. auto economy can be regarded as a high-value and policy-sensitive ecosystem, where the future relies on how rapidly companies can turn to a mobility economy based on software and batteries, rather than a combustion-based economy.</w:t>
      </w:r>
    </w:p>
    <w:p w14:paraId="15F3E2D8" w14:textId="77777777" w:rsidR="001A3AE3" w:rsidRPr="001A3AE3" w:rsidRDefault="001A3AE3" w:rsidP="001A3AE3">
      <w:pPr>
        <w:spacing w:before="120" w:after="120" w:line="276" w:lineRule="auto"/>
        <w:jc w:val="center"/>
        <w:rPr>
          <w:rFonts w:ascii="Times New Roman" w:eastAsia="Times New Roman" w:hAnsi="Times New Roman"/>
          <w:kern w:val="0"/>
          <w:szCs w:val="22"/>
          <w:lang w:val="en-US" w:eastAsia="en-US"/>
          <w14:ligatures w14:val="none"/>
        </w:rPr>
      </w:pPr>
      <w:r w:rsidRPr="001A3AE3">
        <w:rPr>
          <w:rFonts w:ascii="Times New Roman" w:eastAsia="Times New Roman" w:hAnsi="Times New Roman"/>
          <w:noProof/>
          <w:kern w:val="0"/>
          <w:szCs w:val="22"/>
          <w:lang w:val="en-US" w:eastAsia="en-US"/>
          <w14:ligatures w14:val="none"/>
        </w:rPr>
        <w:lastRenderedPageBreak/>
        <w:drawing>
          <wp:inline distT="0" distB="0" distL="0" distR="0" wp14:anchorId="4F42C093" wp14:editId="4EE2B519">
            <wp:extent cx="6035040" cy="33947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1.png"/>
                    <pic:cNvPicPr/>
                  </pic:nvPicPr>
                  <pic:blipFill>
                    <a:blip r:embed="rId7"/>
                    <a:stretch>
                      <a:fillRect/>
                    </a:stretch>
                  </pic:blipFill>
                  <pic:spPr>
                    <a:xfrm>
                      <a:off x="0" y="0"/>
                      <a:ext cx="6035040" cy="3394710"/>
                    </a:xfrm>
                    <a:prstGeom prst="rect">
                      <a:avLst/>
                    </a:prstGeom>
                  </pic:spPr>
                </pic:pic>
              </a:graphicData>
            </a:graphic>
          </wp:inline>
        </w:drawing>
      </w:r>
    </w:p>
    <w:p w14:paraId="48523024" w14:textId="77777777" w:rsidR="001A3AE3" w:rsidRPr="001A3AE3" w:rsidRDefault="001A3AE3" w:rsidP="001A3AE3">
      <w:pPr>
        <w:spacing w:before="120" w:after="120" w:line="480" w:lineRule="auto"/>
        <w:jc w:val="center"/>
        <w:rPr>
          <w:rFonts w:ascii="Times New Roman" w:eastAsia="Times New Roman" w:hAnsi="Times New Roman"/>
          <w:kern w:val="0"/>
          <w:szCs w:val="22"/>
          <w:lang w:val="en-US" w:eastAsia="en-US"/>
          <w14:ligatures w14:val="none"/>
        </w:rPr>
      </w:pPr>
      <w:r w:rsidRPr="001A3AE3">
        <w:rPr>
          <w:rFonts w:ascii="Times New Roman" w:eastAsia="Times New Roman" w:hAnsi="Times New Roman"/>
          <w:b/>
          <w:color w:val="000000"/>
          <w:kern w:val="0"/>
          <w:szCs w:val="22"/>
          <w:lang w:val="en-US" w:eastAsia="en-US"/>
          <w14:ligatures w14:val="none"/>
        </w:rPr>
        <w:t>Figure 1: U.S. automobile ecosystem and value chain</w:t>
      </w:r>
    </w:p>
    <w:p w14:paraId="140DAD59" w14:textId="77777777" w:rsidR="001A3AE3" w:rsidRPr="001A3AE3" w:rsidRDefault="001A3AE3" w:rsidP="001A3AE3">
      <w:pPr>
        <w:spacing w:before="240" w:after="240" w:line="480" w:lineRule="auto"/>
        <w:jc w:val="both"/>
        <w:rPr>
          <w:rFonts w:ascii="Times New Roman" w:eastAsia="Times New Roman" w:hAnsi="Times New Roman"/>
          <w:kern w:val="0"/>
          <w:szCs w:val="22"/>
          <w:lang w:val="en-US" w:eastAsia="en-US"/>
          <w14:ligatures w14:val="none"/>
        </w:rPr>
      </w:pPr>
      <w:r w:rsidRPr="001A3AE3">
        <w:rPr>
          <w:rFonts w:ascii="Times New Roman" w:eastAsia="Times New Roman" w:hAnsi="Times New Roman"/>
          <w:kern w:val="0"/>
          <w:szCs w:val="22"/>
          <w:lang w:val="en-US" w:eastAsia="en-US"/>
          <w14:ligatures w14:val="none"/>
        </w:rPr>
        <w:t>The reason why the U.S. market is enticing and difficult is revealed in Figure 1: Toyota needs to synchronize demand, suppliers, dealers, finance, regulation and infrastructure rather than considering the market to be a mere sales territory. It is also through this ecosystem logic that local production and local legitimacy are so important in the United States.</w:t>
      </w:r>
    </w:p>
    <w:p w14:paraId="6BBFE1C2" w14:textId="77777777" w:rsidR="001A3AE3" w:rsidRPr="001A3AE3" w:rsidRDefault="001A3AE3" w:rsidP="001A3AE3">
      <w:pPr>
        <w:keepNext/>
        <w:keepLines/>
        <w:spacing w:before="240" w:after="240" w:line="480" w:lineRule="auto"/>
        <w:outlineLvl w:val="1"/>
        <w:rPr>
          <w:rFonts w:asciiTheme="majorHAnsi" w:eastAsiaTheme="majorEastAsia" w:hAnsiTheme="majorHAnsi" w:cstheme="majorBidi"/>
          <w:b/>
          <w:bCs/>
          <w:color w:val="000000"/>
          <w:kern w:val="0"/>
          <w:szCs w:val="26"/>
          <w:lang w:val="en-US" w:eastAsia="en-US"/>
          <w14:ligatures w14:val="none"/>
        </w:rPr>
      </w:pPr>
      <w:bookmarkStart w:id="4" w:name="_Toc227655425"/>
      <w:r w:rsidRPr="001A3AE3">
        <w:rPr>
          <w:rFonts w:ascii="Times New Roman" w:eastAsia="Times New Roman" w:hAnsi="Times New Roman" w:cstheme="majorBidi"/>
          <w:b/>
          <w:bCs/>
          <w:color w:val="000000"/>
          <w:kern w:val="0"/>
          <w:szCs w:val="26"/>
          <w:lang w:val="en-US" w:eastAsia="en-US"/>
          <w14:ligatures w14:val="none"/>
        </w:rPr>
        <w:t>2.2 Size, scope and economic importance</w:t>
      </w:r>
      <w:bookmarkEnd w:id="4"/>
    </w:p>
    <w:p w14:paraId="3B44B2AF" w14:textId="77777777" w:rsidR="001A3AE3" w:rsidRPr="001A3AE3" w:rsidRDefault="001A3AE3" w:rsidP="001A3AE3">
      <w:pPr>
        <w:spacing w:before="240" w:after="240" w:line="480" w:lineRule="auto"/>
        <w:jc w:val="both"/>
        <w:rPr>
          <w:rFonts w:ascii="Times New Roman" w:eastAsia="Times New Roman" w:hAnsi="Times New Roman"/>
          <w:kern w:val="0"/>
          <w:szCs w:val="22"/>
          <w:lang w:val="en-US" w:eastAsia="en-US"/>
          <w14:ligatures w14:val="none"/>
        </w:rPr>
      </w:pPr>
      <w:r w:rsidRPr="001A3AE3">
        <w:rPr>
          <w:rFonts w:ascii="Times New Roman" w:eastAsia="Times New Roman" w:hAnsi="Times New Roman"/>
          <w:kern w:val="0"/>
          <w:szCs w:val="22"/>
          <w:lang w:val="en-US" w:eastAsia="en-US"/>
          <w14:ligatures w14:val="none"/>
        </w:rPr>
        <w:t xml:space="preserve">On the scale, the sector is still economically important despite being in transition. According to the 2024 country statistics provided by OICA, the United States is a significant global producer whereas GM in its 2024 annual report claims that U.S. industry sales were 16.4 million units and GM sold 2.7 million cars in the United States with a market share of 16.5 per cent (OICA, 2025; General Motors, 202 In 2024, Toyota Motor North America recorded 2,332,623 U.S. sales of which 1,006,461 were electrified vehicles, which was 43.1 per cent of its total sales volume (Toyota Motor North America, 2025). Such numbers indicate that U.S. </w:t>
      </w:r>
      <w:r w:rsidRPr="001A3AE3">
        <w:rPr>
          <w:rFonts w:ascii="Times New Roman" w:eastAsia="Times New Roman" w:hAnsi="Times New Roman"/>
          <w:kern w:val="0"/>
          <w:szCs w:val="22"/>
          <w:lang w:val="en-US" w:eastAsia="en-US"/>
          <w14:ligatures w14:val="none"/>
        </w:rPr>
        <w:lastRenderedPageBreak/>
        <w:t>demand remains substantial enough to sustain a variety of top brands, yet competitive enough to penalize companies that fail to adapt their portfolios, financing and channel policies.</w:t>
      </w:r>
    </w:p>
    <w:p w14:paraId="5587A9EE" w14:textId="77777777" w:rsidR="001A3AE3" w:rsidRPr="001A3AE3" w:rsidRDefault="001A3AE3" w:rsidP="001A3AE3">
      <w:pPr>
        <w:spacing w:before="240" w:after="240" w:line="480" w:lineRule="auto"/>
        <w:jc w:val="both"/>
        <w:rPr>
          <w:rFonts w:ascii="Times New Roman" w:eastAsia="Times New Roman" w:hAnsi="Times New Roman"/>
          <w:kern w:val="0"/>
          <w:szCs w:val="22"/>
          <w:lang w:val="en-US" w:eastAsia="en-US"/>
          <w14:ligatures w14:val="none"/>
        </w:rPr>
      </w:pPr>
      <w:r w:rsidRPr="001A3AE3">
        <w:rPr>
          <w:rFonts w:ascii="Times New Roman" w:eastAsia="Times New Roman" w:hAnsi="Times New Roman"/>
          <w:kern w:val="0"/>
          <w:szCs w:val="22"/>
          <w:lang w:val="en-US" w:eastAsia="en-US"/>
          <w14:ligatures w14:val="none"/>
        </w:rPr>
        <w:t xml:space="preserve">Strategy, structure and rivalry are stiff in the United States and this is one of the reasons why the industry is innovative. The local companies are competitive among themselves, whereas the foreign companies are competitive on the basis of </w:t>
      </w:r>
      <w:proofErr w:type="spellStart"/>
      <w:r w:rsidRPr="001A3AE3">
        <w:rPr>
          <w:rFonts w:ascii="Times New Roman" w:eastAsia="Times New Roman" w:hAnsi="Times New Roman"/>
          <w:kern w:val="0"/>
          <w:szCs w:val="22"/>
          <w:lang w:val="en-US" w:eastAsia="en-US"/>
          <w14:ligatures w14:val="none"/>
        </w:rPr>
        <w:t>localisation</w:t>
      </w:r>
      <w:proofErr w:type="spellEnd"/>
      <w:r w:rsidRPr="001A3AE3">
        <w:rPr>
          <w:rFonts w:ascii="Times New Roman" w:eastAsia="Times New Roman" w:hAnsi="Times New Roman"/>
          <w:kern w:val="0"/>
          <w:szCs w:val="22"/>
          <w:lang w:val="en-US" w:eastAsia="en-US"/>
          <w14:ligatures w14:val="none"/>
        </w:rPr>
        <w:t>, brand positioning and product mix. The annual report of GM (2024) reveals a very massive domestic market presence, and the strategy of Ford (2024) is all about trucks, commercial vehicles and developing electrified line-ups; Toyota (2025) focuses on value, electrified hybrids and product breadth; Honda (2024) focuses on loyalty and reliability; Hyundai (2025) focuses on style The outcome is a very dynamic yet expensive rivalry structure. Companies have to keep funding model updates, software expenditure, source of battery and compliance and retain profitability. Such pressure is healthy to innovation, but it is also costly to make mistakes.</w:t>
      </w:r>
    </w:p>
    <w:p w14:paraId="508EFECE" w14:textId="77777777" w:rsidR="001A3AE3" w:rsidRPr="001A3AE3" w:rsidRDefault="001A3AE3" w:rsidP="001A3AE3">
      <w:pPr>
        <w:keepNext/>
        <w:keepLines/>
        <w:spacing w:before="240" w:after="240" w:line="480" w:lineRule="auto"/>
        <w:outlineLvl w:val="1"/>
        <w:rPr>
          <w:rFonts w:ascii="Times New Roman" w:eastAsia="Times New Roman" w:hAnsi="Times New Roman" w:cstheme="majorBidi"/>
          <w:b/>
          <w:bCs/>
          <w:color w:val="000000"/>
          <w:kern w:val="0"/>
          <w:szCs w:val="26"/>
          <w:lang w:val="en-US" w:eastAsia="en-US"/>
          <w14:ligatures w14:val="none"/>
        </w:rPr>
      </w:pPr>
      <w:bookmarkStart w:id="5" w:name="_Toc227655426"/>
      <w:r w:rsidRPr="001A3AE3">
        <w:rPr>
          <w:rFonts w:ascii="Times New Roman" w:eastAsia="Times New Roman" w:hAnsi="Times New Roman" w:cstheme="majorBidi"/>
          <w:b/>
          <w:bCs/>
          <w:color w:val="000000"/>
          <w:kern w:val="0"/>
          <w:szCs w:val="26"/>
          <w:lang w:val="en-US" w:eastAsia="en-US"/>
          <w14:ligatures w14:val="none"/>
        </w:rPr>
        <w:t>2.3 Major domestic and multinational firms</w:t>
      </w:r>
      <w:bookmarkEnd w:id="5"/>
    </w:p>
    <w:p w14:paraId="18D1FB88" w14:textId="77777777" w:rsidR="001A3AE3" w:rsidRPr="001A3AE3" w:rsidRDefault="001A3AE3" w:rsidP="001A3AE3">
      <w:pPr>
        <w:spacing w:before="240" w:after="240" w:line="480" w:lineRule="auto"/>
        <w:jc w:val="both"/>
        <w:rPr>
          <w:rFonts w:ascii="Times New Roman" w:eastAsia="Times New Roman" w:hAnsi="Times New Roman"/>
          <w:kern w:val="0"/>
          <w:szCs w:val="22"/>
          <w:lang w:val="en-US" w:eastAsia="en-US"/>
          <w14:ligatures w14:val="none"/>
        </w:rPr>
      </w:pPr>
      <w:r w:rsidRPr="001A3AE3">
        <w:rPr>
          <w:rFonts w:ascii="Times New Roman" w:eastAsia="Times New Roman" w:hAnsi="Times New Roman"/>
          <w:kern w:val="0"/>
          <w:szCs w:val="22"/>
          <w:lang w:val="en-US" w:eastAsia="en-US"/>
          <w14:ligatures w14:val="none"/>
        </w:rPr>
        <w:t>About 3,000 automobile companies have existed in the United States.</w:t>
      </w:r>
      <w:hyperlink r:id="rId8" w:anchor="cite_note-woutat19850106-28" w:history="1">
        <w:r w:rsidRPr="001A3AE3">
          <w:rPr>
            <w:rFonts w:ascii="Times New Roman" w:eastAsia="Times New Roman" w:hAnsi="Times New Roman"/>
            <w:kern w:val="0"/>
            <w:szCs w:val="22"/>
            <w:lang w:val="en-US" w:eastAsia="en-US"/>
            <w14:ligatures w14:val="none"/>
          </w:rPr>
          <w:t>[28]</w:t>
        </w:r>
      </w:hyperlink>
      <w:r w:rsidRPr="001A3AE3">
        <w:rPr>
          <w:rFonts w:ascii="Times New Roman" w:eastAsia="Times New Roman" w:hAnsi="Times New Roman"/>
          <w:kern w:val="0"/>
          <w:szCs w:val="22"/>
          <w:lang w:val="en-US" w:eastAsia="en-US"/>
          <w14:ligatures w14:val="none"/>
        </w:rPr>
        <w:t> In the early 1900s, the U.S. saw the rise of the </w:t>
      </w:r>
      <w:hyperlink r:id="rId9" w:anchor="United_States" w:tooltip="Big Three (automobile manufacturers)" w:history="1">
        <w:r w:rsidRPr="001A3AE3">
          <w:rPr>
            <w:rFonts w:ascii="Times New Roman" w:eastAsia="Times New Roman" w:hAnsi="Times New Roman"/>
            <w:kern w:val="0"/>
            <w:szCs w:val="22"/>
            <w:lang w:val="en-US" w:eastAsia="en-US"/>
            <w14:ligatures w14:val="none"/>
          </w:rPr>
          <w:t>Big Three automakers</w:t>
        </w:r>
      </w:hyperlink>
      <w:r w:rsidRPr="001A3AE3">
        <w:rPr>
          <w:rFonts w:ascii="Times New Roman" w:eastAsia="Times New Roman" w:hAnsi="Times New Roman"/>
          <w:kern w:val="0"/>
          <w:szCs w:val="22"/>
          <w:lang w:val="en-US" w:eastAsia="en-US"/>
          <w14:ligatures w14:val="none"/>
        </w:rPr>
        <w:t>, Ford, GM, and Chrysler. The industry became centered around Detroit, in Michigan, and adjacent states and in nearby Ontario, Canada. </w:t>
      </w:r>
    </w:p>
    <w:tbl>
      <w:tblPr>
        <w:tblStyle w:val="TableGrid"/>
        <w:tblW w:w="0" w:type="auto"/>
        <w:jc w:val="center"/>
        <w:tblLook w:val="04A0" w:firstRow="1" w:lastRow="0" w:firstColumn="1" w:lastColumn="0" w:noHBand="0" w:noVBand="1"/>
      </w:tblPr>
      <w:tblGrid>
        <w:gridCol w:w="2255"/>
        <w:gridCol w:w="2238"/>
        <w:gridCol w:w="2267"/>
        <w:gridCol w:w="2256"/>
      </w:tblGrid>
      <w:tr w:rsidR="001A3AE3" w:rsidRPr="001A3AE3" w14:paraId="349ACD18" w14:textId="77777777" w:rsidTr="00202B23">
        <w:trPr>
          <w:jc w:val="center"/>
        </w:trPr>
        <w:tc>
          <w:tcPr>
            <w:tcW w:w="2340" w:type="dxa"/>
            <w:shd w:val="clear" w:color="auto" w:fill="D9EAF7"/>
            <w:tcMar>
              <w:top w:w="90" w:type="dxa"/>
              <w:left w:w="90" w:type="dxa"/>
              <w:bottom w:w="90" w:type="dxa"/>
              <w:right w:w="90" w:type="dxa"/>
            </w:tcMar>
            <w:vAlign w:val="center"/>
          </w:tcPr>
          <w:p w14:paraId="4AAB49F3" w14:textId="77777777" w:rsidR="001A3AE3" w:rsidRPr="001A3AE3" w:rsidRDefault="001A3AE3" w:rsidP="001A3AE3">
            <w:pPr>
              <w:spacing w:after="200" w:line="276" w:lineRule="auto"/>
              <w:jc w:val="center"/>
              <w:rPr>
                <w:rFonts w:ascii="Times New Roman" w:eastAsia="Times New Roman" w:hAnsi="Times New Roman"/>
              </w:rPr>
            </w:pPr>
            <w:r w:rsidRPr="001A3AE3">
              <w:rPr>
                <w:rFonts w:ascii="Times New Roman" w:eastAsia="Times New Roman" w:hAnsi="Times New Roman"/>
                <w:b/>
                <w:color w:val="000000"/>
              </w:rPr>
              <w:t>Company</w:t>
            </w:r>
          </w:p>
        </w:tc>
        <w:tc>
          <w:tcPr>
            <w:tcW w:w="2340" w:type="dxa"/>
            <w:shd w:val="clear" w:color="auto" w:fill="D9EAF7"/>
            <w:tcMar>
              <w:top w:w="90" w:type="dxa"/>
              <w:left w:w="90" w:type="dxa"/>
              <w:bottom w:w="90" w:type="dxa"/>
              <w:right w:w="90" w:type="dxa"/>
            </w:tcMar>
            <w:vAlign w:val="center"/>
          </w:tcPr>
          <w:p w14:paraId="2840DC4D" w14:textId="77777777" w:rsidR="001A3AE3" w:rsidRPr="001A3AE3" w:rsidRDefault="001A3AE3" w:rsidP="001A3AE3">
            <w:pPr>
              <w:spacing w:after="200" w:line="276" w:lineRule="auto"/>
              <w:jc w:val="center"/>
              <w:rPr>
                <w:rFonts w:ascii="Times New Roman" w:eastAsia="Times New Roman" w:hAnsi="Times New Roman"/>
              </w:rPr>
            </w:pPr>
            <w:r w:rsidRPr="001A3AE3">
              <w:rPr>
                <w:rFonts w:ascii="Times New Roman" w:eastAsia="Times New Roman" w:hAnsi="Times New Roman"/>
                <w:b/>
                <w:color w:val="000000"/>
              </w:rPr>
              <w:t>Status in the U.S.</w:t>
            </w:r>
          </w:p>
        </w:tc>
        <w:tc>
          <w:tcPr>
            <w:tcW w:w="2340" w:type="dxa"/>
            <w:shd w:val="clear" w:color="auto" w:fill="D9EAF7"/>
            <w:tcMar>
              <w:top w:w="90" w:type="dxa"/>
              <w:left w:w="90" w:type="dxa"/>
              <w:bottom w:w="90" w:type="dxa"/>
              <w:right w:w="90" w:type="dxa"/>
            </w:tcMar>
            <w:vAlign w:val="center"/>
          </w:tcPr>
          <w:p w14:paraId="5B503476" w14:textId="77777777" w:rsidR="001A3AE3" w:rsidRPr="001A3AE3" w:rsidRDefault="001A3AE3" w:rsidP="001A3AE3">
            <w:pPr>
              <w:spacing w:after="200" w:line="276" w:lineRule="auto"/>
              <w:jc w:val="center"/>
              <w:rPr>
                <w:rFonts w:ascii="Times New Roman" w:eastAsia="Times New Roman" w:hAnsi="Times New Roman"/>
              </w:rPr>
            </w:pPr>
            <w:r w:rsidRPr="001A3AE3">
              <w:rPr>
                <w:rFonts w:ascii="Times New Roman" w:eastAsia="Times New Roman" w:hAnsi="Times New Roman"/>
                <w:b/>
                <w:color w:val="000000"/>
              </w:rPr>
              <w:t>Strategic focus</w:t>
            </w:r>
          </w:p>
        </w:tc>
        <w:tc>
          <w:tcPr>
            <w:tcW w:w="2340" w:type="dxa"/>
            <w:shd w:val="clear" w:color="auto" w:fill="D9EAF7"/>
            <w:tcMar>
              <w:top w:w="90" w:type="dxa"/>
              <w:left w:w="90" w:type="dxa"/>
              <w:bottom w:w="90" w:type="dxa"/>
              <w:right w:w="90" w:type="dxa"/>
            </w:tcMar>
            <w:vAlign w:val="center"/>
          </w:tcPr>
          <w:p w14:paraId="2EF97F71" w14:textId="77777777" w:rsidR="001A3AE3" w:rsidRPr="001A3AE3" w:rsidRDefault="001A3AE3" w:rsidP="001A3AE3">
            <w:pPr>
              <w:spacing w:after="200" w:line="276" w:lineRule="auto"/>
              <w:rPr>
                <w:rFonts w:ascii="Times New Roman" w:eastAsia="Times New Roman" w:hAnsi="Times New Roman"/>
              </w:rPr>
            </w:pPr>
            <w:r w:rsidRPr="001A3AE3">
              <w:rPr>
                <w:rFonts w:ascii="Times New Roman" w:eastAsia="Times New Roman" w:hAnsi="Times New Roman"/>
                <w:b/>
                <w:color w:val="000000"/>
              </w:rPr>
              <w:t>Competitive implication</w:t>
            </w:r>
          </w:p>
        </w:tc>
      </w:tr>
      <w:tr w:rsidR="001A3AE3" w:rsidRPr="001A3AE3" w14:paraId="52D13C68" w14:textId="77777777" w:rsidTr="00202B23">
        <w:trPr>
          <w:jc w:val="center"/>
        </w:trPr>
        <w:tc>
          <w:tcPr>
            <w:tcW w:w="2340" w:type="dxa"/>
            <w:tcMar>
              <w:top w:w="90" w:type="dxa"/>
              <w:left w:w="90" w:type="dxa"/>
              <w:bottom w:w="90" w:type="dxa"/>
              <w:right w:w="90" w:type="dxa"/>
            </w:tcMar>
            <w:vAlign w:val="center"/>
          </w:tcPr>
          <w:p w14:paraId="31BAF0A7" w14:textId="77777777" w:rsidR="001A3AE3" w:rsidRPr="001A3AE3" w:rsidRDefault="001A3AE3" w:rsidP="001A3AE3">
            <w:pPr>
              <w:spacing w:after="200" w:line="276" w:lineRule="auto"/>
              <w:jc w:val="center"/>
              <w:rPr>
                <w:rFonts w:ascii="Times New Roman" w:eastAsia="Times New Roman" w:hAnsi="Times New Roman"/>
              </w:rPr>
            </w:pPr>
            <w:r w:rsidRPr="001A3AE3">
              <w:rPr>
                <w:rFonts w:ascii="Times New Roman" w:eastAsia="Times New Roman" w:hAnsi="Times New Roman"/>
                <w:color w:val="000000"/>
              </w:rPr>
              <w:t>GM</w:t>
            </w:r>
          </w:p>
        </w:tc>
        <w:tc>
          <w:tcPr>
            <w:tcW w:w="2340" w:type="dxa"/>
            <w:tcMar>
              <w:top w:w="90" w:type="dxa"/>
              <w:left w:w="90" w:type="dxa"/>
              <w:bottom w:w="90" w:type="dxa"/>
              <w:right w:w="90" w:type="dxa"/>
            </w:tcMar>
            <w:vAlign w:val="center"/>
          </w:tcPr>
          <w:p w14:paraId="6BAF15D3" w14:textId="77777777" w:rsidR="001A3AE3" w:rsidRPr="001A3AE3" w:rsidRDefault="001A3AE3" w:rsidP="001A3AE3">
            <w:pPr>
              <w:spacing w:after="200" w:line="276" w:lineRule="auto"/>
              <w:jc w:val="center"/>
              <w:rPr>
                <w:rFonts w:ascii="Times New Roman" w:eastAsia="Times New Roman" w:hAnsi="Times New Roman"/>
              </w:rPr>
            </w:pPr>
            <w:r w:rsidRPr="001A3AE3">
              <w:rPr>
                <w:rFonts w:ascii="Times New Roman" w:eastAsia="Times New Roman" w:hAnsi="Times New Roman"/>
                <w:color w:val="000000"/>
              </w:rPr>
              <w:t>Domestic incumbent</w:t>
            </w:r>
          </w:p>
        </w:tc>
        <w:tc>
          <w:tcPr>
            <w:tcW w:w="2340" w:type="dxa"/>
            <w:tcMar>
              <w:top w:w="90" w:type="dxa"/>
              <w:left w:w="90" w:type="dxa"/>
              <w:bottom w:w="90" w:type="dxa"/>
              <w:right w:w="90" w:type="dxa"/>
            </w:tcMar>
            <w:vAlign w:val="center"/>
          </w:tcPr>
          <w:p w14:paraId="36E533B8" w14:textId="77777777" w:rsidR="001A3AE3" w:rsidRPr="001A3AE3" w:rsidRDefault="001A3AE3" w:rsidP="001A3AE3">
            <w:pPr>
              <w:spacing w:after="200" w:line="276" w:lineRule="auto"/>
              <w:rPr>
                <w:rFonts w:ascii="Times New Roman" w:eastAsia="Times New Roman" w:hAnsi="Times New Roman"/>
              </w:rPr>
            </w:pPr>
            <w:r w:rsidRPr="001A3AE3">
              <w:rPr>
                <w:rFonts w:ascii="Times New Roman" w:eastAsia="Times New Roman" w:hAnsi="Times New Roman"/>
                <w:color w:val="000000"/>
              </w:rPr>
              <w:t>Scale, trucks/SUVs, EV investment</w:t>
            </w:r>
          </w:p>
        </w:tc>
        <w:tc>
          <w:tcPr>
            <w:tcW w:w="2340" w:type="dxa"/>
            <w:tcMar>
              <w:top w:w="90" w:type="dxa"/>
              <w:left w:w="90" w:type="dxa"/>
              <w:bottom w:w="90" w:type="dxa"/>
              <w:right w:w="90" w:type="dxa"/>
            </w:tcMar>
            <w:vAlign w:val="center"/>
          </w:tcPr>
          <w:p w14:paraId="11FDDB42" w14:textId="77777777" w:rsidR="001A3AE3" w:rsidRPr="001A3AE3" w:rsidRDefault="001A3AE3" w:rsidP="001A3AE3">
            <w:pPr>
              <w:spacing w:after="200" w:line="276" w:lineRule="auto"/>
              <w:rPr>
                <w:rFonts w:ascii="Times New Roman" w:eastAsia="Times New Roman" w:hAnsi="Times New Roman"/>
              </w:rPr>
            </w:pPr>
            <w:r w:rsidRPr="001A3AE3">
              <w:rPr>
                <w:rFonts w:ascii="Times New Roman" w:eastAsia="Times New Roman" w:hAnsi="Times New Roman"/>
                <w:color w:val="000000"/>
              </w:rPr>
              <w:t>Large share but heavy transition cost</w:t>
            </w:r>
          </w:p>
        </w:tc>
      </w:tr>
      <w:tr w:rsidR="001A3AE3" w:rsidRPr="001A3AE3" w14:paraId="151F31DB" w14:textId="77777777" w:rsidTr="00202B23">
        <w:trPr>
          <w:jc w:val="center"/>
        </w:trPr>
        <w:tc>
          <w:tcPr>
            <w:tcW w:w="2340" w:type="dxa"/>
            <w:tcMar>
              <w:top w:w="90" w:type="dxa"/>
              <w:left w:w="90" w:type="dxa"/>
              <w:bottom w:w="90" w:type="dxa"/>
              <w:right w:w="90" w:type="dxa"/>
            </w:tcMar>
            <w:vAlign w:val="center"/>
          </w:tcPr>
          <w:p w14:paraId="40073BEC" w14:textId="77777777" w:rsidR="001A3AE3" w:rsidRPr="001A3AE3" w:rsidRDefault="001A3AE3" w:rsidP="001A3AE3">
            <w:pPr>
              <w:spacing w:after="200" w:line="276" w:lineRule="auto"/>
              <w:jc w:val="center"/>
              <w:rPr>
                <w:rFonts w:ascii="Times New Roman" w:eastAsia="Times New Roman" w:hAnsi="Times New Roman"/>
              </w:rPr>
            </w:pPr>
            <w:r w:rsidRPr="001A3AE3">
              <w:rPr>
                <w:rFonts w:ascii="Times New Roman" w:eastAsia="Times New Roman" w:hAnsi="Times New Roman"/>
                <w:color w:val="000000"/>
              </w:rPr>
              <w:t>Ford</w:t>
            </w:r>
          </w:p>
        </w:tc>
        <w:tc>
          <w:tcPr>
            <w:tcW w:w="2340" w:type="dxa"/>
            <w:tcMar>
              <w:top w:w="90" w:type="dxa"/>
              <w:left w:w="90" w:type="dxa"/>
              <w:bottom w:w="90" w:type="dxa"/>
              <w:right w:w="90" w:type="dxa"/>
            </w:tcMar>
            <w:vAlign w:val="center"/>
          </w:tcPr>
          <w:p w14:paraId="709293EA" w14:textId="77777777" w:rsidR="001A3AE3" w:rsidRPr="001A3AE3" w:rsidRDefault="001A3AE3" w:rsidP="001A3AE3">
            <w:pPr>
              <w:spacing w:after="200" w:line="276" w:lineRule="auto"/>
              <w:jc w:val="center"/>
              <w:rPr>
                <w:rFonts w:ascii="Times New Roman" w:eastAsia="Times New Roman" w:hAnsi="Times New Roman"/>
              </w:rPr>
            </w:pPr>
            <w:r w:rsidRPr="001A3AE3">
              <w:rPr>
                <w:rFonts w:ascii="Times New Roman" w:eastAsia="Times New Roman" w:hAnsi="Times New Roman"/>
                <w:color w:val="000000"/>
              </w:rPr>
              <w:t>Domestic incumbent</w:t>
            </w:r>
          </w:p>
        </w:tc>
        <w:tc>
          <w:tcPr>
            <w:tcW w:w="2340" w:type="dxa"/>
            <w:tcMar>
              <w:top w:w="90" w:type="dxa"/>
              <w:left w:w="90" w:type="dxa"/>
              <w:bottom w:w="90" w:type="dxa"/>
              <w:right w:w="90" w:type="dxa"/>
            </w:tcMar>
            <w:vAlign w:val="center"/>
          </w:tcPr>
          <w:p w14:paraId="42416747" w14:textId="77777777" w:rsidR="001A3AE3" w:rsidRPr="001A3AE3" w:rsidRDefault="001A3AE3" w:rsidP="001A3AE3">
            <w:pPr>
              <w:spacing w:after="200" w:line="276" w:lineRule="auto"/>
              <w:rPr>
                <w:rFonts w:ascii="Times New Roman" w:eastAsia="Times New Roman" w:hAnsi="Times New Roman"/>
              </w:rPr>
            </w:pPr>
            <w:r w:rsidRPr="001A3AE3">
              <w:rPr>
                <w:rFonts w:ascii="Times New Roman" w:eastAsia="Times New Roman" w:hAnsi="Times New Roman"/>
                <w:color w:val="000000"/>
              </w:rPr>
              <w:t>Commercial vehicles, electrification, software</w:t>
            </w:r>
          </w:p>
        </w:tc>
        <w:tc>
          <w:tcPr>
            <w:tcW w:w="2340" w:type="dxa"/>
            <w:tcMar>
              <w:top w:w="90" w:type="dxa"/>
              <w:left w:w="90" w:type="dxa"/>
              <w:bottom w:w="90" w:type="dxa"/>
              <w:right w:w="90" w:type="dxa"/>
            </w:tcMar>
            <w:vAlign w:val="center"/>
          </w:tcPr>
          <w:p w14:paraId="6223DE97" w14:textId="77777777" w:rsidR="001A3AE3" w:rsidRPr="001A3AE3" w:rsidRDefault="001A3AE3" w:rsidP="001A3AE3">
            <w:pPr>
              <w:spacing w:after="200" w:line="276" w:lineRule="auto"/>
              <w:rPr>
                <w:rFonts w:ascii="Times New Roman" w:eastAsia="Times New Roman" w:hAnsi="Times New Roman"/>
              </w:rPr>
            </w:pPr>
            <w:r w:rsidRPr="001A3AE3">
              <w:rPr>
                <w:rFonts w:ascii="Times New Roman" w:eastAsia="Times New Roman" w:hAnsi="Times New Roman"/>
                <w:color w:val="000000"/>
              </w:rPr>
              <w:t>Strong brand, but margin pressure</w:t>
            </w:r>
          </w:p>
        </w:tc>
      </w:tr>
      <w:tr w:rsidR="001A3AE3" w:rsidRPr="001A3AE3" w14:paraId="75A5CB5E" w14:textId="77777777" w:rsidTr="00202B23">
        <w:trPr>
          <w:jc w:val="center"/>
        </w:trPr>
        <w:tc>
          <w:tcPr>
            <w:tcW w:w="2340" w:type="dxa"/>
            <w:tcMar>
              <w:top w:w="90" w:type="dxa"/>
              <w:left w:w="90" w:type="dxa"/>
              <w:bottom w:w="90" w:type="dxa"/>
              <w:right w:w="90" w:type="dxa"/>
            </w:tcMar>
            <w:vAlign w:val="center"/>
          </w:tcPr>
          <w:p w14:paraId="68C860B8" w14:textId="77777777" w:rsidR="001A3AE3" w:rsidRPr="001A3AE3" w:rsidRDefault="001A3AE3" w:rsidP="001A3AE3">
            <w:pPr>
              <w:spacing w:after="200" w:line="276" w:lineRule="auto"/>
              <w:jc w:val="center"/>
              <w:rPr>
                <w:rFonts w:ascii="Times New Roman" w:eastAsia="Times New Roman" w:hAnsi="Times New Roman"/>
              </w:rPr>
            </w:pPr>
            <w:r w:rsidRPr="001A3AE3">
              <w:rPr>
                <w:rFonts w:ascii="Times New Roman" w:eastAsia="Times New Roman" w:hAnsi="Times New Roman"/>
                <w:color w:val="000000"/>
              </w:rPr>
              <w:lastRenderedPageBreak/>
              <w:t>Tesla</w:t>
            </w:r>
          </w:p>
        </w:tc>
        <w:tc>
          <w:tcPr>
            <w:tcW w:w="2340" w:type="dxa"/>
            <w:tcMar>
              <w:top w:w="90" w:type="dxa"/>
              <w:left w:w="90" w:type="dxa"/>
              <w:bottom w:w="90" w:type="dxa"/>
              <w:right w:w="90" w:type="dxa"/>
            </w:tcMar>
            <w:vAlign w:val="center"/>
          </w:tcPr>
          <w:p w14:paraId="6A335B97" w14:textId="77777777" w:rsidR="001A3AE3" w:rsidRPr="001A3AE3" w:rsidRDefault="001A3AE3" w:rsidP="001A3AE3">
            <w:pPr>
              <w:spacing w:after="200" w:line="276" w:lineRule="auto"/>
              <w:rPr>
                <w:rFonts w:ascii="Times New Roman" w:eastAsia="Times New Roman" w:hAnsi="Times New Roman"/>
              </w:rPr>
            </w:pPr>
            <w:r w:rsidRPr="001A3AE3">
              <w:rPr>
                <w:rFonts w:ascii="Times New Roman" w:eastAsia="Times New Roman" w:hAnsi="Times New Roman"/>
                <w:color w:val="000000"/>
              </w:rPr>
              <w:t>Domestic EV pure-play</w:t>
            </w:r>
          </w:p>
        </w:tc>
        <w:tc>
          <w:tcPr>
            <w:tcW w:w="2340" w:type="dxa"/>
            <w:tcMar>
              <w:top w:w="90" w:type="dxa"/>
              <w:left w:w="90" w:type="dxa"/>
              <w:bottom w:w="90" w:type="dxa"/>
              <w:right w:w="90" w:type="dxa"/>
            </w:tcMar>
            <w:vAlign w:val="center"/>
          </w:tcPr>
          <w:p w14:paraId="4F4DAD82" w14:textId="77777777" w:rsidR="001A3AE3" w:rsidRPr="001A3AE3" w:rsidRDefault="001A3AE3" w:rsidP="001A3AE3">
            <w:pPr>
              <w:spacing w:after="200" w:line="276" w:lineRule="auto"/>
              <w:rPr>
                <w:rFonts w:ascii="Times New Roman" w:eastAsia="Times New Roman" w:hAnsi="Times New Roman"/>
              </w:rPr>
            </w:pPr>
            <w:r w:rsidRPr="001A3AE3">
              <w:rPr>
                <w:rFonts w:ascii="Times New Roman" w:eastAsia="Times New Roman" w:hAnsi="Times New Roman"/>
                <w:color w:val="000000"/>
              </w:rPr>
              <w:t>Software, charging network, direct sales</w:t>
            </w:r>
          </w:p>
        </w:tc>
        <w:tc>
          <w:tcPr>
            <w:tcW w:w="2340" w:type="dxa"/>
            <w:tcMar>
              <w:top w:w="90" w:type="dxa"/>
              <w:left w:w="90" w:type="dxa"/>
              <w:bottom w:w="90" w:type="dxa"/>
              <w:right w:w="90" w:type="dxa"/>
            </w:tcMar>
            <w:vAlign w:val="center"/>
          </w:tcPr>
          <w:p w14:paraId="72064584" w14:textId="77777777" w:rsidR="001A3AE3" w:rsidRPr="001A3AE3" w:rsidRDefault="001A3AE3" w:rsidP="001A3AE3">
            <w:pPr>
              <w:spacing w:after="200" w:line="276" w:lineRule="auto"/>
              <w:rPr>
                <w:rFonts w:ascii="Times New Roman" w:eastAsia="Times New Roman" w:hAnsi="Times New Roman"/>
              </w:rPr>
            </w:pPr>
            <w:r w:rsidRPr="001A3AE3">
              <w:rPr>
                <w:rFonts w:ascii="Times New Roman" w:eastAsia="Times New Roman" w:hAnsi="Times New Roman"/>
                <w:color w:val="000000"/>
              </w:rPr>
              <w:t>Technology leader with price-war exposure</w:t>
            </w:r>
          </w:p>
        </w:tc>
      </w:tr>
      <w:tr w:rsidR="001A3AE3" w:rsidRPr="001A3AE3" w14:paraId="4342D9B7" w14:textId="77777777" w:rsidTr="00202B23">
        <w:trPr>
          <w:jc w:val="center"/>
        </w:trPr>
        <w:tc>
          <w:tcPr>
            <w:tcW w:w="2340" w:type="dxa"/>
            <w:tcMar>
              <w:top w:w="90" w:type="dxa"/>
              <w:left w:w="90" w:type="dxa"/>
              <w:bottom w:w="90" w:type="dxa"/>
              <w:right w:w="90" w:type="dxa"/>
            </w:tcMar>
            <w:vAlign w:val="center"/>
          </w:tcPr>
          <w:p w14:paraId="7477BD12" w14:textId="77777777" w:rsidR="001A3AE3" w:rsidRPr="001A3AE3" w:rsidRDefault="001A3AE3" w:rsidP="001A3AE3">
            <w:pPr>
              <w:spacing w:after="200" w:line="276" w:lineRule="auto"/>
              <w:jc w:val="center"/>
              <w:rPr>
                <w:rFonts w:ascii="Times New Roman" w:eastAsia="Times New Roman" w:hAnsi="Times New Roman"/>
              </w:rPr>
            </w:pPr>
            <w:r w:rsidRPr="001A3AE3">
              <w:rPr>
                <w:rFonts w:ascii="Times New Roman" w:eastAsia="Times New Roman" w:hAnsi="Times New Roman"/>
                <w:color w:val="000000"/>
              </w:rPr>
              <w:t>Toyota</w:t>
            </w:r>
          </w:p>
        </w:tc>
        <w:tc>
          <w:tcPr>
            <w:tcW w:w="2340" w:type="dxa"/>
            <w:tcMar>
              <w:top w:w="90" w:type="dxa"/>
              <w:left w:w="90" w:type="dxa"/>
              <w:bottom w:w="90" w:type="dxa"/>
              <w:right w:w="90" w:type="dxa"/>
            </w:tcMar>
            <w:vAlign w:val="center"/>
          </w:tcPr>
          <w:p w14:paraId="309D5958" w14:textId="77777777" w:rsidR="001A3AE3" w:rsidRPr="001A3AE3" w:rsidRDefault="001A3AE3" w:rsidP="001A3AE3">
            <w:pPr>
              <w:spacing w:after="200" w:line="276" w:lineRule="auto"/>
              <w:jc w:val="center"/>
              <w:rPr>
                <w:rFonts w:ascii="Times New Roman" w:eastAsia="Times New Roman" w:hAnsi="Times New Roman"/>
              </w:rPr>
            </w:pPr>
            <w:r w:rsidRPr="001A3AE3">
              <w:rPr>
                <w:rFonts w:ascii="Times New Roman" w:eastAsia="Times New Roman" w:hAnsi="Times New Roman"/>
                <w:color w:val="000000"/>
              </w:rPr>
              <w:t>Foreign incumbent</w:t>
            </w:r>
          </w:p>
        </w:tc>
        <w:tc>
          <w:tcPr>
            <w:tcW w:w="2340" w:type="dxa"/>
            <w:tcMar>
              <w:top w:w="90" w:type="dxa"/>
              <w:left w:w="90" w:type="dxa"/>
              <w:bottom w:w="90" w:type="dxa"/>
              <w:right w:w="90" w:type="dxa"/>
            </w:tcMar>
            <w:vAlign w:val="center"/>
          </w:tcPr>
          <w:p w14:paraId="1F795DE9" w14:textId="77777777" w:rsidR="001A3AE3" w:rsidRPr="001A3AE3" w:rsidRDefault="001A3AE3" w:rsidP="001A3AE3">
            <w:pPr>
              <w:spacing w:after="200" w:line="276" w:lineRule="auto"/>
              <w:rPr>
                <w:rFonts w:ascii="Times New Roman" w:eastAsia="Times New Roman" w:hAnsi="Times New Roman"/>
              </w:rPr>
            </w:pPr>
            <w:r w:rsidRPr="001A3AE3">
              <w:rPr>
                <w:rFonts w:ascii="Times New Roman" w:eastAsia="Times New Roman" w:hAnsi="Times New Roman"/>
                <w:color w:val="000000"/>
              </w:rPr>
              <w:t>Hybrid-first, local production, broad lineup</w:t>
            </w:r>
          </w:p>
        </w:tc>
        <w:tc>
          <w:tcPr>
            <w:tcW w:w="2340" w:type="dxa"/>
            <w:tcMar>
              <w:top w:w="90" w:type="dxa"/>
              <w:left w:w="90" w:type="dxa"/>
              <w:bottom w:w="90" w:type="dxa"/>
              <w:right w:w="90" w:type="dxa"/>
            </w:tcMar>
            <w:vAlign w:val="center"/>
          </w:tcPr>
          <w:p w14:paraId="0E147E6D" w14:textId="77777777" w:rsidR="001A3AE3" w:rsidRPr="001A3AE3" w:rsidRDefault="001A3AE3" w:rsidP="001A3AE3">
            <w:pPr>
              <w:spacing w:after="200" w:line="276" w:lineRule="auto"/>
              <w:rPr>
                <w:rFonts w:ascii="Times New Roman" w:eastAsia="Times New Roman" w:hAnsi="Times New Roman"/>
              </w:rPr>
            </w:pPr>
            <w:r w:rsidRPr="001A3AE3">
              <w:rPr>
                <w:rFonts w:ascii="Times New Roman" w:eastAsia="Times New Roman" w:hAnsi="Times New Roman"/>
                <w:color w:val="000000"/>
              </w:rPr>
              <w:t>Best fit with mixed demand conditions</w:t>
            </w:r>
          </w:p>
        </w:tc>
      </w:tr>
      <w:tr w:rsidR="001A3AE3" w:rsidRPr="001A3AE3" w14:paraId="5B312FAA" w14:textId="77777777" w:rsidTr="00202B23">
        <w:trPr>
          <w:jc w:val="center"/>
        </w:trPr>
        <w:tc>
          <w:tcPr>
            <w:tcW w:w="2340" w:type="dxa"/>
            <w:tcMar>
              <w:top w:w="90" w:type="dxa"/>
              <w:left w:w="90" w:type="dxa"/>
              <w:bottom w:w="90" w:type="dxa"/>
              <w:right w:w="90" w:type="dxa"/>
            </w:tcMar>
            <w:vAlign w:val="center"/>
          </w:tcPr>
          <w:p w14:paraId="76A70B35" w14:textId="77777777" w:rsidR="001A3AE3" w:rsidRPr="001A3AE3" w:rsidRDefault="001A3AE3" w:rsidP="001A3AE3">
            <w:pPr>
              <w:spacing w:after="200" w:line="276" w:lineRule="auto"/>
              <w:jc w:val="center"/>
              <w:rPr>
                <w:rFonts w:ascii="Times New Roman" w:eastAsia="Times New Roman" w:hAnsi="Times New Roman"/>
              </w:rPr>
            </w:pPr>
            <w:r w:rsidRPr="001A3AE3">
              <w:rPr>
                <w:rFonts w:ascii="Times New Roman" w:eastAsia="Times New Roman" w:hAnsi="Times New Roman"/>
                <w:color w:val="000000"/>
              </w:rPr>
              <w:t>Honda</w:t>
            </w:r>
          </w:p>
        </w:tc>
        <w:tc>
          <w:tcPr>
            <w:tcW w:w="2340" w:type="dxa"/>
            <w:tcMar>
              <w:top w:w="90" w:type="dxa"/>
              <w:left w:w="90" w:type="dxa"/>
              <w:bottom w:w="90" w:type="dxa"/>
              <w:right w:w="90" w:type="dxa"/>
            </w:tcMar>
            <w:vAlign w:val="center"/>
          </w:tcPr>
          <w:p w14:paraId="0165E645" w14:textId="77777777" w:rsidR="001A3AE3" w:rsidRPr="001A3AE3" w:rsidRDefault="001A3AE3" w:rsidP="001A3AE3">
            <w:pPr>
              <w:spacing w:after="200" w:line="276" w:lineRule="auto"/>
              <w:jc w:val="center"/>
              <w:rPr>
                <w:rFonts w:ascii="Times New Roman" w:eastAsia="Times New Roman" w:hAnsi="Times New Roman"/>
              </w:rPr>
            </w:pPr>
            <w:r w:rsidRPr="001A3AE3">
              <w:rPr>
                <w:rFonts w:ascii="Times New Roman" w:eastAsia="Times New Roman" w:hAnsi="Times New Roman"/>
                <w:color w:val="000000"/>
              </w:rPr>
              <w:t>Foreign incumbent</w:t>
            </w:r>
          </w:p>
        </w:tc>
        <w:tc>
          <w:tcPr>
            <w:tcW w:w="2340" w:type="dxa"/>
            <w:tcMar>
              <w:top w:w="90" w:type="dxa"/>
              <w:left w:w="90" w:type="dxa"/>
              <w:bottom w:w="90" w:type="dxa"/>
              <w:right w:w="90" w:type="dxa"/>
            </w:tcMar>
            <w:vAlign w:val="center"/>
          </w:tcPr>
          <w:p w14:paraId="3D3F9BD7" w14:textId="77777777" w:rsidR="001A3AE3" w:rsidRPr="001A3AE3" w:rsidRDefault="001A3AE3" w:rsidP="001A3AE3">
            <w:pPr>
              <w:spacing w:after="200" w:line="276" w:lineRule="auto"/>
              <w:rPr>
                <w:rFonts w:ascii="Times New Roman" w:eastAsia="Times New Roman" w:hAnsi="Times New Roman"/>
              </w:rPr>
            </w:pPr>
            <w:r w:rsidRPr="001A3AE3">
              <w:rPr>
                <w:rFonts w:ascii="Times New Roman" w:eastAsia="Times New Roman" w:hAnsi="Times New Roman"/>
                <w:color w:val="000000"/>
              </w:rPr>
              <w:t>Reliability, value, electrified future</w:t>
            </w:r>
          </w:p>
        </w:tc>
        <w:tc>
          <w:tcPr>
            <w:tcW w:w="2340" w:type="dxa"/>
            <w:tcMar>
              <w:top w:w="90" w:type="dxa"/>
              <w:left w:w="90" w:type="dxa"/>
              <w:bottom w:w="90" w:type="dxa"/>
              <w:right w:w="90" w:type="dxa"/>
            </w:tcMar>
            <w:vAlign w:val="center"/>
          </w:tcPr>
          <w:p w14:paraId="4C4A587A" w14:textId="77777777" w:rsidR="001A3AE3" w:rsidRPr="001A3AE3" w:rsidRDefault="001A3AE3" w:rsidP="001A3AE3">
            <w:pPr>
              <w:spacing w:after="200" w:line="276" w:lineRule="auto"/>
              <w:rPr>
                <w:rFonts w:ascii="Times New Roman" w:eastAsia="Times New Roman" w:hAnsi="Times New Roman"/>
              </w:rPr>
            </w:pPr>
            <w:r w:rsidRPr="001A3AE3">
              <w:rPr>
                <w:rFonts w:ascii="Times New Roman" w:eastAsia="Times New Roman" w:hAnsi="Times New Roman"/>
                <w:color w:val="000000"/>
              </w:rPr>
              <w:t>Stable but smaller scale</w:t>
            </w:r>
          </w:p>
        </w:tc>
      </w:tr>
      <w:tr w:rsidR="001A3AE3" w:rsidRPr="001A3AE3" w14:paraId="348A4B1C" w14:textId="77777777" w:rsidTr="00202B23">
        <w:trPr>
          <w:jc w:val="center"/>
        </w:trPr>
        <w:tc>
          <w:tcPr>
            <w:tcW w:w="2340" w:type="dxa"/>
            <w:tcMar>
              <w:top w:w="90" w:type="dxa"/>
              <w:left w:w="90" w:type="dxa"/>
              <w:bottom w:w="90" w:type="dxa"/>
              <w:right w:w="90" w:type="dxa"/>
            </w:tcMar>
            <w:vAlign w:val="center"/>
          </w:tcPr>
          <w:p w14:paraId="08FE6374" w14:textId="77777777" w:rsidR="001A3AE3" w:rsidRPr="001A3AE3" w:rsidRDefault="001A3AE3" w:rsidP="001A3AE3">
            <w:pPr>
              <w:spacing w:after="200" w:line="276" w:lineRule="auto"/>
              <w:jc w:val="center"/>
              <w:rPr>
                <w:rFonts w:ascii="Times New Roman" w:eastAsia="Times New Roman" w:hAnsi="Times New Roman"/>
              </w:rPr>
            </w:pPr>
            <w:r w:rsidRPr="001A3AE3">
              <w:rPr>
                <w:rFonts w:ascii="Times New Roman" w:eastAsia="Times New Roman" w:hAnsi="Times New Roman"/>
                <w:color w:val="000000"/>
              </w:rPr>
              <w:t>Hyundai/Kia</w:t>
            </w:r>
          </w:p>
        </w:tc>
        <w:tc>
          <w:tcPr>
            <w:tcW w:w="2340" w:type="dxa"/>
            <w:tcMar>
              <w:top w:w="90" w:type="dxa"/>
              <w:left w:w="90" w:type="dxa"/>
              <w:bottom w:w="90" w:type="dxa"/>
              <w:right w:w="90" w:type="dxa"/>
            </w:tcMar>
            <w:vAlign w:val="center"/>
          </w:tcPr>
          <w:p w14:paraId="223A12B0" w14:textId="77777777" w:rsidR="001A3AE3" w:rsidRPr="001A3AE3" w:rsidRDefault="001A3AE3" w:rsidP="001A3AE3">
            <w:pPr>
              <w:spacing w:after="200" w:line="276" w:lineRule="auto"/>
              <w:jc w:val="center"/>
              <w:rPr>
                <w:rFonts w:ascii="Times New Roman" w:eastAsia="Times New Roman" w:hAnsi="Times New Roman"/>
              </w:rPr>
            </w:pPr>
            <w:r w:rsidRPr="001A3AE3">
              <w:rPr>
                <w:rFonts w:ascii="Times New Roman" w:eastAsia="Times New Roman" w:hAnsi="Times New Roman"/>
                <w:color w:val="000000"/>
              </w:rPr>
              <w:t>Foreign incumbent</w:t>
            </w:r>
          </w:p>
        </w:tc>
        <w:tc>
          <w:tcPr>
            <w:tcW w:w="2340" w:type="dxa"/>
            <w:tcMar>
              <w:top w:w="90" w:type="dxa"/>
              <w:left w:w="90" w:type="dxa"/>
              <w:bottom w:w="90" w:type="dxa"/>
              <w:right w:w="90" w:type="dxa"/>
            </w:tcMar>
            <w:vAlign w:val="center"/>
          </w:tcPr>
          <w:p w14:paraId="28EBB099" w14:textId="77777777" w:rsidR="001A3AE3" w:rsidRPr="001A3AE3" w:rsidRDefault="001A3AE3" w:rsidP="001A3AE3">
            <w:pPr>
              <w:spacing w:after="200" w:line="276" w:lineRule="auto"/>
              <w:rPr>
                <w:rFonts w:ascii="Times New Roman" w:eastAsia="Times New Roman" w:hAnsi="Times New Roman"/>
              </w:rPr>
            </w:pPr>
            <w:r w:rsidRPr="001A3AE3">
              <w:rPr>
                <w:rFonts w:ascii="Times New Roman" w:eastAsia="Times New Roman" w:hAnsi="Times New Roman"/>
                <w:color w:val="000000"/>
              </w:rPr>
              <w:t>Design, warranty, fast EV adoption</w:t>
            </w:r>
          </w:p>
        </w:tc>
        <w:tc>
          <w:tcPr>
            <w:tcW w:w="2340" w:type="dxa"/>
            <w:tcMar>
              <w:top w:w="90" w:type="dxa"/>
              <w:left w:w="90" w:type="dxa"/>
              <w:bottom w:w="90" w:type="dxa"/>
              <w:right w:w="90" w:type="dxa"/>
            </w:tcMar>
            <w:vAlign w:val="center"/>
          </w:tcPr>
          <w:p w14:paraId="74E29C12" w14:textId="77777777" w:rsidR="001A3AE3" w:rsidRPr="001A3AE3" w:rsidRDefault="001A3AE3" w:rsidP="001A3AE3">
            <w:pPr>
              <w:spacing w:after="200" w:line="276" w:lineRule="auto"/>
              <w:rPr>
                <w:rFonts w:ascii="Times New Roman" w:eastAsia="Times New Roman" w:hAnsi="Times New Roman"/>
              </w:rPr>
            </w:pPr>
            <w:r w:rsidRPr="001A3AE3">
              <w:rPr>
                <w:rFonts w:ascii="Times New Roman" w:eastAsia="Times New Roman" w:hAnsi="Times New Roman"/>
                <w:color w:val="000000"/>
              </w:rPr>
              <w:t>Strong growth and value positioning</w:t>
            </w:r>
          </w:p>
        </w:tc>
      </w:tr>
      <w:tr w:rsidR="001A3AE3" w:rsidRPr="001A3AE3" w14:paraId="302590C9" w14:textId="77777777" w:rsidTr="00202B23">
        <w:trPr>
          <w:jc w:val="center"/>
        </w:trPr>
        <w:tc>
          <w:tcPr>
            <w:tcW w:w="2340" w:type="dxa"/>
            <w:tcMar>
              <w:top w:w="90" w:type="dxa"/>
              <w:left w:w="90" w:type="dxa"/>
              <w:bottom w:w="90" w:type="dxa"/>
              <w:right w:w="90" w:type="dxa"/>
            </w:tcMar>
            <w:vAlign w:val="center"/>
          </w:tcPr>
          <w:p w14:paraId="387052A8" w14:textId="77777777" w:rsidR="001A3AE3" w:rsidRPr="001A3AE3" w:rsidRDefault="001A3AE3" w:rsidP="001A3AE3">
            <w:pPr>
              <w:spacing w:after="200" w:line="276" w:lineRule="auto"/>
              <w:jc w:val="center"/>
              <w:rPr>
                <w:rFonts w:ascii="Times New Roman" w:eastAsia="Times New Roman" w:hAnsi="Times New Roman"/>
              </w:rPr>
            </w:pPr>
            <w:proofErr w:type="spellStart"/>
            <w:r w:rsidRPr="001A3AE3">
              <w:rPr>
                <w:rFonts w:ascii="Times New Roman" w:eastAsia="Times New Roman" w:hAnsi="Times New Roman"/>
                <w:color w:val="000000"/>
              </w:rPr>
              <w:t>Stellantis</w:t>
            </w:r>
            <w:proofErr w:type="spellEnd"/>
          </w:p>
        </w:tc>
        <w:tc>
          <w:tcPr>
            <w:tcW w:w="2340" w:type="dxa"/>
            <w:tcMar>
              <w:top w:w="90" w:type="dxa"/>
              <w:left w:w="90" w:type="dxa"/>
              <w:bottom w:w="90" w:type="dxa"/>
              <w:right w:w="90" w:type="dxa"/>
            </w:tcMar>
            <w:vAlign w:val="center"/>
          </w:tcPr>
          <w:p w14:paraId="481FB692" w14:textId="77777777" w:rsidR="001A3AE3" w:rsidRPr="001A3AE3" w:rsidRDefault="001A3AE3" w:rsidP="001A3AE3">
            <w:pPr>
              <w:spacing w:after="200" w:line="276" w:lineRule="auto"/>
              <w:rPr>
                <w:rFonts w:ascii="Times New Roman" w:eastAsia="Times New Roman" w:hAnsi="Times New Roman"/>
              </w:rPr>
            </w:pPr>
            <w:r w:rsidRPr="001A3AE3">
              <w:rPr>
                <w:rFonts w:ascii="Times New Roman" w:eastAsia="Times New Roman" w:hAnsi="Times New Roman"/>
                <w:color w:val="000000"/>
              </w:rPr>
              <w:t>Foreign-controlled group</w:t>
            </w:r>
          </w:p>
        </w:tc>
        <w:tc>
          <w:tcPr>
            <w:tcW w:w="2340" w:type="dxa"/>
            <w:tcMar>
              <w:top w:w="90" w:type="dxa"/>
              <w:left w:w="90" w:type="dxa"/>
              <w:bottom w:w="90" w:type="dxa"/>
              <w:right w:w="90" w:type="dxa"/>
            </w:tcMar>
            <w:vAlign w:val="center"/>
          </w:tcPr>
          <w:p w14:paraId="03ABDA15" w14:textId="77777777" w:rsidR="001A3AE3" w:rsidRPr="001A3AE3" w:rsidRDefault="001A3AE3" w:rsidP="001A3AE3">
            <w:pPr>
              <w:spacing w:after="200" w:line="276" w:lineRule="auto"/>
              <w:rPr>
                <w:rFonts w:ascii="Times New Roman" w:eastAsia="Times New Roman" w:hAnsi="Times New Roman"/>
              </w:rPr>
            </w:pPr>
            <w:r w:rsidRPr="001A3AE3">
              <w:rPr>
                <w:rFonts w:ascii="Times New Roman" w:eastAsia="Times New Roman" w:hAnsi="Times New Roman"/>
                <w:color w:val="000000"/>
              </w:rPr>
              <w:t>Brand portfolio rebalancing</w:t>
            </w:r>
          </w:p>
        </w:tc>
        <w:tc>
          <w:tcPr>
            <w:tcW w:w="2340" w:type="dxa"/>
            <w:tcMar>
              <w:top w:w="90" w:type="dxa"/>
              <w:left w:w="90" w:type="dxa"/>
              <w:bottom w:w="90" w:type="dxa"/>
              <w:right w:w="90" w:type="dxa"/>
            </w:tcMar>
            <w:vAlign w:val="center"/>
          </w:tcPr>
          <w:p w14:paraId="72D9FF57" w14:textId="77777777" w:rsidR="001A3AE3" w:rsidRPr="001A3AE3" w:rsidRDefault="001A3AE3" w:rsidP="001A3AE3">
            <w:pPr>
              <w:spacing w:after="200" w:line="276" w:lineRule="auto"/>
              <w:rPr>
                <w:rFonts w:ascii="Times New Roman" w:eastAsia="Times New Roman" w:hAnsi="Times New Roman"/>
              </w:rPr>
            </w:pPr>
            <w:r w:rsidRPr="001A3AE3">
              <w:rPr>
                <w:rFonts w:ascii="Times New Roman" w:eastAsia="Times New Roman" w:hAnsi="Times New Roman"/>
                <w:color w:val="000000"/>
              </w:rPr>
              <w:t>Execution risk is higher than rivals</w:t>
            </w:r>
          </w:p>
        </w:tc>
      </w:tr>
    </w:tbl>
    <w:p w14:paraId="2C304351" w14:textId="77777777" w:rsidR="001A3AE3" w:rsidRPr="001A3AE3" w:rsidRDefault="001A3AE3" w:rsidP="001A3AE3">
      <w:pPr>
        <w:spacing w:before="240" w:after="240" w:line="480" w:lineRule="auto"/>
        <w:jc w:val="both"/>
        <w:rPr>
          <w:rFonts w:ascii="Times New Roman" w:eastAsia="Times New Roman" w:hAnsi="Times New Roman"/>
          <w:kern w:val="0"/>
          <w:szCs w:val="22"/>
          <w:lang w:val="en-US" w:eastAsia="en-US"/>
          <w14:ligatures w14:val="none"/>
        </w:rPr>
      </w:pPr>
      <w:r w:rsidRPr="001A3AE3">
        <w:rPr>
          <w:rFonts w:ascii="Times New Roman" w:eastAsia="Times New Roman" w:hAnsi="Times New Roman"/>
          <w:kern w:val="0"/>
          <w:szCs w:val="22"/>
          <w:lang w:val="en-US" w:eastAsia="en-US"/>
          <w14:ligatures w14:val="none"/>
        </w:rPr>
        <w:t xml:space="preserve">The relative positions of the big companies are to be more explicitly compared since one of the most valuable sections of the brief is the term major domestic and multinational firms. Right now, GM holds the biggest piece of the U.S. auto market. Thanks to strong output in trucks, SUVs, and crossover models, it stays ahead. Last year, their share hit 16.5 percent - data straight from their 2023 filing. Even as cash flows into electric vehicle development, costs keep rising - from supply shifts to buyer incentives and global trade hurdles. All this comes from General Motors’ own 2025 disclosure. Trucks and work vans keep Ford going; still, it's wiring up new tech, bundling digital help tools, plus tracking green goals for staying relevant later (Ford, 2024). Being known best for </w:t>
      </w:r>
      <w:proofErr w:type="spellStart"/>
      <w:r w:rsidRPr="001A3AE3">
        <w:rPr>
          <w:rFonts w:ascii="Times New Roman" w:eastAsia="Times New Roman" w:hAnsi="Times New Roman"/>
          <w:kern w:val="0"/>
          <w:szCs w:val="22"/>
          <w:lang w:val="en-US" w:eastAsia="en-US"/>
          <w14:ligatures w14:val="none"/>
        </w:rPr>
        <w:t>EVs</w:t>
      </w:r>
      <w:proofErr w:type="spellEnd"/>
      <w:r w:rsidRPr="001A3AE3">
        <w:rPr>
          <w:rFonts w:ascii="Times New Roman" w:eastAsia="Times New Roman" w:hAnsi="Times New Roman"/>
          <w:kern w:val="0"/>
          <w:szCs w:val="22"/>
          <w:lang w:val="en-US" w:eastAsia="en-US"/>
          <w14:ligatures w14:val="none"/>
        </w:rPr>
        <w:t xml:space="preserve"> helps Tesla stand out - though buyers worried about cost, charge access, or resale nerves make that lead shaky. Toyota has a more balanced position since hybrids provide it with a middle ground between the familiarity with combustion and the efficiency of electrification. Honda is a disciplined player who is oriented to engineering quality and cultural fit, Hyundai and Kia are battling on the design, warranty and EV credibility. </w:t>
      </w:r>
      <w:proofErr w:type="spellStart"/>
      <w:r w:rsidRPr="001A3AE3">
        <w:rPr>
          <w:rFonts w:ascii="Times New Roman" w:eastAsia="Times New Roman" w:hAnsi="Times New Roman"/>
          <w:kern w:val="0"/>
          <w:szCs w:val="22"/>
          <w:lang w:val="en-US" w:eastAsia="en-US"/>
          <w14:ligatures w14:val="none"/>
        </w:rPr>
        <w:t>Stellantis</w:t>
      </w:r>
      <w:proofErr w:type="spellEnd"/>
      <w:r w:rsidRPr="001A3AE3">
        <w:rPr>
          <w:rFonts w:ascii="Times New Roman" w:eastAsia="Times New Roman" w:hAnsi="Times New Roman"/>
          <w:kern w:val="0"/>
          <w:szCs w:val="22"/>
          <w:lang w:val="en-US" w:eastAsia="en-US"/>
          <w14:ligatures w14:val="none"/>
        </w:rPr>
        <w:t xml:space="preserve"> is also strategically positioned due to its Jeep, Ram and Chrysler brands, but it has </w:t>
      </w:r>
      <w:r w:rsidRPr="001A3AE3">
        <w:rPr>
          <w:rFonts w:ascii="Times New Roman" w:eastAsia="Times New Roman" w:hAnsi="Times New Roman"/>
          <w:kern w:val="0"/>
          <w:szCs w:val="22"/>
          <w:lang w:val="en-US" w:eastAsia="en-US"/>
          <w14:ligatures w14:val="none"/>
        </w:rPr>
        <w:lastRenderedPageBreak/>
        <w:t>more uneven portfolio and thus it is more vulnerable to execution risk than Toyota or GM (</w:t>
      </w:r>
      <w:proofErr w:type="spellStart"/>
      <w:r w:rsidRPr="001A3AE3">
        <w:rPr>
          <w:rFonts w:ascii="Times New Roman" w:eastAsia="Times New Roman" w:hAnsi="Times New Roman"/>
          <w:kern w:val="0"/>
          <w:szCs w:val="22"/>
          <w:lang w:val="en-US" w:eastAsia="en-US"/>
          <w14:ligatures w14:val="none"/>
        </w:rPr>
        <w:t>Stellantis</w:t>
      </w:r>
      <w:proofErr w:type="spellEnd"/>
      <w:r w:rsidRPr="001A3AE3">
        <w:rPr>
          <w:rFonts w:ascii="Times New Roman" w:eastAsia="Times New Roman" w:hAnsi="Times New Roman"/>
          <w:kern w:val="0"/>
          <w:szCs w:val="22"/>
          <w:lang w:val="en-US" w:eastAsia="en-US"/>
          <w14:ligatures w14:val="none"/>
        </w:rPr>
        <w:t>, 2025; Honda, 2024; Hyundai, 2025).</w:t>
      </w:r>
    </w:p>
    <w:p w14:paraId="52933B2A" w14:textId="77777777" w:rsidR="001A3AE3" w:rsidRPr="001A3AE3" w:rsidRDefault="001A3AE3" w:rsidP="001A3AE3">
      <w:pPr>
        <w:spacing w:before="240" w:after="240" w:line="480" w:lineRule="auto"/>
        <w:jc w:val="both"/>
        <w:rPr>
          <w:rFonts w:ascii="Times New Roman" w:eastAsia="Times New Roman" w:hAnsi="Times New Roman"/>
          <w:kern w:val="0"/>
          <w:szCs w:val="22"/>
          <w:lang w:val="en-US" w:eastAsia="en-US"/>
          <w14:ligatures w14:val="none"/>
        </w:rPr>
      </w:pPr>
      <w:r w:rsidRPr="001A3AE3">
        <w:rPr>
          <w:rFonts w:ascii="Times New Roman" w:eastAsia="Times New Roman" w:hAnsi="Times New Roman"/>
          <w:kern w:val="0"/>
          <w:szCs w:val="22"/>
          <w:lang w:val="en-US" w:eastAsia="en-US"/>
          <w14:ligatures w14:val="none"/>
        </w:rPr>
        <w:t>The table and Figure 2 in this report indicate that the most successful firms are not competing on the same axis. GM and Ford are still both heavy entirely on scale, trucks, SUVs and high-margin pricing, but both are also grappling to fund electrification and defend cash flow. Tesla has been competing on vertical integration, software and direct customer relationships, but now has to compete more on price and product breadth. The approach of Toyota is more balanced: it employs the hybrid-first route, close relationships with dealers, a wide model line with local development and production to stay relevant in various segments of demand. The fact that strategic diversity is rewarded is important as it shows that the U.S. market does not respond to the technological ambition alone, but responds to an implementation, channel depth, adaptation to regulatory requirements and the capacity to transform the broad customer base into repeat sales (Deloitte, 2024; Toyota Motor North America, 2025; GM, 2025).</w:t>
      </w:r>
    </w:p>
    <w:p w14:paraId="755191B2" w14:textId="77777777" w:rsidR="001A3AE3" w:rsidRPr="001A3AE3" w:rsidRDefault="001A3AE3" w:rsidP="001A3AE3">
      <w:pPr>
        <w:spacing w:before="120" w:after="120" w:line="276" w:lineRule="auto"/>
        <w:jc w:val="center"/>
        <w:rPr>
          <w:rFonts w:ascii="Times New Roman" w:eastAsia="Times New Roman" w:hAnsi="Times New Roman"/>
          <w:kern w:val="0"/>
          <w:szCs w:val="22"/>
          <w:lang w:val="en-US" w:eastAsia="en-US"/>
          <w14:ligatures w14:val="none"/>
        </w:rPr>
      </w:pPr>
      <w:r w:rsidRPr="001A3AE3">
        <w:rPr>
          <w:rFonts w:ascii="Times New Roman" w:eastAsia="Times New Roman" w:hAnsi="Times New Roman"/>
          <w:noProof/>
          <w:kern w:val="0"/>
          <w:szCs w:val="22"/>
          <w:lang w:val="en-US" w:eastAsia="en-US"/>
          <w14:ligatures w14:val="none"/>
        </w:rPr>
        <w:drawing>
          <wp:inline distT="0" distB="0" distL="0" distR="0" wp14:anchorId="6A4A56EC" wp14:editId="40F58994">
            <wp:extent cx="6035040" cy="33947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2.png"/>
                    <pic:cNvPicPr/>
                  </pic:nvPicPr>
                  <pic:blipFill>
                    <a:blip r:embed="rId10"/>
                    <a:stretch>
                      <a:fillRect/>
                    </a:stretch>
                  </pic:blipFill>
                  <pic:spPr>
                    <a:xfrm>
                      <a:off x="0" y="0"/>
                      <a:ext cx="6035040" cy="3394710"/>
                    </a:xfrm>
                    <a:prstGeom prst="rect">
                      <a:avLst/>
                    </a:prstGeom>
                  </pic:spPr>
                </pic:pic>
              </a:graphicData>
            </a:graphic>
          </wp:inline>
        </w:drawing>
      </w:r>
    </w:p>
    <w:p w14:paraId="554F58E4" w14:textId="77777777" w:rsidR="001A3AE3" w:rsidRPr="001A3AE3" w:rsidRDefault="001A3AE3" w:rsidP="001A3AE3">
      <w:pPr>
        <w:spacing w:before="120" w:after="120" w:line="480" w:lineRule="auto"/>
        <w:jc w:val="center"/>
        <w:rPr>
          <w:rFonts w:ascii="Times New Roman" w:eastAsia="Times New Roman" w:hAnsi="Times New Roman"/>
          <w:kern w:val="0"/>
          <w:szCs w:val="22"/>
          <w:lang w:val="en-US" w:eastAsia="en-US"/>
          <w14:ligatures w14:val="none"/>
        </w:rPr>
      </w:pPr>
      <w:r w:rsidRPr="001A3AE3">
        <w:rPr>
          <w:rFonts w:ascii="Times New Roman" w:eastAsia="Times New Roman" w:hAnsi="Times New Roman"/>
          <w:b/>
          <w:color w:val="000000"/>
          <w:kern w:val="0"/>
          <w:szCs w:val="22"/>
          <w:lang w:val="en-US" w:eastAsia="en-US"/>
          <w14:ligatures w14:val="none"/>
        </w:rPr>
        <w:t>Figure 2: Strategic positioning of major U.S. auto firms</w:t>
      </w:r>
    </w:p>
    <w:p w14:paraId="60120D00" w14:textId="77777777" w:rsidR="001A3AE3" w:rsidRPr="001A3AE3" w:rsidRDefault="001A3AE3" w:rsidP="001A3AE3">
      <w:pPr>
        <w:spacing w:before="240" w:after="240" w:line="480" w:lineRule="auto"/>
        <w:jc w:val="both"/>
        <w:rPr>
          <w:rFonts w:ascii="Times New Roman" w:eastAsia="Times New Roman" w:hAnsi="Times New Roman"/>
          <w:kern w:val="0"/>
          <w:szCs w:val="22"/>
          <w:lang w:val="en-US" w:eastAsia="en-US"/>
          <w14:ligatures w14:val="none"/>
        </w:rPr>
      </w:pPr>
      <w:r w:rsidRPr="001A3AE3">
        <w:rPr>
          <w:rFonts w:ascii="Times New Roman" w:eastAsia="Times New Roman" w:hAnsi="Times New Roman"/>
          <w:kern w:val="0"/>
          <w:szCs w:val="22"/>
          <w:lang w:val="en-US" w:eastAsia="en-US"/>
          <w14:ligatures w14:val="none"/>
        </w:rPr>
        <w:lastRenderedPageBreak/>
        <w:t>The fact that Toyota is not stuck in one premium niche and relies on a pure EV identity explains why its position is strong, which is explained in Figure 2. It will be able to protect share in the middle of the market and continue electrification.</w:t>
      </w:r>
    </w:p>
    <w:p w14:paraId="2F89A19A" w14:textId="77777777" w:rsidR="001A3AE3" w:rsidRPr="001A3AE3" w:rsidRDefault="001A3AE3" w:rsidP="001A3AE3">
      <w:pPr>
        <w:keepNext/>
        <w:keepLines/>
        <w:spacing w:before="240" w:after="240" w:line="480" w:lineRule="auto"/>
        <w:outlineLvl w:val="0"/>
        <w:rPr>
          <w:rFonts w:asciiTheme="majorHAnsi" w:eastAsiaTheme="majorEastAsia" w:hAnsiTheme="majorHAnsi" w:cstheme="majorBidi"/>
          <w:b/>
          <w:bCs/>
          <w:color w:val="000000"/>
          <w:kern w:val="0"/>
          <w:sz w:val="26"/>
          <w:szCs w:val="28"/>
          <w:lang w:val="en-US" w:eastAsia="en-US"/>
          <w14:ligatures w14:val="none"/>
        </w:rPr>
      </w:pPr>
      <w:bookmarkStart w:id="6" w:name="_Toc227655427"/>
      <w:r w:rsidRPr="001A3AE3">
        <w:rPr>
          <w:rFonts w:ascii="Times New Roman" w:eastAsia="Times New Roman" w:hAnsi="Times New Roman" w:cstheme="majorBidi"/>
          <w:b/>
          <w:bCs/>
          <w:color w:val="000000"/>
          <w:kern w:val="0"/>
          <w:sz w:val="26"/>
          <w:szCs w:val="28"/>
          <w:lang w:val="en-US" w:eastAsia="en-US"/>
          <w14:ligatures w14:val="none"/>
        </w:rPr>
        <w:t>3. Porter’s Diamond Model and the global competitiveness of the U.S. automobile industry</w:t>
      </w:r>
      <w:bookmarkEnd w:id="6"/>
    </w:p>
    <w:p w14:paraId="4E095A4D" w14:textId="77777777" w:rsidR="001A3AE3" w:rsidRPr="001A3AE3" w:rsidRDefault="001A3AE3" w:rsidP="001A3AE3">
      <w:pPr>
        <w:spacing w:before="240" w:after="240" w:line="480" w:lineRule="auto"/>
        <w:jc w:val="both"/>
        <w:rPr>
          <w:rFonts w:ascii="Times New Roman" w:eastAsia="Times New Roman" w:hAnsi="Times New Roman"/>
          <w:kern w:val="0"/>
          <w:szCs w:val="22"/>
          <w:lang w:val="en-US" w:eastAsia="en-US"/>
          <w14:ligatures w14:val="none"/>
        </w:rPr>
      </w:pPr>
      <w:r w:rsidRPr="001A3AE3">
        <w:rPr>
          <w:rFonts w:ascii="Times New Roman" w:eastAsia="Times New Roman" w:hAnsi="Times New Roman"/>
          <w:kern w:val="0"/>
          <w:szCs w:val="22"/>
          <w:lang w:val="en-US" w:eastAsia="en-US"/>
          <w14:ligatures w14:val="none"/>
        </w:rPr>
        <w:t xml:space="preserve">The Diamond Model created by Porter is still applicable in the U.S. automobile industry since it is used to understand the reason why an industry can remain competitive globally despite the fact that its technology base is in transition. It is not an ideal model in a world of global supply chains, battery systems and software platforms, but it can nonetheless assist in understanding how factor endowment, demand endowment, related and assisting industries, and corporate approach, structure and competition interplay to create national advantage. The case in the United States is not merely that of the scale of manufacturing of diamonds. It concerns the policy, consumers, logistics, infrastructure, labour markets and competition in a large continental economy. That interaction is </w:t>
      </w:r>
      <w:proofErr w:type="spellStart"/>
      <w:r w:rsidRPr="001A3AE3">
        <w:rPr>
          <w:rFonts w:ascii="Times New Roman" w:eastAsia="Times New Roman" w:hAnsi="Times New Roman"/>
          <w:kern w:val="0"/>
          <w:szCs w:val="22"/>
          <w:lang w:val="en-US" w:eastAsia="en-US"/>
          <w14:ligatures w14:val="none"/>
        </w:rPr>
        <w:t>summarised</w:t>
      </w:r>
      <w:proofErr w:type="spellEnd"/>
      <w:r w:rsidRPr="001A3AE3">
        <w:rPr>
          <w:rFonts w:ascii="Times New Roman" w:eastAsia="Times New Roman" w:hAnsi="Times New Roman"/>
          <w:kern w:val="0"/>
          <w:szCs w:val="22"/>
          <w:lang w:val="en-US" w:eastAsia="en-US"/>
          <w14:ligatures w14:val="none"/>
        </w:rPr>
        <w:t xml:space="preserve"> in figure 3. The question whether the U.S. can maintain competitive foundation as the sector reinvents itself around electrification, digital services and a lower-emission mobility is the critical one.</w:t>
      </w:r>
    </w:p>
    <w:p w14:paraId="57DA0F24" w14:textId="77777777" w:rsidR="001A3AE3" w:rsidRPr="001A3AE3" w:rsidRDefault="001A3AE3" w:rsidP="001A3AE3">
      <w:pPr>
        <w:spacing w:before="120" w:after="120" w:line="276" w:lineRule="auto"/>
        <w:jc w:val="center"/>
        <w:rPr>
          <w:rFonts w:ascii="Times New Roman" w:eastAsia="Times New Roman" w:hAnsi="Times New Roman"/>
          <w:kern w:val="0"/>
          <w:szCs w:val="22"/>
          <w:lang w:val="en-US" w:eastAsia="en-US"/>
          <w14:ligatures w14:val="none"/>
        </w:rPr>
      </w:pPr>
      <w:r w:rsidRPr="001A3AE3">
        <w:rPr>
          <w:rFonts w:ascii="Times New Roman" w:eastAsia="Times New Roman" w:hAnsi="Times New Roman"/>
          <w:noProof/>
          <w:kern w:val="0"/>
          <w:szCs w:val="22"/>
          <w:lang w:val="en-US" w:eastAsia="en-US"/>
          <w14:ligatures w14:val="none"/>
        </w:rPr>
        <w:lastRenderedPageBreak/>
        <w:drawing>
          <wp:inline distT="0" distB="0" distL="0" distR="0" wp14:anchorId="26ABD78C" wp14:editId="2978D51A">
            <wp:extent cx="5252872" cy="2954740"/>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3.png"/>
                    <pic:cNvPicPr/>
                  </pic:nvPicPr>
                  <pic:blipFill>
                    <a:blip r:embed="rId11"/>
                    <a:stretch>
                      <a:fillRect/>
                    </a:stretch>
                  </pic:blipFill>
                  <pic:spPr>
                    <a:xfrm>
                      <a:off x="0" y="0"/>
                      <a:ext cx="5279793" cy="2969883"/>
                    </a:xfrm>
                    <a:prstGeom prst="rect">
                      <a:avLst/>
                    </a:prstGeom>
                  </pic:spPr>
                </pic:pic>
              </a:graphicData>
            </a:graphic>
          </wp:inline>
        </w:drawing>
      </w:r>
    </w:p>
    <w:p w14:paraId="6383C9BE" w14:textId="77777777" w:rsidR="001A3AE3" w:rsidRPr="001A3AE3" w:rsidRDefault="001A3AE3" w:rsidP="001A3AE3">
      <w:pPr>
        <w:spacing w:before="120" w:after="120" w:line="480" w:lineRule="auto"/>
        <w:jc w:val="center"/>
        <w:rPr>
          <w:rFonts w:ascii="Times New Roman" w:eastAsia="Times New Roman" w:hAnsi="Times New Roman"/>
          <w:kern w:val="0"/>
          <w:szCs w:val="22"/>
          <w:lang w:val="en-US" w:eastAsia="en-US"/>
          <w14:ligatures w14:val="none"/>
        </w:rPr>
      </w:pPr>
      <w:r w:rsidRPr="001A3AE3">
        <w:rPr>
          <w:rFonts w:ascii="Times New Roman" w:eastAsia="Times New Roman" w:hAnsi="Times New Roman"/>
          <w:b/>
          <w:color w:val="000000"/>
          <w:kern w:val="0"/>
          <w:szCs w:val="22"/>
          <w:lang w:val="en-US" w:eastAsia="en-US"/>
          <w14:ligatures w14:val="none"/>
        </w:rPr>
        <w:t>Figure 3: Porter’s Diamond for the U.S. automobile industry</w:t>
      </w:r>
    </w:p>
    <w:p w14:paraId="51DF6CEB" w14:textId="77777777" w:rsidR="001A3AE3" w:rsidRPr="001A3AE3" w:rsidRDefault="001A3AE3" w:rsidP="001A3AE3">
      <w:pPr>
        <w:keepNext/>
        <w:keepLines/>
        <w:spacing w:before="240" w:after="240" w:line="480" w:lineRule="auto"/>
        <w:outlineLvl w:val="1"/>
        <w:rPr>
          <w:rFonts w:asciiTheme="majorHAnsi" w:eastAsiaTheme="majorEastAsia" w:hAnsiTheme="majorHAnsi" w:cstheme="majorBidi"/>
          <w:b/>
          <w:bCs/>
          <w:color w:val="000000"/>
          <w:kern w:val="0"/>
          <w:szCs w:val="26"/>
          <w:lang w:val="en-US" w:eastAsia="en-US"/>
          <w14:ligatures w14:val="none"/>
        </w:rPr>
      </w:pPr>
      <w:bookmarkStart w:id="7" w:name="_Toc227655428"/>
      <w:r w:rsidRPr="001A3AE3">
        <w:rPr>
          <w:rFonts w:ascii="Times New Roman" w:eastAsia="Times New Roman" w:hAnsi="Times New Roman" w:cstheme="majorBidi"/>
          <w:b/>
          <w:bCs/>
          <w:color w:val="000000"/>
          <w:kern w:val="0"/>
          <w:szCs w:val="26"/>
          <w:lang w:val="en-US" w:eastAsia="en-US"/>
          <w14:ligatures w14:val="none"/>
        </w:rPr>
        <w:t>3.1 Factor conditions</w:t>
      </w:r>
      <w:bookmarkEnd w:id="7"/>
    </w:p>
    <w:p w14:paraId="0362469F" w14:textId="77777777" w:rsidR="001A3AE3" w:rsidRPr="001A3AE3" w:rsidRDefault="001A3AE3" w:rsidP="001A3AE3">
      <w:pPr>
        <w:spacing w:before="240" w:after="240" w:line="480" w:lineRule="auto"/>
        <w:jc w:val="both"/>
        <w:rPr>
          <w:rFonts w:ascii="Times New Roman" w:eastAsia="Times New Roman" w:hAnsi="Times New Roman"/>
          <w:kern w:val="0"/>
          <w:szCs w:val="22"/>
          <w:lang w:val="en-US" w:eastAsia="en-US"/>
          <w14:ligatures w14:val="none"/>
        </w:rPr>
      </w:pPr>
      <w:r w:rsidRPr="001A3AE3">
        <w:rPr>
          <w:rFonts w:ascii="Times New Roman" w:eastAsia="Times New Roman" w:hAnsi="Times New Roman"/>
          <w:kern w:val="0"/>
          <w:szCs w:val="22"/>
          <w:lang w:val="en-US" w:eastAsia="en-US"/>
          <w14:ligatures w14:val="none"/>
        </w:rPr>
        <w:t xml:space="preserve">The United States has strong factor conditions which are uneven. The nation has developed engineering capabilities, global higher education institutions, extensive capital market structure and massive industrial labour pool and these factors </w:t>
      </w:r>
      <w:proofErr w:type="spellStart"/>
      <w:r w:rsidRPr="001A3AE3">
        <w:rPr>
          <w:rFonts w:ascii="Times New Roman" w:eastAsia="Times New Roman" w:hAnsi="Times New Roman"/>
          <w:kern w:val="0"/>
          <w:szCs w:val="22"/>
          <w:lang w:val="en-US" w:eastAsia="en-US"/>
          <w14:ligatures w14:val="none"/>
        </w:rPr>
        <w:t>favour</w:t>
      </w:r>
      <w:proofErr w:type="spellEnd"/>
      <w:r w:rsidRPr="001A3AE3">
        <w:rPr>
          <w:rFonts w:ascii="Times New Roman" w:eastAsia="Times New Roman" w:hAnsi="Times New Roman"/>
          <w:kern w:val="0"/>
          <w:szCs w:val="22"/>
          <w:lang w:val="en-US" w:eastAsia="en-US"/>
          <w14:ligatures w14:val="none"/>
        </w:rPr>
        <w:t xml:space="preserve"> automotive innovation. The quality of those factors however varies by region and also by </w:t>
      </w:r>
      <w:proofErr w:type="spellStart"/>
      <w:r w:rsidRPr="001A3AE3">
        <w:rPr>
          <w:rFonts w:ascii="Times New Roman" w:eastAsia="Times New Roman" w:hAnsi="Times New Roman"/>
          <w:kern w:val="0"/>
          <w:szCs w:val="22"/>
          <w:lang w:val="en-US" w:eastAsia="en-US"/>
          <w14:ligatures w14:val="none"/>
        </w:rPr>
        <w:t>subsector</w:t>
      </w:r>
      <w:proofErr w:type="spellEnd"/>
      <w:r w:rsidRPr="001A3AE3">
        <w:rPr>
          <w:rFonts w:ascii="Times New Roman" w:eastAsia="Times New Roman" w:hAnsi="Times New Roman"/>
          <w:kern w:val="0"/>
          <w:szCs w:val="22"/>
          <w:lang w:val="en-US" w:eastAsia="en-US"/>
          <w14:ligatures w14:val="none"/>
        </w:rPr>
        <w:t>. According to the BLS information, the automotive industry is characterized by highly differentiated processes, including manufacturing, retail and maintenance, which implies that the competitiveness is not only connected with the design talent but also with the high-level of technicians, software engineers, battery specialists, logistics personnel and service workers (BLS, 2026). The advent of electric cars enhances the worth of software, electrical engineering and battery expertise, and undermines the comparative significance of certain conventional mechanical benefits. That is, the factor conditions in the United States remain strong, but the factors themselves are shifting.</w:t>
      </w:r>
    </w:p>
    <w:p w14:paraId="6C3BEDAB" w14:textId="77777777" w:rsidR="001A3AE3" w:rsidRPr="001A3AE3" w:rsidRDefault="001A3AE3" w:rsidP="001A3AE3">
      <w:pPr>
        <w:keepNext/>
        <w:keepLines/>
        <w:spacing w:before="240" w:after="240" w:line="480" w:lineRule="auto"/>
        <w:outlineLvl w:val="1"/>
        <w:rPr>
          <w:rFonts w:asciiTheme="majorHAnsi" w:eastAsiaTheme="majorEastAsia" w:hAnsiTheme="majorHAnsi" w:cstheme="majorBidi"/>
          <w:b/>
          <w:bCs/>
          <w:color w:val="000000"/>
          <w:kern w:val="0"/>
          <w:szCs w:val="26"/>
          <w:lang w:val="en-US" w:eastAsia="en-US"/>
          <w14:ligatures w14:val="none"/>
        </w:rPr>
      </w:pPr>
      <w:bookmarkStart w:id="8" w:name="_Toc227655429"/>
      <w:r w:rsidRPr="001A3AE3">
        <w:rPr>
          <w:rFonts w:ascii="Times New Roman" w:eastAsia="Times New Roman" w:hAnsi="Times New Roman" w:cstheme="majorBidi"/>
          <w:b/>
          <w:bCs/>
          <w:color w:val="000000"/>
          <w:kern w:val="0"/>
          <w:szCs w:val="26"/>
          <w:lang w:val="en-US" w:eastAsia="en-US"/>
          <w14:ligatures w14:val="none"/>
        </w:rPr>
        <w:lastRenderedPageBreak/>
        <w:t>3.2 Demand conditions</w:t>
      </w:r>
      <w:bookmarkEnd w:id="8"/>
    </w:p>
    <w:p w14:paraId="5219A3E5" w14:textId="77777777" w:rsidR="001A3AE3" w:rsidRPr="001A3AE3" w:rsidRDefault="001A3AE3" w:rsidP="001A3AE3">
      <w:pPr>
        <w:spacing w:before="240" w:after="240" w:line="480" w:lineRule="auto"/>
        <w:jc w:val="both"/>
        <w:rPr>
          <w:rFonts w:ascii="Times New Roman" w:eastAsia="Times New Roman" w:hAnsi="Times New Roman"/>
          <w:kern w:val="0"/>
          <w:szCs w:val="22"/>
          <w:lang w:val="en-US" w:eastAsia="en-US"/>
          <w14:ligatures w14:val="none"/>
        </w:rPr>
      </w:pPr>
      <w:r w:rsidRPr="001A3AE3">
        <w:rPr>
          <w:rFonts w:ascii="Times New Roman" w:eastAsia="Times New Roman" w:hAnsi="Times New Roman"/>
          <w:kern w:val="0"/>
          <w:szCs w:val="22"/>
          <w:lang w:val="en-US" w:eastAsia="en-US"/>
          <w14:ligatures w14:val="none"/>
        </w:rPr>
        <w:t>The U.S. diamond is likely to have demand conditions as the most significant point of pressure. The number of domestic customers is high, and they are not equally prepared to adopt a full EV transition. Backed by figures from 2024, Deloitte found rising loan costs and steep vehicle tags still hold back electric car interest - despite perks offered in some regions. Charging worries tag along just as much. Then again, Reuters uncovered a trend: many U.S. buyers stick with gas models rather than shift toward plug-ins. Not belief, but budget seems to steer the choice most. What lies beneath isn’t passion for engines, it’s math at checkout. This is important since demanding customers do not necessarily develop premium EV demand; they tend to establish disciplined demand of low overall cost of ownership, reliable charging experiences and powertrain selection. That trend is favorable to Toyota since its hybrids enable consumers to cut fuel consumption though not entirely giving up on the engine-based habit that has been a major factor in the market.</w:t>
      </w:r>
    </w:p>
    <w:p w14:paraId="3CB15BE3" w14:textId="77777777" w:rsidR="001A3AE3" w:rsidRPr="001A3AE3" w:rsidRDefault="001A3AE3" w:rsidP="001A3AE3">
      <w:pPr>
        <w:spacing w:before="120" w:after="120" w:line="276" w:lineRule="auto"/>
        <w:jc w:val="center"/>
        <w:rPr>
          <w:rFonts w:ascii="Times New Roman" w:eastAsia="Times New Roman" w:hAnsi="Times New Roman"/>
          <w:kern w:val="0"/>
          <w:szCs w:val="22"/>
          <w:lang w:val="en-US" w:eastAsia="en-US"/>
          <w14:ligatures w14:val="none"/>
        </w:rPr>
      </w:pPr>
      <w:r w:rsidRPr="001A3AE3">
        <w:rPr>
          <w:rFonts w:ascii="Times New Roman" w:eastAsia="Times New Roman" w:hAnsi="Times New Roman"/>
          <w:noProof/>
          <w:kern w:val="0"/>
          <w:szCs w:val="22"/>
          <w:lang w:val="en-US" w:eastAsia="en-US"/>
          <w14:ligatures w14:val="none"/>
        </w:rPr>
        <w:drawing>
          <wp:inline distT="0" distB="0" distL="0" distR="0" wp14:anchorId="1B94059D" wp14:editId="18A8103C">
            <wp:extent cx="6035040" cy="339471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4.png"/>
                    <pic:cNvPicPr/>
                  </pic:nvPicPr>
                  <pic:blipFill>
                    <a:blip r:embed="rId12"/>
                    <a:stretch>
                      <a:fillRect/>
                    </a:stretch>
                  </pic:blipFill>
                  <pic:spPr>
                    <a:xfrm>
                      <a:off x="0" y="0"/>
                      <a:ext cx="6035040" cy="3394710"/>
                    </a:xfrm>
                    <a:prstGeom prst="rect">
                      <a:avLst/>
                    </a:prstGeom>
                  </pic:spPr>
                </pic:pic>
              </a:graphicData>
            </a:graphic>
          </wp:inline>
        </w:drawing>
      </w:r>
    </w:p>
    <w:p w14:paraId="7B1EE92E" w14:textId="77777777" w:rsidR="001A3AE3" w:rsidRPr="001A3AE3" w:rsidRDefault="001A3AE3" w:rsidP="001A3AE3">
      <w:pPr>
        <w:spacing w:before="120" w:after="120" w:line="480" w:lineRule="auto"/>
        <w:jc w:val="center"/>
        <w:rPr>
          <w:rFonts w:ascii="Times New Roman" w:eastAsia="Times New Roman" w:hAnsi="Times New Roman"/>
          <w:kern w:val="0"/>
          <w:szCs w:val="22"/>
          <w:lang w:val="en-US" w:eastAsia="en-US"/>
          <w14:ligatures w14:val="none"/>
        </w:rPr>
      </w:pPr>
      <w:r w:rsidRPr="001A3AE3">
        <w:rPr>
          <w:rFonts w:ascii="Times New Roman" w:eastAsia="Times New Roman" w:hAnsi="Times New Roman"/>
          <w:b/>
          <w:color w:val="000000"/>
          <w:kern w:val="0"/>
          <w:szCs w:val="22"/>
          <w:lang w:val="en-US" w:eastAsia="en-US"/>
          <w14:ligatures w14:val="none"/>
        </w:rPr>
        <w:t>Figure 4: U.S. demand conditions relevant to Toyota</w:t>
      </w:r>
    </w:p>
    <w:p w14:paraId="6BE4821E" w14:textId="77777777" w:rsidR="001A3AE3" w:rsidRPr="001A3AE3" w:rsidRDefault="001A3AE3" w:rsidP="001A3AE3">
      <w:pPr>
        <w:spacing w:before="240" w:after="240" w:line="480" w:lineRule="auto"/>
        <w:jc w:val="both"/>
        <w:rPr>
          <w:rFonts w:ascii="Times New Roman" w:eastAsia="Times New Roman" w:hAnsi="Times New Roman"/>
          <w:kern w:val="0"/>
          <w:szCs w:val="22"/>
          <w:lang w:val="en-US" w:eastAsia="en-US"/>
          <w14:ligatures w14:val="none"/>
        </w:rPr>
      </w:pPr>
      <w:r w:rsidRPr="001A3AE3">
        <w:rPr>
          <w:rFonts w:ascii="Times New Roman" w:eastAsia="Times New Roman" w:hAnsi="Times New Roman"/>
          <w:kern w:val="0"/>
          <w:szCs w:val="22"/>
          <w:lang w:val="en-US" w:eastAsia="en-US"/>
          <w14:ligatures w14:val="none"/>
        </w:rPr>
        <w:lastRenderedPageBreak/>
        <w:t>The main analytical fact is that Toyota takes advantage of the heterogeneity of demand. Even a consumer that is not yet prepared to purchase a full BEV is still able to purchase into lower operating costs with the help of a hybrid and this makes Toyota more resilient compared to firms that stick to one narrative of powertrain.</w:t>
      </w:r>
    </w:p>
    <w:p w14:paraId="3860B535" w14:textId="77777777" w:rsidR="001A3AE3" w:rsidRPr="001A3AE3" w:rsidRDefault="001A3AE3" w:rsidP="001A3AE3">
      <w:pPr>
        <w:keepNext/>
        <w:keepLines/>
        <w:spacing w:before="240" w:after="240" w:line="480" w:lineRule="auto"/>
        <w:outlineLvl w:val="1"/>
        <w:rPr>
          <w:rFonts w:asciiTheme="majorHAnsi" w:eastAsiaTheme="majorEastAsia" w:hAnsiTheme="majorHAnsi" w:cstheme="majorBidi"/>
          <w:b/>
          <w:bCs/>
          <w:color w:val="000000"/>
          <w:kern w:val="0"/>
          <w:szCs w:val="26"/>
          <w:lang w:val="en-US" w:eastAsia="en-US"/>
          <w14:ligatures w14:val="none"/>
        </w:rPr>
      </w:pPr>
      <w:bookmarkStart w:id="9" w:name="_Toc227655430"/>
      <w:r w:rsidRPr="001A3AE3">
        <w:rPr>
          <w:rFonts w:ascii="Times New Roman" w:eastAsia="Times New Roman" w:hAnsi="Times New Roman" w:cstheme="majorBidi"/>
          <w:b/>
          <w:bCs/>
          <w:color w:val="000000"/>
          <w:kern w:val="0"/>
          <w:szCs w:val="26"/>
          <w:lang w:val="en-US" w:eastAsia="en-US"/>
          <w14:ligatures w14:val="none"/>
        </w:rPr>
        <w:t>3.3 Related and supporting industries</w:t>
      </w:r>
      <w:bookmarkEnd w:id="9"/>
    </w:p>
    <w:p w14:paraId="711472EA" w14:textId="77777777" w:rsidR="001A3AE3" w:rsidRPr="001A3AE3" w:rsidRDefault="001A3AE3" w:rsidP="001A3AE3">
      <w:pPr>
        <w:spacing w:before="240" w:after="240" w:line="480" w:lineRule="auto"/>
        <w:jc w:val="both"/>
        <w:rPr>
          <w:rFonts w:ascii="Times New Roman" w:eastAsia="Times New Roman" w:hAnsi="Times New Roman"/>
          <w:kern w:val="0"/>
          <w:szCs w:val="22"/>
          <w:lang w:val="en-US" w:eastAsia="en-US"/>
          <w14:ligatures w14:val="none"/>
        </w:rPr>
      </w:pPr>
      <w:r w:rsidRPr="001A3AE3">
        <w:rPr>
          <w:rFonts w:ascii="Times New Roman" w:eastAsia="Times New Roman" w:hAnsi="Times New Roman"/>
          <w:kern w:val="0"/>
          <w:szCs w:val="22"/>
          <w:lang w:val="en-US" w:eastAsia="en-US"/>
          <w14:ligatures w14:val="none"/>
        </w:rPr>
        <w:t>The U.S. competitiveness is largely attributed to related and supporting industries. The industry is supported by a high number of suppliers, well developed semiconductor and software infrastructures, power systems, banking facilities and well distributed retail network. However, in the modern world, the steel, stamping and engines are not the sole vital support industries. They have now added charging networks, battery material, chip fabrication, and cloud software and data systems. According to DOE data, there were still over 188,096 public and private EV charging ports in the U.S. in 2024, and 188,096 of these were captured in Q2 2024 (DOE AFDC, 2024). However, the analysis by ICCT claims that even then the country would require a much bigger build-out of charging infrastructure to accommodate massive EV adoption by 2030 (ICCT, 2021). This difference between the actual and desired results brings in a structural bottleneck. The supporting-industries element of the U.S. diamond thus is robust, though not yet powerful enough to overcome demand reluctance.</w:t>
      </w:r>
    </w:p>
    <w:p w14:paraId="388971D8" w14:textId="77777777" w:rsidR="001A3AE3" w:rsidRPr="001A3AE3" w:rsidRDefault="001A3AE3" w:rsidP="001A3AE3">
      <w:pPr>
        <w:spacing w:before="240" w:after="240" w:line="480" w:lineRule="auto"/>
        <w:jc w:val="both"/>
        <w:rPr>
          <w:rFonts w:ascii="Times New Roman" w:eastAsia="Times New Roman" w:hAnsi="Times New Roman"/>
          <w:kern w:val="0"/>
          <w:szCs w:val="22"/>
          <w:lang w:val="en-US" w:eastAsia="en-US"/>
          <w14:ligatures w14:val="none"/>
        </w:rPr>
      </w:pPr>
      <w:r w:rsidRPr="001A3AE3">
        <w:rPr>
          <w:rFonts w:ascii="Times New Roman" w:eastAsia="Times New Roman" w:hAnsi="Times New Roman"/>
          <w:kern w:val="0"/>
          <w:szCs w:val="22"/>
          <w:lang w:val="en-US" w:eastAsia="en-US"/>
          <w14:ligatures w14:val="none"/>
        </w:rPr>
        <w:t xml:space="preserve">A more critical reading of Porter’s Diamond is also needed. The model is not obsolete, but over-estimates the role of national boundaries at a time when the creation of automotive value is highly transnational. The chemistry of battery may be made in one country, semiconductor design in another and final vehicle assembly in a third country. That is to say that the U.S. diamond has now come to rely on the foreign flows of minerals, software and capital as much as it has to rely on local factories. However, the model is useful as it describes why certain countries continue to receive more automotive value added than others. The U.S. still enjoys </w:t>
      </w:r>
      <w:r w:rsidRPr="001A3AE3">
        <w:rPr>
          <w:rFonts w:ascii="Times New Roman" w:eastAsia="Times New Roman" w:hAnsi="Times New Roman"/>
          <w:kern w:val="0"/>
          <w:szCs w:val="22"/>
          <w:lang w:val="en-US" w:eastAsia="en-US"/>
          <w14:ligatures w14:val="none"/>
        </w:rPr>
        <w:lastRenderedPageBreak/>
        <w:t>the advantages of market depth, engineering capability and policy power, but now must protect this advantage against a more networked global industry. The diamond is supposed to be interpreted as an ecosystem model but not a closed national box in that sense (Porters logic adapted with the help of USTR, 2024a; OECD, 2024b; IEA, 2024).</w:t>
      </w:r>
    </w:p>
    <w:p w14:paraId="0BE14875"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p>
    <w:p w14:paraId="5CA573F0"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p>
    <w:p w14:paraId="525DAA4F" w14:textId="77777777" w:rsidR="001A3AE3" w:rsidRPr="001A3AE3" w:rsidRDefault="001A3AE3" w:rsidP="001A3AE3">
      <w:pPr>
        <w:keepNext/>
        <w:keepLines/>
        <w:spacing w:before="240" w:after="240" w:line="480" w:lineRule="auto"/>
        <w:outlineLvl w:val="1"/>
        <w:rPr>
          <w:rFonts w:asciiTheme="majorHAnsi" w:eastAsiaTheme="majorEastAsia" w:hAnsiTheme="majorHAnsi" w:cstheme="majorBidi"/>
          <w:b/>
          <w:bCs/>
          <w:color w:val="000000"/>
          <w:kern w:val="0"/>
          <w:szCs w:val="26"/>
          <w:lang w:val="en-US" w:eastAsia="en-US"/>
          <w14:ligatures w14:val="none"/>
        </w:rPr>
      </w:pPr>
      <w:bookmarkStart w:id="10" w:name="_Toc227655431"/>
      <w:r w:rsidRPr="001A3AE3">
        <w:rPr>
          <w:rFonts w:ascii="Times New Roman" w:eastAsia="Times New Roman" w:hAnsi="Times New Roman" w:cstheme="majorBidi"/>
          <w:b/>
          <w:bCs/>
          <w:color w:val="000000"/>
          <w:kern w:val="0"/>
          <w:szCs w:val="26"/>
          <w:lang w:val="en-US" w:eastAsia="en-US"/>
          <w14:ligatures w14:val="none"/>
        </w:rPr>
        <w:t>3.4 Firm strategy, structure and rivalry</w:t>
      </w:r>
      <w:bookmarkEnd w:id="10"/>
    </w:p>
    <w:p w14:paraId="6E5B76A8"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t xml:space="preserve">The United States has firm strategy, structure and rivalry that is fierce and this is one of the reasons why the industry has been innovative. The domestic companies are competitive among themselves and foreign companies compete via </w:t>
      </w:r>
      <w:proofErr w:type="spellStart"/>
      <w:r w:rsidRPr="001A3AE3">
        <w:rPr>
          <w:rFonts w:ascii="Times New Roman" w:eastAsia="Times New Roman" w:hAnsi="Times New Roman"/>
          <w:color w:val="000000"/>
          <w:kern w:val="0"/>
          <w:szCs w:val="22"/>
          <w:lang w:val="en-US" w:eastAsia="en-US"/>
          <w14:ligatures w14:val="none"/>
        </w:rPr>
        <w:t>localisation</w:t>
      </w:r>
      <w:proofErr w:type="spellEnd"/>
      <w:r w:rsidRPr="001A3AE3">
        <w:rPr>
          <w:rFonts w:ascii="Times New Roman" w:eastAsia="Times New Roman" w:hAnsi="Times New Roman"/>
          <w:color w:val="000000"/>
          <w:kern w:val="0"/>
          <w:szCs w:val="22"/>
          <w:lang w:val="en-US" w:eastAsia="en-US"/>
          <w14:ligatures w14:val="none"/>
        </w:rPr>
        <w:t>, brand position and product mix. The annual report 2024 of GM displays a very huge domestic market presence whereas the strategy of Ford involves the development of trucks, commercial vehicles and electrified line-ups; Toyota concentrates on value, hybrids and product breadth; Honda on loyalty and reliability; Hyundai on styling, warranty and product breadth; Tesla on software, charging and a direct-sales model (GM, 2025; The outcome is a highly dynamic yet expensive rivalry form. Companies have to continuously fund model updates, software development, battery procurement and regulations and maintain their profitability. That pressure is conducive to innovation, but it makes mistakes costly.</w:t>
      </w:r>
    </w:p>
    <w:p w14:paraId="45E402B1"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t xml:space="preserve">The U.S. demand conditions of Toyota are equally crucial since the demand currently is divided among powertrains. A complete EV approach might be best in certain urban and coastal markets, but not the entire national market. This is supported by the consumer evidence. According to a study conducted by Deloitte in 2024, people are less interested in </w:t>
      </w:r>
      <w:proofErr w:type="spellStart"/>
      <w:r w:rsidRPr="001A3AE3">
        <w:rPr>
          <w:rFonts w:ascii="Times New Roman" w:eastAsia="Times New Roman" w:hAnsi="Times New Roman"/>
          <w:color w:val="000000"/>
          <w:kern w:val="0"/>
          <w:szCs w:val="22"/>
          <w:lang w:val="en-US" w:eastAsia="en-US"/>
          <w14:ligatures w14:val="none"/>
        </w:rPr>
        <w:t>EVs</w:t>
      </w:r>
      <w:proofErr w:type="spellEnd"/>
      <w:r w:rsidRPr="001A3AE3">
        <w:rPr>
          <w:rFonts w:ascii="Times New Roman" w:eastAsia="Times New Roman" w:hAnsi="Times New Roman"/>
          <w:color w:val="000000"/>
          <w:kern w:val="0"/>
          <w:szCs w:val="22"/>
          <w:lang w:val="en-US" w:eastAsia="en-US"/>
          <w14:ligatures w14:val="none"/>
        </w:rPr>
        <w:t xml:space="preserve"> due to charging anxiety and affordability, and KPMG survey indicates that people are more concerned </w:t>
      </w:r>
      <w:r w:rsidRPr="001A3AE3">
        <w:rPr>
          <w:rFonts w:ascii="Times New Roman" w:eastAsia="Times New Roman" w:hAnsi="Times New Roman"/>
          <w:color w:val="000000"/>
          <w:kern w:val="0"/>
          <w:szCs w:val="22"/>
          <w:lang w:val="en-US" w:eastAsia="en-US"/>
          <w14:ligatures w14:val="none"/>
        </w:rPr>
        <w:lastRenderedPageBreak/>
        <w:t xml:space="preserve">with reliable infrastructure instead of mere promotional messages (Deloitte, 2024; KPMG, 2024). This is the reason why the focus of hybrid in Toyota is strategically plausible. It will be able to </w:t>
      </w:r>
      <w:proofErr w:type="spellStart"/>
      <w:r w:rsidRPr="001A3AE3">
        <w:rPr>
          <w:rFonts w:ascii="Times New Roman" w:eastAsia="Times New Roman" w:hAnsi="Times New Roman"/>
          <w:color w:val="000000"/>
          <w:kern w:val="0"/>
          <w:szCs w:val="22"/>
          <w:lang w:val="en-US" w:eastAsia="en-US"/>
          <w14:ligatures w14:val="none"/>
        </w:rPr>
        <w:t>monetise</w:t>
      </w:r>
      <w:proofErr w:type="spellEnd"/>
      <w:r w:rsidRPr="001A3AE3">
        <w:rPr>
          <w:rFonts w:ascii="Times New Roman" w:eastAsia="Times New Roman" w:hAnsi="Times New Roman"/>
          <w:color w:val="000000"/>
          <w:kern w:val="0"/>
          <w:szCs w:val="22"/>
          <w:lang w:val="en-US" w:eastAsia="en-US"/>
          <w14:ligatures w14:val="none"/>
        </w:rPr>
        <w:t xml:space="preserve"> reduced fuel usage now, eliminate reliance on inconsistent charging habits and nevertheless set the brand up to a more sustained BEV transition. The moral of the story is that a good market is not a prepared market. Toyota is successful in its approach of viewing the U.S. as a market that rewards patience, range and trust as opposed to a market that can be transformed with the help of advertising.</w:t>
      </w:r>
    </w:p>
    <w:p w14:paraId="57481D49" w14:textId="77777777" w:rsidR="001A3AE3" w:rsidRPr="001A3AE3" w:rsidRDefault="001A3AE3" w:rsidP="001A3AE3">
      <w:pPr>
        <w:keepNext/>
        <w:keepLines/>
        <w:spacing w:before="240" w:after="240" w:line="480" w:lineRule="auto"/>
        <w:outlineLvl w:val="1"/>
        <w:rPr>
          <w:rFonts w:asciiTheme="majorHAnsi" w:eastAsiaTheme="majorEastAsia" w:hAnsiTheme="majorHAnsi" w:cstheme="majorBidi"/>
          <w:b/>
          <w:bCs/>
          <w:color w:val="000000"/>
          <w:kern w:val="0"/>
          <w:szCs w:val="26"/>
          <w:lang w:val="en-US" w:eastAsia="en-US"/>
          <w14:ligatures w14:val="none"/>
        </w:rPr>
      </w:pPr>
      <w:bookmarkStart w:id="11" w:name="_Toc227655432"/>
      <w:r w:rsidRPr="001A3AE3">
        <w:rPr>
          <w:rFonts w:ascii="Times New Roman" w:eastAsia="Times New Roman" w:hAnsi="Times New Roman" w:cstheme="majorBidi"/>
          <w:b/>
          <w:bCs/>
          <w:color w:val="000000"/>
          <w:kern w:val="0"/>
          <w:szCs w:val="26"/>
          <w:lang w:val="en-US" w:eastAsia="en-US"/>
          <w14:ligatures w14:val="none"/>
        </w:rPr>
        <w:t>3.5 Government and chance</w:t>
      </w:r>
      <w:bookmarkEnd w:id="11"/>
    </w:p>
    <w:p w14:paraId="04986352"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t>The U.S. diamond is particularly volatile due to two factors: government and chance. The policy of the government is not neutral: the EPA and NHTSA regulations by the Biden-Harris administration only keep getting stricter on fuel-economy and emissions standards, and the Inflation Reduction Act and industrial policy-related actions reward local battery and vehicle manufacturing (EPA, 2024; NHTSA, 2024a; NHTSA, 2024b; White House, Meanwhile, the vulnerability of global sourcing models has been revealed by random occurrences like the pandemic, chip shortages, shipping disruption and trade tension caused by conflict. USTR reports in 2024 specifically state that non-market and supply chain concentration policies outside of North America have left the auto sector vulnerable (USTR, 2024a; USTR, 2024b). This implies that U.S. diamond is not just powerful, it is also policy-sensitive. The success of firms and policymakers to realign regulation, infrastructure and industrial upgrading will determine its future competitiveness.</w:t>
      </w:r>
    </w:p>
    <w:p w14:paraId="6527068C"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t xml:space="preserve">The weight should be given to government and chance even more as they can soon reprice the attractiveness of the U.S. market. The new emissions framework by EPA and the CAFE standards by NHTSA provide a compliance route that drives all manufacturers to lower emissions and achieve improved fuel economy (EPA, 2024; NHTSA, 2024a; NHTSA, 2024b). </w:t>
      </w:r>
      <w:r w:rsidRPr="001A3AE3">
        <w:rPr>
          <w:rFonts w:ascii="Times New Roman" w:eastAsia="Times New Roman" w:hAnsi="Times New Roman"/>
          <w:color w:val="000000"/>
          <w:kern w:val="0"/>
          <w:szCs w:val="22"/>
          <w:lang w:val="en-US" w:eastAsia="en-US"/>
          <w14:ligatures w14:val="none"/>
        </w:rPr>
        <w:lastRenderedPageBreak/>
        <w:t>The market is also assisted by government with infrastructure, manufacturing and industrial policy. Documents of the White House and DOE explain how to spend large volumes of money publicly and co-invest with a company in EV batteries, charging, and clean manufacturing (White House, 2025; DOE AFDC, 2024). Fate moves the other way: tariffs, geopolitics, shipping disruption, mineral concentration and policy reversals can all cause investor confidence to fall swiftly. The 2024 autos report by USTR is particularly significant as it emphasizes the weakness established through concentration outside of North America and through ongoing changes to the USMCA rules (USTR, 2024a). In the case of Toyota, it is part of success to create resilience into plant location, sourcing supplier, and powertrain mix. A company that does not pay attention to these shocks can make vehicle sales but will not defend the margins.</w:t>
      </w:r>
    </w:p>
    <w:p w14:paraId="253306D2" w14:textId="77777777" w:rsidR="001A3AE3" w:rsidRPr="001A3AE3" w:rsidRDefault="001A3AE3" w:rsidP="001A3AE3">
      <w:pPr>
        <w:spacing w:before="120" w:after="120" w:line="276" w:lineRule="auto"/>
        <w:jc w:val="center"/>
        <w:rPr>
          <w:rFonts w:ascii="Times New Roman" w:eastAsia="Times New Roman" w:hAnsi="Times New Roman"/>
          <w:kern w:val="0"/>
          <w:szCs w:val="22"/>
          <w:lang w:val="en-US" w:eastAsia="en-US"/>
          <w14:ligatures w14:val="none"/>
        </w:rPr>
      </w:pPr>
      <w:r w:rsidRPr="001A3AE3">
        <w:rPr>
          <w:rFonts w:ascii="Times New Roman" w:eastAsia="Times New Roman" w:hAnsi="Times New Roman"/>
          <w:noProof/>
          <w:kern w:val="0"/>
          <w:szCs w:val="22"/>
          <w:lang w:val="en-US" w:eastAsia="en-US"/>
          <w14:ligatures w14:val="none"/>
        </w:rPr>
        <w:drawing>
          <wp:inline distT="0" distB="0" distL="0" distR="0" wp14:anchorId="02838A1E" wp14:editId="0B565CD8">
            <wp:extent cx="6035040" cy="339471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5.png"/>
                    <pic:cNvPicPr/>
                  </pic:nvPicPr>
                  <pic:blipFill>
                    <a:blip r:embed="rId13"/>
                    <a:stretch>
                      <a:fillRect/>
                    </a:stretch>
                  </pic:blipFill>
                  <pic:spPr>
                    <a:xfrm>
                      <a:off x="0" y="0"/>
                      <a:ext cx="6035040" cy="3394710"/>
                    </a:xfrm>
                    <a:prstGeom prst="rect">
                      <a:avLst/>
                    </a:prstGeom>
                  </pic:spPr>
                </pic:pic>
              </a:graphicData>
            </a:graphic>
          </wp:inline>
        </w:drawing>
      </w:r>
    </w:p>
    <w:p w14:paraId="31997796" w14:textId="77777777" w:rsidR="001A3AE3" w:rsidRPr="001A3AE3" w:rsidRDefault="001A3AE3" w:rsidP="001A3AE3">
      <w:pPr>
        <w:spacing w:before="120" w:after="120" w:line="480" w:lineRule="auto"/>
        <w:jc w:val="center"/>
        <w:rPr>
          <w:rFonts w:ascii="Times New Roman" w:eastAsia="Times New Roman" w:hAnsi="Times New Roman"/>
          <w:kern w:val="0"/>
          <w:szCs w:val="22"/>
          <w:lang w:val="en-US" w:eastAsia="en-US"/>
          <w14:ligatures w14:val="none"/>
        </w:rPr>
      </w:pPr>
      <w:r w:rsidRPr="001A3AE3">
        <w:rPr>
          <w:rFonts w:ascii="Times New Roman" w:eastAsia="Times New Roman" w:hAnsi="Times New Roman"/>
          <w:b/>
          <w:color w:val="000000"/>
          <w:kern w:val="0"/>
          <w:szCs w:val="22"/>
          <w:lang w:val="en-US" w:eastAsia="en-US"/>
          <w14:ligatures w14:val="none"/>
        </w:rPr>
        <w:t>Figure 5: Government and chance factors affecting Toyota in the U.S.</w:t>
      </w:r>
    </w:p>
    <w:p w14:paraId="678D9267" w14:textId="77777777" w:rsidR="001A3AE3" w:rsidRPr="001A3AE3" w:rsidRDefault="001A3AE3" w:rsidP="001A3AE3">
      <w:pPr>
        <w:keepNext/>
        <w:keepLines/>
        <w:spacing w:before="240" w:after="240" w:line="480" w:lineRule="auto"/>
        <w:outlineLvl w:val="0"/>
        <w:rPr>
          <w:rFonts w:asciiTheme="majorHAnsi" w:eastAsiaTheme="majorEastAsia" w:hAnsiTheme="majorHAnsi" w:cstheme="majorBidi"/>
          <w:b/>
          <w:bCs/>
          <w:color w:val="000000"/>
          <w:kern w:val="0"/>
          <w:sz w:val="26"/>
          <w:szCs w:val="28"/>
          <w:lang w:val="en-US" w:eastAsia="en-US"/>
          <w14:ligatures w14:val="none"/>
        </w:rPr>
      </w:pPr>
      <w:bookmarkStart w:id="12" w:name="_Toc227655433"/>
      <w:r w:rsidRPr="001A3AE3">
        <w:rPr>
          <w:rFonts w:ascii="Times New Roman" w:eastAsia="Times New Roman" w:hAnsi="Times New Roman" w:cstheme="majorBidi"/>
          <w:b/>
          <w:bCs/>
          <w:color w:val="000000"/>
          <w:kern w:val="0"/>
          <w:sz w:val="26"/>
          <w:szCs w:val="28"/>
          <w:lang w:val="en-US" w:eastAsia="en-US"/>
          <w14:ligatures w14:val="none"/>
        </w:rPr>
        <w:lastRenderedPageBreak/>
        <w:t>4. Toyota in the U.S.: market attractiveness and success factors</w:t>
      </w:r>
      <w:bookmarkEnd w:id="12"/>
    </w:p>
    <w:p w14:paraId="3D365C40"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t>The company was founded as a spinoff of </w:t>
      </w:r>
      <w:hyperlink r:id="rId14" w:tooltip="Toyota Industries" w:history="1">
        <w:r w:rsidRPr="001A3AE3">
          <w:rPr>
            <w:rFonts w:ascii="Times New Roman" w:eastAsia="Times New Roman" w:hAnsi="Times New Roman"/>
            <w:color w:val="000000"/>
            <w:kern w:val="0"/>
            <w:szCs w:val="22"/>
            <w:lang w:val="en-US" w:eastAsia="en-US"/>
            <w14:ligatures w14:val="none"/>
          </w:rPr>
          <w:t>Toyota Industries</w:t>
        </w:r>
      </w:hyperlink>
      <w:r w:rsidRPr="001A3AE3">
        <w:rPr>
          <w:rFonts w:ascii="Times New Roman" w:eastAsia="Times New Roman" w:hAnsi="Times New Roman"/>
          <w:color w:val="000000"/>
          <w:kern w:val="0"/>
          <w:szCs w:val="22"/>
          <w:lang w:val="en-US" w:eastAsia="en-US"/>
          <w14:ligatures w14:val="none"/>
        </w:rPr>
        <w:t>, a machine maker started by </w:t>
      </w:r>
      <w:proofErr w:type="spellStart"/>
      <w:r w:rsidRPr="001A3AE3">
        <w:rPr>
          <w:rFonts w:ascii="Times New Roman" w:eastAsia="Times New Roman" w:hAnsi="Times New Roman"/>
          <w:kern w:val="0"/>
          <w:szCs w:val="22"/>
          <w:lang w:val="en-US" w:eastAsia="en-US"/>
          <w14:ligatures w14:val="none"/>
        </w:rPr>
        <w:fldChar w:fldCharType="begin"/>
      </w:r>
      <w:r w:rsidRPr="001A3AE3">
        <w:rPr>
          <w:rFonts w:ascii="Times New Roman" w:eastAsia="Times New Roman" w:hAnsi="Times New Roman"/>
          <w:kern w:val="0"/>
          <w:szCs w:val="22"/>
          <w:lang w:val="en-US" w:eastAsia="en-US"/>
          <w14:ligatures w14:val="none"/>
        </w:rPr>
        <w:instrText>HYPERLINK "https://en.wikipedia.org/wiki/Sakichi_Toyoda" \o "Sakichi Toyoda"</w:instrText>
      </w:r>
      <w:r w:rsidRPr="001A3AE3">
        <w:rPr>
          <w:rFonts w:ascii="Times New Roman" w:eastAsia="Times New Roman" w:hAnsi="Times New Roman"/>
          <w:kern w:val="0"/>
          <w:szCs w:val="22"/>
          <w:lang w:val="en-US" w:eastAsia="en-US"/>
          <w14:ligatures w14:val="none"/>
        </w:rPr>
      </w:r>
      <w:r w:rsidRPr="001A3AE3">
        <w:rPr>
          <w:rFonts w:ascii="Times New Roman" w:eastAsia="Times New Roman" w:hAnsi="Times New Roman"/>
          <w:kern w:val="0"/>
          <w:szCs w:val="22"/>
          <w:lang w:val="en-US" w:eastAsia="en-US"/>
          <w14:ligatures w14:val="none"/>
        </w:rPr>
        <w:fldChar w:fldCharType="separate"/>
      </w:r>
      <w:r w:rsidRPr="001A3AE3">
        <w:rPr>
          <w:rFonts w:ascii="Times New Roman" w:eastAsia="Times New Roman" w:hAnsi="Times New Roman"/>
          <w:color w:val="000000"/>
          <w:kern w:val="0"/>
          <w:szCs w:val="22"/>
          <w:lang w:val="en-US" w:eastAsia="en-US"/>
          <w14:ligatures w14:val="none"/>
        </w:rPr>
        <w:t>Sakichi</w:t>
      </w:r>
      <w:proofErr w:type="spellEnd"/>
      <w:r w:rsidRPr="001A3AE3">
        <w:rPr>
          <w:rFonts w:ascii="Times New Roman" w:eastAsia="Times New Roman" w:hAnsi="Times New Roman"/>
          <w:color w:val="000000"/>
          <w:kern w:val="0"/>
          <w:szCs w:val="22"/>
          <w:lang w:val="en-US" w:eastAsia="en-US"/>
          <w14:ligatures w14:val="none"/>
        </w:rPr>
        <w:t xml:space="preserve"> </w:t>
      </w:r>
      <w:proofErr w:type="spellStart"/>
      <w:r w:rsidRPr="001A3AE3">
        <w:rPr>
          <w:rFonts w:ascii="Times New Roman" w:eastAsia="Times New Roman" w:hAnsi="Times New Roman"/>
          <w:color w:val="000000"/>
          <w:kern w:val="0"/>
          <w:szCs w:val="22"/>
          <w:lang w:val="en-US" w:eastAsia="en-US"/>
          <w14:ligatures w14:val="none"/>
        </w:rPr>
        <w:t>Toyoda</w:t>
      </w:r>
      <w:proofErr w:type="spellEnd"/>
      <w:r w:rsidRPr="001A3AE3">
        <w:rPr>
          <w:rFonts w:ascii="Times New Roman" w:eastAsia="Times New Roman" w:hAnsi="Times New Roman"/>
          <w:kern w:val="0"/>
          <w:szCs w:val="22"/>
          <w:lang w:val="en-US" w:eastAsia="en-US"/>
          <w14:ligatures w14:val="none"/>
        </w:rPr>
        <w:fldChar w:fldCharType="end"/>
      </w:r>
      <w:r w:rsidRPr="001A3AE3">
        <w:rPr>
          <w:rFonts w:ascii="Times New Roman" w:eastAsia="Times New Roman" w:hAnsi="Times New Roman"/>
          <w:color w:val="000000"/>
          <w:kern w:val="0"/>
          <w:szCs w:val="22"/>
          <w:lang w:val="en-US" w:eastAsia="en-US"/>
          <w14:ligatures w14:val="none"/>
        </w:rPr>
        <w:t xml:space="preserve">, </w:t>
      </w:r>
      <w:proofErr w:type="spellStart"/>
      <w:r w:rsidRPr="001A3AE3">
        <w:rPr>
          <w:rFonts w:ascii="Times New Roman" w:eastAsia="Times New Roman" w:hAnsi="Times New Roman"/>
          <w:color w:val="000000"/>
          <w:kern w:val="0"/>
          <w:szCs w:val="22"/>
          <w:lang w:val="en-US" w:eastAsia="en-US"/>
          <w14:ligatures w14:val="none"/>
        </w:rPr>
        <w:t>Kiichiro's</w:t>
      </w:r>
      <w:proofErr w:type="spellEnd"/>
      <w:r w:rsidRPr="001A3AE3">
        <w:rPr>
          <w:rFonts w:ascii="Times New Roman" w:eastAsia="Times New Roman" w:hAnsi="Times New Roman"/>
          <w:color w:val="000000"/>
          <w:kern w:val="0"/>
          <w:szCs w:val="22"/>
          <w:lang w:val="en-US" w:eastAsia="en-US"/>
          <w14:ligatures w14:val="none"/>
        </w:rPr>
        <w:t xml:space="preserve"> father. Both companies are now part of the </w:t>
      </w:r>
      <w:hyperlink r:id="rId15" w:tooltip="Toyota Group" w:history="1">
        <w:r w:rsidRPr="001A3AE3">
          <w:rPr>
            <w:rFonts w:ascii="Times New Roman" w:eastAsia="Times New Roman" w:hAnsi="Times New Roman"/>
            <w:color w:val="000000"/>
            <w:kern w:val="0"/>
            <w:szCs w:val="22"/>
            <w:lang w:val="en-US" w:eastAsia="en-US"/>
            <w14:ligatures w14:val="none"/>
          </w:rPr>
          <w:t>Toyota Group</w:t>
        </w:r>
      </w:hyperlink>
      <w:r w:rsidRPr="001A3AE3">
        <w:rPr>
          <w:rFonts w:ascii="Times New Roman" w:eastAsia="Times New Roman" w:hAnsi="Times New Roman"/>
          <w:color w:val="000000"/>
          <w:kern w:val="0"/>
          <w:szCs w:val="22"/>
          <w:lang w:val="en-US" w:eastAsia="en-US"/>
          <w14:ligatures w14:val="none"/>
        </w:rPr>
        <w:t xml:space="preserve">, one of the largest conglomerates in the world. Toyota is a highly competitive foreign company to explore in the U.S. due to the fact that it has gained scale without seeming rootless. Toyota Motor North America announced sales of 2024 of 2.33 million vehicles in the United States and claimed that more than 43 per cent of its total sales were electrified vehicles. It further claimed that it has direct employment of approximately 64,000 individuals in North America, it has 14 manufacturing plants and it has assisted in assembling approximately 47 million cars and vehicles in the region (Toyota Motor North America, 2025). These are important numbers in the sense that they demonstrate that Toyota is not merely exporting the finished product to the U.S.; it is a part of the local production, local employment and local supplier base. Such </w:t>
      </w:r>
      <w:proofErr w:type="spellStart"/>
      <w:r w:rsidRPr="001A3AE3">
        <w:rPr>
          <w:rFonts w:ascii="Times New Roman" w:eastAsia="Times New Roman" w:hAnsi="Times New Roman"/>
          <w:color w:val="000000"/>
          <w:kern w:val="0"/>
          <w:szCs w:val="22"/>
          <w:lang w:val="en-US" w:eastAsia="en-US"/>
          <w14:ligatures w14:val="none"/>
        </w:rPr>
        <w:t>embeddedness</w:t>
      </w:r>
      <w:proofErr w:type="spellEnd"/>
      <w:r w:rsidRPr="001A3AE3">
        <w:rPr>
          <w:rFonts w:ascii="Times New Roman" w:eastAsia="Times New Roman" w:hAnsi="Times New Roman"/>
          <w:color w:val="000000"/>
          <w:kern w:val="0"/>
          <w:szCs w:val="22"/>
          <w:lang w:val="en-US" w:eastAsia="en-US"/>
          <w14:ligatures w14:val="none"/>
        </w:rPr>
        <w:t xml:space="preserve"> increases the chances of success, since the company is oriented to the political and economic logic of </w:t>
      </w:r>
      <w:proofErr w:type="spellStart"/>
      <w:r w:rsidRPr="001A3AE3">
        <w:rPr>
          <w:rFonts w:ascii="Times New Roman" w:eastAsia="Times New Roman" w:hAnsi="Times New Roman"/>
          <w:color w:val="000000"/>
          <w:kern w:val="0"/>
          <w:szCs w:val="22"/>
          <w:lang w:val="en-US" w:eastAsia="en-US"/>
          <w14:ligatures w14:val="none"/>
        </w:rPr>
        <w:t>localisation</w:t>
      </w:r>
      <w:proofErr w:type="spellEnd"/>
      <w:r w:rsidRPr="001A3AE3">
        <w:rPr>
          <w:rFonts w:ascii="Times New Roman" w:eastAsia="Times New Roman" w:hAnsi="Times New Roman"/>
          <w:color w:val="000000"/>
          <w:kern w:val="0"/>
          <w:szCs w:val="22"/>
          <w:lang w:val="en-US" w:eastAsia="en-US"/>
          <w14:ligatures w14:val="none"/>
        </w:rPr>
        <w:t>.</w:t>
      </w:r>
    </w:p>
    <w:p w14:paraId="697DCD21"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t>Toyota Motor North America (TMNA) is the </w:t>
      </w:r>
      <w:hyperlink r:id="rId16" w:tooltip="Operating subsidiary" w:history="1">
        <w:r w:rsidRPr="001A3AE3">
          <w:rPr>
            <w:rFonts w:ascii="Times New Roman" w:eastAsia="Times New Roman" w:hAnsi="Times New Roman"/>
            <w:color w:val="000000"/>
            <w:kern w:val="0"/>
            <w:szCs w:val="22"/>
            <w:lang w:val="en-US" w:eastAsia="en-US"/>
            <w14:ligatures w14:val="none"/>
          </w:rPr>
          <w:t>operating subsidiary</w:t>
        </w:r>
      </w:hyperlink>
      <w:r w:rsidRPr="001A3AE3">
        <w:rPr>
          <w:rFonts w:ascii="Times New Roman" w:eastAsia="Times New Roman" w:hAnsi="Times New Roman"/>
          <w:color w:val="000000"/>
          <w:kern w:val="0"/>
          <w:szCs w:val="22"/>
          <w:lang w:val="en-US" w:eastAsia="en-US"/>
          <w14:ligatures w14:val="none"/>
        </w:rPr>
        <w:t> that oversees all operations of the </w:t>
      </w:r>
      <w:hyperlink r:id="rId17" w:tooltip="Toyota Motor Corporation" w:history="1">
        <w:r w:rsidRPr="001A3AE3">
          <w:rPr>
            <w:rFonts w:ascii="Times New Roman" w:eastAsia="Times New Roman" w:hAnsi="Times New Roman"/>
            <w:color w:val="000000"/>
            <w:kern w:val="0"/>
            <w:szCs w:val="22"/>
            <w:lang w:val="en-US" w:eastAsia="en-US"/>
            <w14:ligatures w14:val="none"/>
          </w:rPr>
          <w:t>Toyota Motor Corporation</w:t>
        </w:r>
      </w:hyperlink>
      <w:r w:rsidRPr="001A3AE3">
        <w:rPr>
          <w:rFonts w:ascii="Times New Roman" w:eastAsia="Times New Roman" w:hAnsi="Times New Roman"/>
          <w:color w:val="000000"/>
          <w:kern w:val="0"/>
          <w:szCs w:val="22"/>
          <w:lang w:val="en-US" w:eastAsia="en-US"/>
          <w14:ligatures w14:val="none"/>
        </w:rPr>
        <w:t> in Canada, Mexico, and the United States. Its operations include research and development, manufacturing, sales, marketing, after sales and corporate functions, which are controlled by TMNA but sometimes executed by other subsidiaries and </w:t>
      </w:r>
      <w:hyperlink r:id="rId18" w:tooltip="Holding company" w:history="1">
        <w:r w:rsidRPr="001A3AE3">
          <w:rPr>
            <w:rFonts w:ascii="Times New Roman" w:eastAsia="Times New Roman" w:hAnsi="Times New Roman"/>
            <w:color w:val="000000"/>
            <w:kern w:val="0"/>
            <w:szCs w:val="22"/>
            <w:lang w:val="en-US" w:eastAsia="en-US"/>
            <w14:ligatures w14:val="none"/>
          </w:rPr>
          <w:t>holding companies</w:t>
        </w:r>
      </w:hyperlink>
      <w:r w:rsidRPr="001A3AE3">
        <w:rPr>
          <w:rFonts w:ascii="Times New Roman" w:eastAsia="Times New Roman" w:hAnsi="Times New Roman"/>
          <w:color w:val="000000"/>
          <w:kern w:val="0"/>
          <w:szCs w:val="22"/>
          <w:lang w:val="en-US" w:eastAsia="en-US"/>
          <w14:ligatures w14:val="none"/>
        </w:rPr>
        <w:t>. The company is headquartered in </w:t>
      </w:r>
      <w:hyperlink r:id="rId19" w:tooltip="Plano, Texas" w:history="1">
        <w:r w:rsidRPr="001A3AE3">
          <w:rPr>
            <w:rFonts w:ascii="Times New Roman" w:eastAsia="Times New Roman" w:hAnsi="Times New Roman"/>
            <w:color w:val="000000"/>
            <w:kern w:val="0"/>
            <w:szCs w:val="22"/>
            <w:lang w:val="en-US" w:eastAsia="en-US"/>
            <w14:ligatures w14:val="none"/>
          </w:rPr>
          <w:t>Plano, Texas</w:t>
        </w:r>
      </w:hyperlink>
      <w:r w:rsidRPr="001A3AE3">
        <w:rPr>
          <w:rFonts w:ascii="Times New Roman" w:eastAsia="Times New Roman" w:hAnsi="Times New Roman"/>
          <w:color w:val="000000"/>
          <w:kern w:val="0"/>
          <w:szCs w:val="22"/>
          <w:lang w:val="en-US" w:eastAsia="en-US"/>
          <w14:ligatures w14:val="none"/>
        </w:rPr>
        <w:t>, with offices in several locations including </w:t>
      </w:r>
      <w:hyperlink r:id="rId20" w:tooltip="Georgetown, Kentucky" w:history="1">
        <w:r w:rsidRPr="001A3AE3">
          <w:rPr>
            <w:rFonts w:ascii="Times New Roman" w:eastAsia="Times New Roman" w:hAnsi="Times New Roman"/>
            <w:color w:val="000000"/>
            <w:kern w:val="0"/>
            <w:szCs w:val="22"/>
            <w:lang w:val="en-US" w:eastAsia="en-US"/>
            <w14:ligatures w14:val="none"/>
          </w:rPr>
          <w:t>Georgetown, Kentucky</w:t>
        </w:r>
      </w:hyperlink>
      <w:r w:rsidRPr="001A3AE3">
        <w:rPr>
          <w:rFonts w:ascii="Times New Roman" w:eastAsia="Times New Roman" w:hAnsi="Times New Roman"/>
          <w:color w:val="000000"/>
          <w:kern w:val="0"/>
          <w:szCs w:val="22"/>
          <w:lang w:val="en-US" w:eastAsia="en-US"/>
          <w14:ligatures w14:val="none"/>
        </w:rPr>
        <w:t>, </w:t>
      </w:r>
      <w:hyperlink r:id="rId21" w:tooltip="Ann Arbor, Michigan" w:history="1">
        <w:r w:rsidRPr="001A3AE3">
          <w:rPr>
            <w:rFonts w:ascii="Times New Roman" w:eastAsia="Times New Roman" w:hAnsi="Times New Roman"/>
            <w:color w:val="000000"/>
            <w:kern w:val="0"/>
            <w:szCs w:val="22"/>
            <w:lang w:val="en-US" w:eastAsia="en-US"/>
            <w14:ligatures w14:val="none"/>
          </w:rPr>
          <w:t>Ann Arbor, Michigan</w:t>
        </w:r>
      </w:hyperlink>
      <w:r w:rsidRPr="001A3AE3">
        <w:rPr>
          <w:rFonts w:ascii="Times New Roman" w:eastAsia="Times New Roman" w:hAnsi="Times New Roman"/>
          <w:color w:val="000000"/>
          <w:kern w:val="0"/>
          <w:szCs w:val="22"/>
          <w:lang w:val="en-US" w:eastAsia="en-US"/>
          <w14:ligatures w14:val="none"/>
        </w:rPr>
        <w:t>, </w:t>
      </w:r>
      <w:hyperlink r:id="rId22" w:tooltip="Washington, D.C." w:history="1">
        <w:r w:rsidRPr="001A3AE3">
          <w:rPr>
            <w:rFonts w:ascii="Times New Roman" w:eastAsia="Times New Roman" w:hAnsi="Times New Roman"/>
            <w:color w:val="000000"/>
            <w:kern w:val="0"/>
            <w:szCs w:val="22"/>
            <w:lang w:val="en-US" w:eastAsia="en-US"/>
            <w14:ligatures w14:val="none"/>
          </w:rPr>
          <w:t>Washington, D.C.</w:t>
        </w:r>
      </w:hyperlink>
      <w:r w:rsidRPr="001A3AE3">
        <w:rPr>
          <w:rFonts w:ascii="Times New Roman" w:eastAsia="Times New Roman" w:hAnsi="Times New Roman"/>
          <w:color w:val="000000"/>
          <w:kern w:val="0"/>
          <w:szCs w:val="22"/>
          <w:lang w:val="en-US" w:eastAsia="en-US"/>
          <w14:ligatures w14:val="none"/>
        </w:rPr>
        <w:t>, and </w:t>
      </w:r>
      <w:hyperlink r:id="rId23" w:tooltip="New York City" w:history="1">
        <w:r w:rsidRPr="001A3AE3">
          <w:rPr>
            <w:rFonts w:ascii="Times New Roman" w:eastAsia="Times New Roman" w:hAnsi="Times New Roman"/>
            <w:color w:val="000000"/>
            <w:kern w:val="0"/>
            <w:szCs w:val="22"/>
            <w:lang w:val="en-US" w:eastAsia="en-US"/>
            <w14:ligatures w14:val="none"/>
          </w:rPr>
          <w:t>New York City</w:t>
        </w:r>
      </w:hyperlink>
      <w:r w:rsidRPr="001A3AE3">
        <w:rPr>
          <w:rFonts w:ascii="Times New Roman" w:eastAsia="Times New Roman" w:hAnsi="Times New Roman"/>
          <w:color w:val="000000"/>
          <w:kern w:val="0"/>
          <w:szCs w:val="22"/>
          <w:lang w:val="en-US" w:eastAsia="en-US"/>
          <w14:ligatures w14:val="none"/>
        </w:rPr>
        <w:t>.</w:t>
      </w:r>
    </w:p>
    <w:p w14:paraId="1A334894"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t xml:space="preserve">The U.S. is a desirable, but conditional place politically. The legal environment where Toyota operates is rather stable with good property rights, and deep capital markets, but Toyota has to deal with a maze of emissions, safety, trade, and disclosure regulations. The final rule by EPA </w:t>
      </w:r>
      <w:r w:rsidRPr="001A3AE3">
        <w:rPr>
          <w:rFonts w:ascii="Times New Roman" w:eastAsia="Times New Roman" w:hAnsi="Times New Roman"/>
          <w:color w:val="000000"/>
          <w:kern w:val="0"/>
          <w:szCs w:val="22"/>
          <w:lang w:val="en-US" w:eastAsia="en-US"/>
          <w14:ligatures w14:val="none"/>
        </w:rPr>
        <w:lastRenderedPageBreak/>
        <w:t>2024, model years 2027 and above, and the fuel economy standards by NHTSA indicate that the industry will remain driven by policy towards more responsible and efficient vehicles (EPA, 2024; NHTSA, 2024a; NHTSA, 2024b). This only works out well to Toyota in case its product mix remains in line with the new policy logic. The hybrid range allows Toyota a compliance edge, as it will be able to mitigate fleet emissions without compelling all customers to buy a BEV. Effectively, the approach of Toyota transforms regulation into a transitionary opportunity rather than considering electrification as a bet or nothing.</w:t>
      </w:r>
    </w:p>
    <w:p w14:paraId="3C740439"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p>
    <w:p w14:paraId="49D2C9DC"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p>
    <w:p w14:paraId="3696DDE1"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p>
    <w:p w14:paraId="54CADC3A"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p>
    <w:p w14:paraId="056F6E99" w14:textId="77777777" w:rsidR="001A3AE3" w:rsidRPr="001A3AE3" w:rsidRDefault="001A3AE3" w:rsidP="001A3AE3">
      <w:pPr>
        <w:spacing w:before="240" w:after="240" w:line="480" w:lineRule="auto"/>
        <w:jc w:val="both"/>
        <w:rPr>
          <w:rFonts w:ascii="Times New Roman" w:eastAsia="Times New Roman" w:hAnsi="Times New Roman"/>
          <w:kern w:val="0"/>
          <w:szCs w:val="22"/>
          <w:lang w:val="en-US" w:eastAsia="en-US"/>
          <w14:ligatures w14:val="none"/>
        </w:rPr>
      </w:pPr>
      <w:r w:rsidRPr="001A3AE3">
        <w:rPr>
          <w:rFonts w:ascii="Times New Roman" w:eastAsia="Times New Roman" w:hAnsi="Times New Roman"/>
          <w:kern w:val="0"/>
          <w:szCs w:val="22"/>
          <w:lang w:val="en-US" w:eastAsia="en-US"/>
          <w14:ligatures w14:val="none"/>
        </w:rPr>
        <w:t>The U.S. is also economically attractive as it is a big country that is rich and highly segmented. It is not a market size issue, it is a market fragmentation issue. The U.S. purchasers are more divided by region, income, climate, commuting pattern and charging availability. In 2024, GM reported industry sales in the U.S. of 16.4 million and resilient 16.5 per cent of GM itself which says that several winning strategies can coexist (General Motors, 2025). The 2024 U.S. sales mix of Toyota explains why it is a good fit in that market: it sells price-entry cars, mid-range family cars, SUVs, trucks and luxury cars via Lexus, and promotes electrified cars at the entire range (Toyota Motor North America, 2025). The strategic point is that Toyota does not attempt to capture a single slice of the market; it attempts to be pertinent in numerous slices. The latter is a strength in a market where household budgets are stricter, financing costs are important and consumers tend to look at the overall ownership cost, instead of simply the sticker price (Deloitte, 2024; KPMG, 2024).</w:t>
      </w:r>
    </w:p>
    <w:p w14:paraId="1EF288AD" w14:textId="77777777" w:rsidR="001A3AE3" w:rsidRPr="001A3AE3" w:rsidRDefault="001A3AE3" w:rsidP="001A3AE3">
      <w:pPr>
        <w:spacing w:before="240" w:after="240" w:line="480" w:lineRule="auto"/>
        <w:jc w:val="both"/>
        <w:rPr>
          <w:rFonts w:ascii="Times New Roman" w:eastAsia="Times New Roman" w:hAnsi="Times New Roman"/>
          <w:kern w:val="0"/>
          <w:szCs w:val="22"/>
          <w:lang w:val="en-US" w:eastAsia="en-US"/>
          <w14:ligatures w14:val="none"/>
        </w:rPr>
      </w:pPr>
      <w:r w:rsidRPr="001A3AE3">
        <w:rPr>
          <w:rFonts w:ascii="Times New Roman" w:eastAsia="Times New Roman" w:hAnsi="Times New Roman"/>
          <w:kern w:val="0"/>
          <w:szCs w:val="22"/>
          <w:lang w:val="en-US" w:eastAsia="en-US"/>
          <w14:ligatures w14:val="none"/>
        </w:rPr>
        <w:lastRenderedPageBreak/>
        <w:t xml:space="preserve">The infrastructure situation is also an actual limitation, particularly to a company that needs to fight with both the skepticism of hybrids and the fear of EVs. According to the DOE data, the level of charging availability is on the increase, yet the ICCT analysis continues to claim that the infrastructure implementation needs to increase significantly faster than it is currently implemented to accommodate the mass adoption of </w:t>
      </w:r>
      <w:proofErr w:type="spellStart"/>
      <w:r w:rsidRPr="001A3AE3">
        <w:rPr>
          <w:rFonts w:ascii="Times New Roman" w:eastAsia="Times New Roman" w:hAnsi="Times New Roman"/>
          <w:kern w:val="0"/>
          <w:szCs w:val="22"/>
          <w:lang w:val="en-US" w:eastAsia="en-US"/>
          <w14:ligatures w14:val="none"/>
        </w:rPr>
        <w:t>EVs</w:t>
      </w:r>
      <w:proofErr w:type="spellEnd"/>
      <w:r w:rsidRPr="001A3AE3">
        <w:rPr>
          <w:rFonts w:ascii="Times New Roman" w:eastAsia="Times New Roman" w:hAnsi="Times New Roman"/>
          <w:kern w:val="0"/>
          <w:szCs w:val="22"/>
          <w:lang w:val="en-US" w:eastAsia="en-US"/>
          <w14:ligatures w14:val="none"/>
        </w:rPr>
        <w:t xml:space="preserve"> by 2030 (DOE AFDC, 2024; ICCT, 2021). That is one reason why the multi-pathway strategy of Toyota makes commercial sense in the U.S. compared to a pure BEV strategy: Toyota has the ability to cater to consumers who seek cheaper fuel prices and lower emissions and do not have to take the risk of investing too much in a charging ecosystem that is yet to be evenly distributed nationwide. The North American environmental report of the company also indicates that Toyota places its strategy in carbon, water, circular economy and biodiversity, which enhances legitimacy with the regulators and communities that are more concerned with the sustainability beyond the tailpipe emissions of the vehicle (Toyota, 2024). Figure 4 and Figure 5 explain why this is important: the market is appealing, but only to those firms, which will be able to address policy, infrastructure and customer convenience at the same time.</w:t>
      </w:r>
    </w:p>
    <w:p w14:paraId="597204F3" w14:textId="77777777" w:rsidR="001A3AE3" w:rsidRPr="001A3AE3" w:rsidRDefault="001A3AE3" w:rsidP="001A3AE3">
      <w:pPr>
        <w:spacing w:before="120" w:after="120" w:line="276" w:lineRule="auto"/>
        <w:jc w:val="center"/>
        <w:rPr>
          <w:rFonts w:ascii="Times New Roman" w:eastAsia="Times New Roman" w:hAnsi="Times New Roman"/>
          <w:kern w:val="0"/>
          <w:szCs w:val="22"/>
          <w:lang w:val="en-US" w:eastAsia="en-US"/>
          <w14:ligatures w14:val="none"/>
        </w:rPr>
      </w:pPr>
      <w:r w:rsidRPr="001A3AE3">
        <w:rPr>
          <w:rFonts w:ascii="Times New Roman" w:eastAsia="Times New Roman" w:hAnsi="Times New Roman"/>
          <w:noProof/>
          <w:kern w:val="0"/>
          <w:szCs w:val="22"/>
          <w:lang w:val="en-US" w:eastAsia="en-US"/>
          <w14:ligatures w14:val="none"/>
        </w:rPr>
        <w:drawing>
          <wp:inline distT="0" distB="0" distL="0" distR="0" wp14:anchorId="0B3489F0" wp14:editId="799C80E2">
            <wp:extent cx="6035040" cy="339471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6.png"/>
                    <pic:cNvPicPr/>
                  </pic:nvPicPr>
                  <pic:blipFill>
                    <a:blip r:embed="rId24"/>
                    <a:stretch>
                      <a:fillRect/>
                    </a:stretch>
                  </pic:blipFill>
                  <pic:spPr>
                    <a:xfrm>
                      <a:off x="0" y="0"/>
                      <a:ext cx="6035040" cy="3394710"/>
                    </a:xfrm>
                    <a:prstGeom prst="rect">
                      <a:avLst/>
                    </a:prstGeom>
                  </pic:spPr>
                </pic:pic>
              </a:graphicData>
            </a:graphic>
          </wp:inline>
        </w:drawing>
      </w:r>
    </w:p>
    <w:p w14:paraId="0634CFA6" w14:textId="77777777" w:rsidR="001A3AE3" w:rsidRPr="001A3AE3" w:rsidRDefault="001A3AE3" w:rsidP="001A3AE3">
      <w:pPr>
        <w:spacing w:before="120" w:after="120" w:line="480" w:lineRule="auto"/>
        <w:jc w:val="center"/>
        <w:rPr>
          <w:rFonts w:ascii="Times New Roman" w:eastAsia="Times New Roman" w:hAnsi="Times New Roman"/>
          <w:kern w:val="0"/>
          <w:szCs w:val="22"/>
          <w:lang w:val="en-US" w:eastAsia="en-US"/>
          <w14:ligatures w14:val="none"/>
        </w:rPr>
      </w:pPr>
      <w:r w:rsidRPr="001A3AE3">
        <w:rPr>
          <w:rFonts w:ascii="Times New Roman" w:eastAsia="Times New Roman" w:hAnsi="Times New Roman"/>
          <w:b/>
          <w:color w:val="000000"/>
          <w:kern w:val="0"/>
          <w:szCs w:val="22"/>
          <w:lang w:val="en-US" w:eastAsia="en-US"/>
          <w14:ligatures w14:val="none"/>
        </w:rPr>
        <w:lastRenderedPageBreak/>
        <w:t>Figure 6: Toyota’s success model in the U.S.</w:t>
      </w:r>
    </w:p>
    <w:p w14:paraId="330EBFF7" w14:textId="77777777" w:rsidR="001A3AE3" w:rsidRPr="001A3AE3" w:rsidRDefault="001A3AE3" w:rsidP="001A3AE3">
      <w:pPr>
        <w:spacing w:before="240" w:after="240" w:line="480" w:lineRule="auto"/>
        <w:jc w:val="both"/>
        <w:rPr>
          <w:rFonts w:ascii="Times New Roman" w:eastAsia="Times New Roman" w:hAnsi="Times New Roman"/>
          <w:kern w:val="0"/>
          <w:szCs w:val="22"/>
          <w:lang w:val="en-US" w:eastAsia="en-US"/>
          <w14:ligatures w14:val="none"/>
        </w:rPr>
      </w:pPr>
      <w:r w:rsidRPr="001A3AE3">
        <w:rPr>
          <w:rFonts w:ascii="Times New Roman" w:eastAsia="Times New Roman" w:hAnsi="Times New Roman"/>
          <w:kern w:val="0"/>
          <w:szCs w:val="22"/>
          <w:lang w:val="en-US" w:eastAsia="en-US"/>
          <w14:ligatures w14:val="none"/>
        </w:rPr>
        <w:t>Toyota has a good reputation of reliability, resale value and viable ownership culturally. This is important in the U.S. since the choices to buy an automotive are not the ones of pure technology; it is emotional, financial and status-based. The sustained popularity of Toyota products like Camry, RAV4 and Tacoma prompts a question of whether the brand has mastered the art of delivering mainstream credibility coupled with incremental innovation (Toyota Motor North America, 2025). Simultaneously, the U.S. market is quite competitive and more ready to switch brands, particularly young consumers and EV-interested people. According to a study conducted by Deloitte, it is observed that brand loyalties are being reevaluated by many consumers and that connectivity features are not necessarily mirrored in willingness to pay (Deloitte, 2024). In the case of Toyota, the implication is obvious: the quality of the products is no longer sufficient. The brand needs to combine product credibility with software functionality, online shopping convenience, neighborhood service and apparent EV/hybrid expertise.</w:t>
      </w:r>
    </w:p>
    <w:p w14:paraId="57E72418" w14:textId="77777777" w:rsidR="001A3AE3" w:rsidRPr="001A3AE3" w:rsidRDefault="001A3AE3" w:rsidP="001A3AE3">
      <w:pPr>
        <w:spacing w:before="240" w:after="240" w:line="480" w:lineRule="auto"/>
        <w:jc w:val="both"/>
        <w:rPr>
          <w:rFonts w:ascii="Times New Roman" w:eastAsia="Times New Roman" w:hAnsi="Times New Roman"/>
          <w:kern w:val="0"/>
          <w:szCs w:val="22"/>
          <w:lang w:val="en-US" w:eastAsia="en-US"/>
          <w14:ligatures w14:val="none"/>
        </w:rPr>
      </w:pPr>
      <w:r w:rsidRPr="001A3AE3">
        <w:rPr>
          <w:rFonts w:ascii="Times New Roman" w:eastAsia="Times New Roman" w:hAnsi="Times New Roman"/>
          <w:kern w:val="0"/>
          <w:szCs w:val="22"/>
          <w:lang w:val="en-US" w:eastAsia="en-US"/>
          <w14:ligatures w14:val="none"/>
        </w:rPr>
        <w:t xml:space="preserve">The operating logic of Toyota in the United States is more than just an export model. The company possesses local plants, local job base, local supplier relationship and local customer base that is enough to warrant continuous reinvestment. Its 2024 North American sales performance demonstrates that electrified vehicles are no longer a side show; they are the focus of growth of the brand (Toyota Motor North America, 2025). The integrated report of Toyota also suggests that the company is implementing hybrid cars as a sensible interim as it seeks to establish a more expansive multi-pathway approach to electricity and hydrogen (Toyota, 2024; Toyota, 2024b). The importance of that bridge is that it will enable Toyota to target the mainstream American consumer with the desire to have a less expensive fuel bill, high reliability and instant convenience. Whether the company can enter the future market or not is </w:t>
      </w:r>
      <w:r w:rsidRPr="001A3AE3">
        <w:rPr>
          <w:rFonts w:ascii="Times New Roman" w:eastAsia="Times New Roman" w:hAnsi="Times New Roman"/>
          <w:kern w:val="0"/>
          <w:szCs w:val="22"/>
          <w:lang w:val="en-US" w:eastAsia="en-US"/>
          <w14:ligatures w14:val="none"/>
        </w:rPr>
        <w:lastRenderedPageBreak/>
        <w:t>not the question, it is whether the company can enter the future market at the scale without hurting the reliability image that made it strong in the first place.</w:t>
      </w:r>
    </w:p>
    <w:p w14:paraId="5960A3DA" w14:textId="77777777" w:rsidR="001A3AE3" w:rsidRPr="001A3AE3" w:rsidRDefault="001A3AE3" w:rsidP="001A3AE3">
      <w:pPr>
        <w:spacing w:before="240" w:after="240" w:line="480" w:lineRule="auto"/>
        <w:jc w:val="both"/>
        <w:rPr>
          <w:rFonts w:ascii="Times New Roman" w:eastAsia="Times New Roman" w:hAnsi="Times New Roman"/>
          <w:kern w:val="0"/>
          <w:szCs w:val="22"/>
          <w:lang w:val="en-US" w:eastAsia="en-US"/>
          <w14:ligatures w14:val="none"/>
        </w:rPr>
      </w:pPr>
      <w:r w:rsidRPr="001A3AE3">
        <w:rPr>
          <w:rFonts w:ascii="Times New Roman" w:eastAsia="Times New Roman" w:hAnsi="Times New Roman"/>
          <w:kern w:val="0"/>
          <w:szCs w:val="22"/>
          <w:lang w:val="en-US" w:eastAsia="en-US"/>
          <w14:ligatures w14:val="none"/>
        </w:rPr>
        <w:t xml:space="preserve">The balance of fit and flexibility would make Toyota successful in the U.S. in general. Its hybrid-first strategy positioning- its products fit current demand trends, and its local manufacturing structure helps it to cushion against some political and trade shocks that hit its high-importation rivals. The diverse product range, a large network of dealers and a good resale image of the company provides a desirable market position. However, there are still strategic risks. First, in case EV uptake occurs at an extraordinary rate than anticipated, Toyota needs to make sure that its battery capacity and BEV is profound enough to be legitimate. Second, in case policy gets more protectionist or more fragmented, Toyota will have to keep on doing the </w:t>
      </w:r>
      <w:proofErr w:type="spellStart"/>
      <w:r w:rsidRPr="001A3AE3">
        <w:rPr>
          <w:rFonts w:ascii="Times New Roman" w:eastAsia="Times New Roman" w:hAnsi="Times New Roman"/>
          <w:kern w:val="0"/>
          <w:szCs w:val="22"/>
          <w:lang w:val="en-US" w:eastAsia="en-US"/>
          <w14:ligatures w14:val="none"/>
        </w:rPr>
        <w:t>localisation</w:t>
      </w:r>
      <w:proofErr w:type="spellEnd"/>
      <w:r w:rsidRPr="001A3AE3">
        <w:rPr>
          <w:rFonts w:ascii="Times New Roman" w:eastAsia="Times New Roman" w:hAnsi="Times New Roman"/>
          <w:kern w:val="0"/>
          <w:szCs w:val="22"/>
          <w:lang w:val="en-US" w:eastAsia="en-US"/>
          <w14:ligatures w14:val="none"/>
        </w:rPr>
        <w:t xml:space="preserve"> of value creation in order to escape tariff and compliance risks. Third, in case consumers leave the powertrain logic and transition to software and digital-service logic, then Toyota will have to demonstrate that it can compete both on connected features, and on mechanical quality. It is best, therefore, to conclude that the U.S. is very appealing to Toyota, and the success will only be achieved through maintaining a hybrid bridge and investing more in batteries, digital platforms and regulatory alignment (White House, 2025; EPA, 2024; Toyota Motor North America, 2025).</w:t>
      </w:r>
    </w:p>
    <w:p w14:paraId="6B7ADB0D" w14:textId="77777777" w:rsidR="001A3AE3" w:rsidRPr="001A3AE3" w:rsidRDefault="001A3AE3" w:rsidP="001A3AE3">
      <w:pPr>
        <w:spacing w:before="240" w:after="240" w:line="480" w:lineRule="auto"/>
        <w:jc w:val="both"/>
        <w:rPr>
          <w:rFonts w:ascii="Times New Roman" w:eastAsia="Times New Roman" w:hAnsi="Times New Roman"/>
          <w:kern w:val="0"/>
          <w:szCs w:val="22"/>
          <w:lang w:val="en-US" w:eastAsia="en-US"/>
          <w14:ligatures w14:val="none"/>
        </w:rPr>
      </w:pPr>
      <w:r w:rsidRPr="001A3AE3">
        <w:rPr>
          <w:rFonts w:ascii="Times New Roman" w:eastAsia="Times New Roman" w:hAnsi="Times New Roman"/>
          <w:kern w:val="0"/>
          <w:szCs w:val="22"/>
          <w:lang w:val="en-US" w:eastAsia="en-US"/>
          <w14:ligatures w14:val="none"/>
        </w:rPr>
        <w:t xml:space="preserve">One last strategy related point is the fact that Toyota must align product architecture and market narrative in order to succeed in the U.S. When the company discusses sustainability, and merely sells cars that are cautious or generic, the strategy will fail. Should it however incorporate practical hybrids, enhance BEVs, local battery investment and excellent dealer service, it can brand itself as the company that provides the right vehicle at the right moment of transition. Such a stance is more justifiable than a pure ideological EV stance since it is closer to the actuality of U.S. consumer </w:t>
      </w:r>
      <w:proofErr w:type="spellStart"/>
      <w:r w:rsidRPr="001A3AE3">
        <w:rPr>
          <w:rFonts w:ascii="Times New Roman" w:eastAsia="Times New Roman" w:hAnsi="Times New Roman"/>
          <w:kern w:val="0"/>
          <w:szCs w:val="22"/>
          <w:lang w:val="en-US" w:eastAsia="en-US"/>
          <w14:ligatures w14:val="none"/>
        </w:rPr>
        <w:t>behaviour</w:t>
      </w:r>
      <w:proofErr w:type="spellEnd"/>
      <w:r w:rsidRPr="001A3AE3">
        <w:rPr>
          <w:rFonts w:ascii="Times New Roman" w:eastAsia="Times New Roman" w:hAnsi="Times New Roman"/>
          <w:kern w:val="0"/>
          <w:szCs w:val="22"/>
          <w:lang w:val="en-US" w:eastAsia="en-US"/>
          <w14:ligatures w14:val="none"/>
        </w:rPr>
        <w:t xml:space="preserve">. It also provides Toyota with a good platform to climb to </w:t>
      </w:r>
      <w:r w:rsidRPr="001A3AE3">
        <w:rPr>
          <w:rFonts w:ascii="Times New Roman" w:eastAsia="Times New Roman" w:hAnsi="Times New Roman"/>
          <w:kern w:val="0"/>
          <w:szCs w:val="22"/>
          <w:lang w:val="en-US" w:eastAsia="en-US"/>
          <w14:ligatures w14:val="none"/>
        </w:rPr>
        <w:lastRenderedPageBreak/>
        <w:t>greater charging conditions, stricter emissions policies and more digitalized cars. That is why the market is appealing not because it is easy but because a company with the ability of Toyota can turn its complexity to its benefit.</w:t>
      </w:r>
    </w:p>
    <w:p w14:paraId="63328166"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p>
    <w:p w14:paraId="239B13AD"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p>
    <w:p w14:paraId="0F4EA3B9"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p>
    <w:p w14:paraId="56EBBBCF" w14:textId="77777777" w:rsidR="001A3AE3" w:rsidRPr="001A3AE3" w:rsidRDefault="001A3AE3" w:rsidP="001A3AE3">
      <w:pPr>
        <w:keepNext/>
        <w:keepLines/>
        <w:spacing w:before="240" w:after="240" w:line="480" w:lineRule="auto"/>
        <w:outlineLvl w:val="1"/>
        <w:rPr>
          <w:rFonts w:asciiTheme="majorHAnsi" w:eastAsiaTheme="majorEastAsia" w:hAnsiTheme="majorHAnsi" w:cstheme="majorBidi"/>
          <w:b/>
          <w:bCs/>
          <w:color w:val="000000"/>
          <w:kern w:val="0"/>
          <w:szCs w:val="26"/>
          <w:lang w:val="en-US" w:eastAsia="en-US"/>
          <w14:ligatures w14:val="none"/>
        </w:rPr>
      </w:pPr>
      <w:bookmarkStart w:id="13" w:name="_Toc227655434"/>
      <w:r w:rsidRPr="001A3AE3">
        <w:rPr>
          <w:rFonts w:ascii="Times New Roman" w:eastAsia="Times New Roman" w:hAnsi="Times New Roman" w:cstheme="majorBidi"/>
          <w:b/>
          <w:bCs/>
          <w:color w:val="000000"/>
          <w:kern w:val="0"/>
          <w:szCs w:val="26"/>
          <w:lang w:val="en-US" w:eastAsia="en-US"/>
          <w14:ligatures w14:val="none"/>
        </w:rPr>
        <w:t>5. Conclusion</w:t>
      </w:r>
      <w:bookmarkEnd w:id="13"/>
    </w:p>
    <w:p w14:paraId="2C90D89B" w14:textId="77777777" w:rsidR="001A3AE3" w:rsidRPr="001A3AE3" w:rsidRDefault="001A3AE3" w:rsidP="001A3AE3">
      <w:pPr>
        <w:spacing w:before="240" w:after="240" w:line="480" w:lineRule="auto"/>
        <w:jc w:val="both"/>
        <w:rPr>
          <w:rFonts w:ascii="Times New Roman" w:eastAsia="Times New Roman" w:hAnsi="Times New Roman"/>
          <w:kern w:val="0"/>
          <w:szCs w:val="22"/>
          <w:lang w:val="en-US" w:eastAsia="en-US"/>
          <w14:ligatures w14:val="none"/>
        </w:rPr>
      </w:pPr>
      <w:r w:rsidRPr="001A3AE3">
        <w:rPr>
          <w:rFonts w:ascii="Times New Roman" w:eastAsia="Times New Roman" w:hAnsi="Times New Roman"/>
          <w:kern w:val="0"/>
          <w:szCs w:val="22"/>
          <w:lang w:val="en-US" w:eastAsia="en-US"/>
          <w14:ligatures w14:val="none"/>
        </w:rPr>
        <w:t xml:space="preserve">On balance, the U.S. automobile market is considered to be one of the most significant and competitive industrial fields in the world. Its size, their level of consumer sophistication and the level of supplier sophistication make it appealing, and its switch to electrification, software-defined vehicles and stricter regulation makes it strategically challenging. The Diamond created by Porter demonstrates that the United States remains to have good factor conditions, advanced demand, robust support industries and intensive competition, yet it also also indicates a discrepancy between the existing abilities and the infrastructure needed on the next stage of development. Toyota is in a good position as it incorporates local </w:t>
      </w:r>
      <w:proofErr w:type="spellStart"/>
      <w:r w:rsidRPr="001A3AE3">
        <w:rPr>
          <w:rFonts w:ascii="Times New Roman" w:eastAsia="Times New Roman" w:hAnsi="Times New Roman"/>
          <w:kern w:val="0"/>
          <w:szCs w:val="22"/>
          <w:lang w:val="en-US" w:eastAsia="en-US"/>
          <w14:ligatures w14:val="none"/>
        </w:rPr>
        <w:t>embeddedness</w:t>
      </w:r>
      <w:proofErr w:type="spellEnd"/>
      <w:r w:rsidRPr="001A3AE3">
        <w:rPr>
          <w:rFonts w:ascii="Times New Roman" w:eastAsia="Times New Roman" w:hAnsi="Times New Roman"/>
          <w:kern w:val="0"/>
          <w:szCs w:val="22"/>
          <w:lang w:val="en-US" w:eastAsia="en-US"/>
          <w14:ligatures w14:val="none"/>
        </w:rPr>
        <w:t xml:space="preserve"> and strategic flexibility. Its position in the US market, its production base and hybrid product range provide it with a sustainable edge in a market where a number of consumers are still weighing cost, convenience and doubt over the uptake of fully electric vehicles. The most important point is that the U.S. market is still appealing, yet only to those companies, which will be able to combine the product strategy, compliance with the policy, supply chain resilience, and customer trust into the same operating model.</w:t>
      </w:r>
    </w:p>
    <w:p w14:paraId="4BD27512" w14:textId="77777777" w:rsidR="001A3AE3" w:rsidRPr="001A3AE3" w:rsidRDefault="001A3AE3" w:rsidP="001A3AE3">
      <w:pPr>
        <w:keepNext/>
        <w:keepLines/>
        <w:spacing w:before="240" w:after="240" w:line="480" w:lineRule="auto"/>
        <w:outlineLvl w:val="0"/>
        <w:rPr>
          <w:rFonts w:asciiTheme="majorHAnsi" w:eastAsiaTheme="majorEastAsia" w:hAnsiTheme="majorHAnsi" w:cstheme="majorBidi"/>
          <w:b/>
          <w:bCs/>
          <w:color w:val="000000"/>
          <w:kern w:val="0"/>
          <w:sz w:val="26"/>
          <w:szCs w:val="28"/>
          <w:lang w:val="en-US" w:eastAsia="en-US"/>
          <w14:ligatures w14:val="none"/>
        </w:rPr>
      </w:pPr>
      <w:bookmarkStart w:id="14" w:name="_Toc227655435"/>
      <w:r w:rsidRPr="001A3AE3">
        <w:rPr>
          <w:rFonts w:ascii="Times New Roman" w:eastAsia="Times New Roman" w:hAnsi="Times New Roman" w:cstheme="majorBidi"/>
          <w:b/>
          <w:bCs/>
          <w:color w:val="000000"/>
          <w:kern w:val="0"/>
          <w:sz w:val="26"/>
          <w:szCs w:val="28"/>
          <w:lang w:val="en-US" w:eastAsia="en-US"/>
          <w14:ligatures w14:val="none"/>
        </w:rPr>
        <w:lastRenderedPageBreak/>
        <w:t>Section 2: Reflective account using Gibbs’ cycle</w:t>
      </w:r>
      <w:bookmarkEnd w:id="14"/>
    </w:p>
    <w:p w14:paraId="63E2074F" w14:textId="77777777" w:rsidR="001A3AE3" w:rsidRPr="001A3AE3" w:rsidRDefault="001A3AE3" w:rsidP="001A3AE3">
      <w:pPr>
        <w:spacing w:before="240" w:after="240" w:line="480" w:lineRule="auto"/>
        <w:jc w:val="both"/>
        <w:rPr>
          <w:rFonts w:ascii="Times New Roman" w:eastAsia="Times New Roman" w:hAnsi="Times New Roman"/>
          <w:kern w:val="0"/>
          <w:szCs w:val="22"/>
          <w:lang w:val="en-US" w:eastAsia="en-US"/>
          <w14:ligatures w14:val="none"/>
        </w:rPr>
      </w:pPr>
      <w:r w:rsidRPr="001A3AE3">
        <w:rPr>
          <w:rFonts w:ascii="Times New Roman" w:eastAsia="Times New Roman" w:hAnsi="Times New Roman"/>
          <w:kern w:val="0"/>
          <w:szCs w:val="22"/>
          <w:lang w:val="en-US" w:eastAsia="en-US"/>
          <w14:ligatures w14:val="none"/>
        </w:rPr>
        <w:t>I applied the Gibbs reflective cycle since it offered me a structured approach to transforming research activity into learning. At the description stage, I began by reading the brief and rubric line-by-line, and then identified the major requirements: a 5,000-word report, a country and industry selection, a Porter-based competitiveness analysis, a foreign MNC analysis and a reflective account. After I have made the previous country-company error right and switched the country and company to the United States/Toyota, I constructed the report structure around the task instead of the arbitrary sources. This choice made the report be consistent with the marking guidelines, especially the HD-level requirement of critical analysis, not narrative description (University of Wales Trinity Saint David, 2026).</w:t>
      </w:r>
    </w:p>
    <w:p w14:paraId="713F3E62" w14:textId="77777777" w:rsidR="001A3AE3" w:rsidRPr="001A3AE3" w:rsidRDefault="001A3AE3" w:rsidP="001A3AE3">
      <w:pPr>
        <w:spacing w:before="240" w:after="240" w:line="480" w:lineRule="auto"/>
        <w:jc w:val="both"/>
        <w:rPr>
          <w:rFonts w:ascii="Times New Roman" w:eastAsia="Times New Roman" w:hAnsi="Times New Roman"/>
          <w:kern w:val="0"/>
          <w:szCs w:val="22"/>
          <w:lang w:val="en-US" w:eastAsia="en-US"/>
          <w14:ligatures w14:val="none"/>
        </w:rPr>
      </w:pPr>
      <w:r w:rsidRPr="001A3AE3">
        <w:rPr>
          <w:rFonts w:ascii="Times New Roman" w:eastAsia="Times New Roman" w:hAnsi="Times New Roman"/>
          <w:kern w:val="0"/>
          <w:szCs w:val="22"/>
          <w:lang w:val="en-US" w:eastAsia="en-US"/>
          <w14:ligatures w14:val="none"/>
        </w:rPr>
        <w:t>My first impression was that it might get too broad of a subject. The U.S. automobile industry is massive, and the Toyota presence encompasses manufacturing, sales, batteries, regulation and consumer demand. Initially that was intimidating since there were numerous facts that could be included. Nonetheless, as I mapped the report to some frameworks, the project became easier to handle. I felt more assured when the evidence began to fly towards a common point: Toyota is winning in the U.S. because it is embedded locally, is strategically flexible and suits the current demand conditions. The difficulty lay in remaining critical and not merely parrot company reports of their own success.</w:t>
      </w:r>
    </w:p>
    <w:p w14:paraId="224929E4" w14:textId="77777777" w:rsidR="001A3AE3" w:rsidRPr="001A3AE3" w:rsidRDefault="001A3AE3" w:rsidP="001A3AE3">
      <w:pPr>
        <w:spacing w:before="240" w:after="240" w:line="480" w:lineRule="auto"/>
        <w:jc w:val="both"/>
        <w:rPr>
          <w:rFonts w:ascii="Times New Roman" w:eastAsia="Times New Roman" w:hAnsi="Times New Roman"/>
          <w:kern w:val="0"/>
          <w:szCs w:val="22"/>
          <w:lang w:val="en-US" w:eastAsia="en-US"/>
          <w14:ligatures w14:val="none"/>
        </w:rPr>
      </w:pPr>
      <w:r w:rsidRPr="001A3AE3">
        <w:rPr>
          <w:rFonts w:ascii="Times New Roman" w:eastAsia="Times New Roman" w:hAnsi="Times New Roman"/>
          <w:kern w:val="0"/>
          <w:szCs w:val="22"/>
          <w:lang w:val="en-US" w:eastAsia="en-US"/>
          <w14:ligatures w14:val="none"/>
        </w:rPr>
        <w:t xml:space="preserve">The assessment phase revealed that source selection and synthesis were my strongest aspects of the process. I gave preference to the recent, open and authoritative information in the form of the data provided by the U.S. government, disclosures of Toyota itself, and reports of industry-related institutions. That enhanced the non-fictional aspect of the piece and minimized the chances of depending on unsubstantiated arguments. One of the weaknesses was that certain firm reports are inherently promotional and as such, they had to be verified with third </w:t>
      </w:r>
      <w:r w:rsidRPr="001A3AE3">
        <w:rPr>
          <w:rFonts w:ascii="Times New Roman" w:eastAsia="Times New Roman" w:hAnsi="Times New Roman"/>
          <w:kern w:val="0"/>
          <w:szCs w:val="22"/>
          <w:lang w:val="en-US" w:eastAsia="en-US"/>
          <w14:ligatures w14:val="none"/>
        </w:rPr>
        <w:lastRenderedPageBreak/>
        <w:t>party sources like Deloitte, ICCT, Reuters, USTR and DOE. This analogy enhanced the analysis since it revealed the discrepancy between corporate hopefulness and market truth. To illustrate, the belief held by Toyota in its multi-pathway approach is more persuasive when compared to the charging loopholes and consumer reluctance in the U.S.</w:t>
      </w:r>
    </w:p>
    <w:p w14:paraId="6BD8E611" w14:textId="77777777" w:rsidR="001A3AE3" w:rsidRPr="001A3AE3" w:rsidRDefault="001A3AE3" w:rsidP="001A3AE3">
      <w:pPr>
        <w:spacing w:before="240" w:after="240" w:line="480" w:lineRule="auto"/>
        <w:jc w:val="both"/>
        <w:rPr>
          <w:rFonts w:ascii="Times New Roman" w:eastAsia="Times New Roman" w:hAnsi="Times New Roman"/>
          <w:kern w:val="0"/>
          <w:szCs w:val="22"/>
          <w:lang w:val="en-US" w:eastAsia="en-US"/>
          <w14:ligatures w14:val="none"/>
        </w:rPr>
      </w:pPr>
      <w:r w:rsidRPr="001A3AE3">
        <w:rPr>
          <w:rFonts w:ascii="Times New Roman" w:eastAsia="Times New Roman" w:hAnsi="Times New Roman"/>
          <w:kern w:val="0"/>
          <w:szCs w:val="22"/>
          <w:lang w:val="en-US" w:eastAsia="en-US"/>
          <w14:ligatures w14:val="none"/>
        </w:rPr>
        <w:t>During the analysis phase, I discovered that the same industry may present itself in different ways based on the lens that is applied. The introduction section indicated the magnitude and financial significance. Porters Diamond also explained the nature of the U.S. competitiveness even when it is under transition pressure. The Toyota section demonstrated that not every great market would automatically lead to success; it depends on how well the strategy of the firm is matched with the country environment. The most valuable lesson was that the competitiveness in the existing auto industry is no longer only about the efficient production of the vehicles. It is concerned with aligning product architecture, charging access, trade policy, battery supply, dealer channels and digital services. That discovery motivated me to make my writing more analytical, since it meant I had to relate evidence and not merely enumerating evidence.</w:t>
      </w:r>
    </w:p>
    <w:p w14:paraId="7AFF1CFF" w14:textId="77777777" w:rsidR="001A3AE3" w:rsidRPr="001A3AE3" w:rsidRDefault="001A3AE3" w:rsidP="001A3AE3">
      <w:pPr>
        <w:spacing w:before="120" w:after="120" w:line="276" w:lineRule="auto"/>
        <w:jc w:val="center"/>
        <w:rPr>
          <w:rFonts w:ascii="Times New Roman" w:eastAsia="Times New Roman" w:hAnsi="Times New Roman"/>
          <w:kern w:val="0"/>
          <w:szCs w:val="22"/>
          <w:lang w:val="en-US" w:eastAsia="en-US"/>
          <w14:ligatures w14:val="none"/>
        </w:rPr>
      </w:pPr>
      <w:r w:rsidRPr="001A3AE3">
        <w:rPr>
          <w:rFonts w:ascii="Times New Roman" w:eastAsia="Times New Roman" w:hAnsi="Times New Roman"/>
          <w:noProof/>
          <w:kern w:val="0"/>
          <w:szCs w:val="22"/>
          <w:lang w:val="en-US" w:eastAsia="en-US"/>
          <w14:ligatures w14:val="none"/>
        </w:rPr>
        <w:drawing>
          <wp:inline distT="0" distB="0" distL="0" distR="0" wp14:anchorId="040964B4" wp14:editId="776910E6">
            <wp:extent cx="6035040" cy="339471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7.png"/>
                    <pic:cNvPicPr/>
                  </pic:nvPicPr>
                  <pic:blipFill>
                    <a:blip r:embed="rId25"/>
                    <a:stretch>
                      <a:fillRect/>
                    </a:stretch>
                  </pic:blipFill>
                  <pic:spPr>
                    <a:xfrm>
                      <a:off x="0" y="0"/>
                      <a:ext cx="6035040" cy="3394710"/>
                    </a:xfrm>
                    <a:prstGeom prst="rect">
                      <a:avLst/>
                    </a:prstGeom>
                  </pic:spPr>
                </pic:pic>
              </a:graphicData>
            </a:graphic>
          </wp:inline>
        </w:drawing>
      </w:r>
    </w:p>
    <w:p w14:paraId="28086863" w14:textId="77777777" w:rsidR="001A3AE3" w:rsidRPr="001A3AE3" w:rsidRDefault="001A3AE3" w:rsidP="001A3AE3">
      <w:pPr>
        <w:spacing w:before="120" w:after="120" w:line="480" w:lineRule="auto"/>
        <w:jc w:val="center"/>
        <w:rPr>
          <w:rFonts w:ascii="Times New Roman" w:eastAsia="Times New Roman" w:hAnsi="Times New Roman"/>
          <w:kern w:val="0"/>
          <w:szCs w:val="22"/>
          <w:lang w:val="en-US" w:eastAsia="en-US"/>
          <w14:ligatures w14:val="none"/>
        </w:rPr>
      </w:pPr>
      <w:r w:rsidRPr="001A3AE3">
        <w:rPr>
          <w:rFonts w:ascii="Times New Roman" w:eastAsia="Times New Roman" w:hAnsi="Times New Roman"/>
          <w:b/>
          <w:color w:val="000000"/>
          <w:kern w:val="0"/>
          <w:szCs w:val="22"/>
          <w:lang w:val="en-US" w:eastAsia="en-US"/>
          <w14:ligatures w14:val="none"/>
        </w:rPr>
        <w:lastRenderedPageBreak/>
        <w:t>Figure 7: Gibbs reflective cycle applied to the research process</w:t>
      </w:r>
    </w:p>
    <w:p w14:paraId="65995A48" w14:textId="77777777" w:rsidR="001A3AE3" w:rsidRPr="001A3AE3" w:rsidRDefault="001A3AE3" w:rsidP="001A3AE3">
      <w:pPr>
        <w:spacing w:before="240" w:after="240" w:line="480" w:lineRule="auto"/>
        <w:jc w:val="both"/>
        <w:rPr>
          <w:rFonts w:ascii="Times New Roman" w:eastAsia="Times New Roman" w:hAnsi="Times New Roman"/>
          <w:kern w:val="0"/>
          <w:szCs w:val="22"/>
          <w:lang w:val="en-US" w:eastAsia="en-US"/>
          <w14:ligatures w14:val="none"/>
        </w:rPr>
      </w:pPr>
      <w:r w:rsidRPr="001A3AE3">
        <w:rPr>
          <w:rFonts w:ascii="Times New Roman" w:eastAsia="Times New Roman" w:hAnsi="Times New Roman"/>
          <w:kern w:val="0"/>
          <w:szCs w:val="22"/>
          <w:lang w:val="en-US" w:eastAsia="en-US"/>
          <w14:ligatures w14:val="none"/>
        </w:rPr>
        <w:t>The overall outcome of the process is my conclusion that a good postgraduate research relies on structure, evidence discipline and judgement. Given that I did the same task again, I would begin much earlier with a source matrix that separates country data, industry data, company data and theory. I would also add a brief note beside each source stating what exactly it is supporting as that would help the argument to be more accurate and the referencing can be handled with a lot of ease. The task also enhanced my skills to contrasting conflicting evidence, to assess the validity of corporate assertions, and to transform the data available to the general public into a strategic competitiveness argument. They are valuable academic skills, as well as business analysis and policy assessment.</w:t>
      </w:r>
    </w:p>
    <w:p w14:paraId="47295E76" w14:textId="77777777" w:rsidR="001A3AE3" w:rsidRPr="001A3AE3" w:rsidRDefault="001A3AE3" w:rsidP="001A3AE3">
      <w:pPr>
        <w:spacing w:before="240" w:after="240" w:line="480" w:lineRule="auto"/>
        <w:jc w:val="both"/>
        <w:rPr>
          <w:rFonts w:ascii="Times New Roman" w:eastAsia="Times New Roman" w:hAnsi="Times New Roman"/>
          <w:kern w:val="0"/>
          <w:szCs w:val="22"/>
          <w:lang w:val="en-US" w:eastAsia="en-US"/>
          <w14:ligatures w14:val="none"/>
        </w:rPr>
      </w:pPr>
      <w:r w:rsidRPr="001A3AE3">
        <w:rPr>
          <w:rFonts w:ascii="Times New Roman" w:eastAsia="Times New Roman" w:hAnsi="Times New Roman"/>
          <w:kern w:val="0"/>
          <w:szCs w:val="22"/>
          <w:lang w:val="en-US" w:eastAsia="en-US"/>
          <w14:ligatures w14:val="none"/>
        </w:rPr>
        <w:t xml:space="preserve">Reflectively, the key change made when this was compared to the previous version of the work was not to simply replace the names of the country and the company. The actual change was analytical: I needed to re-consider which facts were relevant, which assumptions were too general and which evidence could be used in support of high distinction argument in the first place. This clean-up report was more powerful as the U.S. market provides more data on the nature of demand, regulation and consumer </w:t>
      </w:r>
      <w:proofErr w:type="spellStart"/>
      <w:r w:rsidRPr="001A3AE3">
        <w:rPr>
          <w:rFonts w:ascii="Times New Roman" w:eastAsia="Times New Roman" w:hAnsi="Times New Roman"/>
          <w:kern w:val="0"/>
          <w:szCs w:val="22"/>
          <w:lang w:val="en-US" w:eastAsia="en-US"/>
          <w14:ligatures w14:val="none"/>
        </w:rPr>
        <w:t>behaviour</w:t>
      </w:r>
      <w:proofErr w:type="spellEnd"/>
      <w:r w:rsidRPr="001A3AE3">
        <w:rPr>
          <w:rFonts w:ascii="Times New Roman" w:eastAsia="Times New Roman" w:hAnsi="Times New Roman"/>
          <w:kern w:val="0"/>
          <w:szCs w:val="22"/>
          <w:lang w:val="en-US" w:eastAsia="en-US"/>
          <w14:ligatures w14:val="none"/>
        </w:rPr>
        <w:t xml:space="preserve"> and Toyota provides a more entertaining test of a multinational company, which is not only locally integrated but also globally consistent. The mix of that made the project more sensible and more justifiable.</w:t>
      </w:r>
    </w:p>
    <w:p w14:paraId="1919BAB3"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p>
    <w:p w14:paraId="0B1C12BD"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p>
    <w:p w14:paraId="4F07887E"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p>
    <w:p w14:paraId="6F0C2D93"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p>
    <w:p w14:paraId="413D5E82"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p>
    <w:p w14:paraId="6A5F6FAD" w14:textId="77777777" w:rsidR="001A3AE3" w:rsidRPr="001A3AE3" w:rsidRDefault="001A3AE3" w:rsidP="001A3AE3">
      <w:pPr>
        <w:keepNext/>
        <w:keepLines/>
        <w:spacing w:before="240" w:after="240" w:line="480" w:lineRule="auto"/>
        <w:outlineLvl w:val="0"/>
        <w:rPr>
          <w:rFonts w:asciiTheme="majorHAnsi" w:eastAsiaTheme="majorEastAsia" w:hAnsiTheme="majorHAnsi" w:cstheme="majorBidi"/>
          <w:b/>
          <w:bCs/>
          <w:color w:val="000000"/>
          <w:kern w:val="0"/>
          <w:sz w:val="26"/>
          <w:szCs w:val="28"/>
          <w:lang w:val="en-US" w:eastAsia="en-US"/>
          <w14:ligatures w14:val="none"/>
        </w:rPr>
      </w:pPr>
      <w:bookmarkStart w:id="15" w:name="_Toc227655436"/>
      <w:r w:rsidRPr="001A3AE3">
        <w:rPr>
          <w:rFonts w:ascii="Times New Roman" w:eastAsia="Times New Roman" w:hAnsi="Times New Roman" w:cstheme="majorBidi"/>
          <w:b/>
          <w:bCs/>
          <w:color w:val="000000"/>
          <w:kern w:val="0"/>
          <w:sz w:val="26"/>
          <w:szCs w:val="28"/>
          <w:lang w:val="en-US" w:eastAsia="en-US"/>
          <w14:ligatures w14:val="none"/>
        </w:rPr>
        <w:t>References</w:t>
      </w:r>
      <w:bookmarkEnd w:id="15"/>
    </w:p>
    <w:p w14:paraId="6A4C2081"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t xml:space="preserve">BEA (2025) U.S. International Trade in Goods and Services December 2024. Available at: </w:t>
      </w:r>
      <w:hyperlink r:id="rId26" w:history="1">
        <w:r w:rsidRPr="001A3AE3">
          <w:rPr>
            <w:rFonts w:ascii="Times New Roman" w:eastAsia="Times New Roman" w:hAnsi="Times New Roman"/>
            <w:color w:val="000000"/>
            <w:kern w:val="0"/>
            <w:szCs w:val="22"/>
            <w:lang w:val="en-US" w:eastAsia="en-US"/>
            <w14:ligatures w14:val="none"/>
          </w:rPr>
          <w:t>https://www.bea.gov/sites/default/files/2025-02/trad1224.pdf</w:t>
        </w:r>
      </w:hyperlink>
      <w:r w:rsidRPr="001A3AE3">
        <w:rPr>
          <w:rFonts w:ascii="Times New Roman" w:eastAsia="Times New Roman" w:hAnsi="Times New Roman"/>
          <w:color w:val="000000"/>
          <w:kern w:val="0"/>
          <w:szCs w:val="22"/>
          <w:lang w:val="en-US" w:eastAsia="en-US"/>
          <w14:ligatures w14:val="none"/>
        </w:rPr>
        <w:t xml:space="preserve"> (Accessed: 21 April 2026).</w:t>
      </w:r>
    </w:p>
    <w:p w14:paraId="0587DAD8"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t xml:space="preserve">BLS (2026) Automotive Industry: Employment, Earnings, and Hours. Available at: </w:t>
      </w:r>
      <w:hyperlink r:id="rId27" w:history="1">
        <w:r w:rsidRPr="001A3AE3">
          <w:rPr>
            <w:rFonts w:ascii="Times New Roman" w:eastAsia="Times New Roman" w:hAnsi="Times New Roman"/>
            <w:color w:val="000000"/>
            <w:kern w:val="0"/>
            <w:szCs w:val="22"/>
            <w:lang w:val="en-US" w:eastAsia="en-US"/>
            <w14:ligatures w14:val="none"/>
          </w:rPr>
          <w:t>https://www.bls.gov/iag/tgs/iagauto.htm</w:t>
        </w:r>
      </w:hyperlink>
      <w:r w:rsidRPr="001A3AE3">
        <w:rPr>
          <w:rFonts w:ascii="Times New Roman" w:eastAsia="Times New Roman" w:hAnsi="Times New Roman"/>
          <w:color w:val="000000"/>
          <w:kern w:val="0"/>
          <w:szCs w:val="22"/>
          <w:lang w:val="en-US" w:eastAsia="en-US"/>
          <w14:ligatures w14:val="none"/>
        </w:rPr>
        <w:t xml:space="preserve"> (Accessed: 21 April 2026).</w:t>
      </w:r>
    </w:p>
    <w:p w14:paraId="47E34C1D"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t xml:space="preserve">Deloitte (2024) 2024 Global Automotive Consumer Study. Available at: </w:t>
      </w:r>
      <w:hyperlink r:id="rId28" w:history="1">
        <w:r w:rsidRPr="001A3AE3">
          <w:rPr>
            <w:rFonts w:ascii="Times New Roman" w:eastAsia="Times New Roman" w:hAnsi="Times New Roman"/>
            <w:color w:val="000000"/>
            <w:kern w:val="0"/>
            <w:szCs w:val="22"/>
            <w:lang w:val="en-US" w:eastAsia="en-US"/>
            <w14:ligatures w14:val="none"/>
          </w:rPr>
          <w:t>https://www.deloitte.com/ce/en/industries/automotive/perspectives/global-automotive-consumer-study.html</w:t>
        </w:r>
      </w:hyperlink>
      <w:r w:rsidRPr="001A3AE3">
        <w:rPr>
          <w:rFonts w:ascii="Times New Roman" w:eastAsia="Times New Roman" w:hAnsi="Times New Roman"/>
          <w:color w:val="000000"/>
          <w:kern w:val="0"/>
          <w:szCs w:val="22"/>
          <w:lang w:val="en-US" w:eastAsia="en-US"/>
          <w14:ligatures w14:val="none"/>
        </w:rPr>
        <w:t xml:space="preserve"> (Accessed: 21 April 2026).</w:t>
      </w:r>
    </w:p>
    <w:p w14:paraId="75EBBE7D"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t xml:space="preserve">DOE AFDC (2024) Electric Vehicle Charging Infrastructure Trends. Available at: </w:t>
      </w:r>
      <w:hyperlink r:id="rId29" w:history="1">
        <w:r w:rsidRPr="001A3AE3">
          <w:rPr>
            <w:rFonts w:ascii="Times New Roman" w:eastAsia="Times New Roman" w:hAnsi="Times New Roman"/>
            <w:color w:val="000000"/>
            <w:kern w:val="0"/>
            <w:szCs w:val="22"/>
            <w:lang w:val="en-US" w:eastAsia="en-US"/>
            <w14:ligatures w14:val="none"/>
          </w:rPr>
          <w:t>https://afdc.energy.gov/fuels/electricity-infrastructure-trends</w:t>
        </w:r>
      </w:hyperlink>
      <w:r w:rsidRPr="001A3AE3">
        <w:rPr>
          <w:rFonts w:ascii="Times New Roman" w:eastAsia="Times New Roman" w:hAnsi="Times New Roman"/>
          <w:color w:val="000000"/>
          <w:kern w:val="0"/>
          <w:szCs w:val="22"/>
          <w:lang w:val="en-US" w:eastAsia="en-US"/>
          <w14:ligatures w14:val="none"/>
        </w:rPr>
        <w:t xml:space="preserve"> (Accessed: 21 April 2026).</w:t>
      </w:r>
    </w:p>
    <w:p w14:paraId="6FF7A5F6"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t xml:space="preserve">DOE AFDC (2024) Electric Vehicle Charging Infrastructure Trends from the Second Quarter of 2024. Available at: </w:t>
      </w:r>
      <w:hyperlink r:id="rId30" w:history="1">
        <w:r w:rsidRPr="001A3AE3">
          <w:rPr>
            <w:rFonts w:ascii="Times New Roman" w:eastAsia="Times New Roman" w:hAnsi="Times New Roman"/>
            <w:color w:val="000000"/>
            <w:kern w:val="0"/>
            <w:szCs w:val="22"/>
            <w:lang w:val="en-US" w:eastAsia="en-US"/>
            <w14:ligatures w14:val="none"/>
          </w:rPr>
          <w:t>https://afdc.energy.gov/files/u/publication/electric_vehicle_charging_infrastructure_trends_second_quarter_2024.pdf</w:t>
        </w:r>
      </w:hyperlink>
      <w:r w:rsidRPr="001A3AE3">
        <w:rPr>
          <w:rFonts w:ascii="Times New Roman" w:eastAsia="Times New Roman" w:hAnsi="Times New Roman"/>
          <w:color w:val="000000"/>
          <w:kern w:val="0"/>
          <w:szCs w:val="22"/>
          <w:lang w:val="en-US" w:eastAsia="en-US"/>
          <w14:ligatures w14:val="none"/>
        </w:rPr>
        <w:t xml:space="preserve"> (Accessed: 21 April 2026).</w:t>
      </w:r>
    </w:p>
    <w:p w14:paraId="0AA6C56F"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t xml:space="preserve">DOE (2024) FOTW #1335: Level 1 and Level 2 EV Charging Expected to Account for 80%. Available at: </w:t>
      </w:r>
      <w:hyperlink r:id="rId31" w:history="1">
        <w:r w:rsidRPr="001A3AE3">
          <w:rPr>
            <w:rFonts w:ascii="Times New Roman" w:eastAsia="Times New Roman" w:hAnsi="Times New Roman"/>
            <w:color w:val="000000"/>
            <w:kern w:val="0"/>
            <w:szCs w:val="22"/>
            <w:lang w:val="en-US" w:eastAsia="en-US"/>
            <w14:ligatures w14:val="none"/>
          </w:rPr>
          <w:t>https://www.energy.gov/cmei/vehicles/articles/fotw-1335-march-25-2024-level-1-and-level-2-ev-charging-expected-account-80</w:t>
        </w:r>
      </w:hyperlink>
      <w:r w:rsidRPr="001A3AE3">
        <w:rPr>
          <w:rFonts w:ascii="Times New Roman" w:eastAsia="Times New Roman" w:hAnsi="Times New Roman"/>
          <w:color w:val="000000"/>
          <w:kern w:val="0"/>
          <w:szCs w:val="22"/>
          <w:lang w:val="en-US" w:eastAsia="en-US"/>
          <w14:ligatures w14:val="none"/>
        </w:rPr>
        <w:t xml:space="preserve"> (Accessed: 21 April 2026).</w:t>
      </w:r>
    </w:p>
    <w:p w14:paraId="3AF0D890"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t xml:space="preserve">DOE (2024) FOTW #1350: 2023 United States Had Battery Recycling Facilities. Available at: </w:t>
      </w:r>
      <w:hyperlink r:id="rId32" w:history="1">
        <w:r w:rsidRPr="001A3AE3">
          <w:rPr>
            <w:rFonts w:ascii="Times New Roman" w:eastAsia="Times New Roman" w:hAnsi="Times New Roman"/>
            <w:color w:val="000000"/>
            <w:kern w:val="0"/>
            <w:szCs w:val="22"/>
            <w:lang w:val="en-US" w:eastAsia="en-US"/>
            <w14:ligatures w14:val="none"/>
          </w:rPr>
          <w:t>https://www.energy.gov/cmei/vehicles/articles/fotw-1350-july-8-2024-2023-united-states-had-battery-recycling-facilities</w:t>
        </w:r>
      </w:hyperlink>
      <w:r w:rsidRPr="001A3AE3">
        <w:rPr>
          <w:rFonts w:ascii="Times New Roman" w:eastAsia="Times New Roman" w:hAnsi="Times New Roman"/>
          <w:color w:val="000000"/>
          <w:kern w:val="0"/>
          <w:szCs w:val="22"/>
          <w:lang w:val="en-US" w:eastAsia="en-US"/>
          <w14:ligatures w14:val="none"/>
        </w:rPr>
        <w:t xml:space="preserve"> (Accessed: 21 April 2026).</w:t>
      </w:r>
    </w:p>
    <w:p w14:paraId="44B0F0B7"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lastRenderedPageBreak/>
        <w:t xml:space="preserve">EPA (2024) Download the 2024 Automotive Trends Report. Available at: </w:t>
      </w:r>
      <w:hyperlink r:id="rId33" w:history="1">
        <w:r w:rsidRPr="001A3AE3">
          <w:rPr>
            <w:rFonts w:ascii="Times New Roman" w:eastAsia="Times New Roman" w:hAnsi="Times New Roman"/>
            <w:color w:val="000000"/>
            <w:kern w:val="0"/>
            <w:szCs w:val="22"/>
            <w:lang w:val="en-US" w:eastAsia="en-US"/>
            <w14:ligatures w14:val="none"/>
          </w:rPr>
          <w:t>https://www.epa.gov/automotive-trends/download-2024-automotive-trends-report</w:t>
        </w:r>
      </w:hyperlink>
      <w:r w:rsidRPr="001A3AE3">
        <w:rPr>
          <w:rFonts w:ascii="Times New Roman" w:eastAsia="Times New Roman" w:hAnsi="Times New Roman"/>
          <w:color w:val="000000"/>
          <w:kern w:val="0"/>
          <w:szCs w:val="22"/>
          <w:lang w:val="en-US" w:eastAsia="en-US"/>
          <w14:ligatures w14:val="none"/>
        </w:rPr>
        <w:t xml:space="preserve"> (Accessed: 21 April 2026).</w:t>
      </w:r>
    </w:p>
    <w:p w14:paraId="530F859B"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t xml:space="preserve">EPA (2024) Final Rule: Multi-Pollutant Emissions Standards for Model Years 2027 and Later Light-Duty and Medium-Duty Vehicles. Available at: </w:t>
      </w:r>
      <w:hyperlink r:id="rId34" w:history="1">
        <w:r w:rsidRPr="001A3AE3">
          <w:rPr>
            <w:rFonts w:ascii="Times New Roman" w:eastAsia="Times New Roman" w:hAnsi="Times New Roman"/>
            <w:color w:val="000000"/>
            <w:kern w:val="0"/>
            <w:szCs w:val="22"/>
            <w:lang w:val="en-US" w:eastAsia="en-US"/>
            <w14:ligatures w14:val="none"/>
          </w:rPr>
          <w:t>https://www.epa.gov/regulations-emissions-vehicles-and-engines/final-rule-multi-pollutant-emissions-standards-model</w:t>
        </w:r>
      </w:hyperlink>
      <w:r w:rsidRPr="001A3AE3">
        <w:rPr>
          <w:rFonts w:ascii="Times New Roman" w:eastAsia="Times New Roman" w:hAnsi="Times New Roman"/>
          <w:color w:val="000000"/>
          <w:kern w:val="0"/>
          <w:szCs w:val="22"/>
          <w:lang w:val="en-US" w:eastAsia="en-US"/>
          <w14:ligatures w14:val="none"/>
        </w:rPr>
        <w:t xml:space="preserve"> (Accessed: 21 April 2026).</w:t>
      </w:r>
    </w:p>
    <w:p w14:paraId="15855F15"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t xml:space="preserve">Ford Motor Company (2024) Integrated Sustainability and Financial Report 2024. Available at: </w:t>
      </w:r>
      <w:hyperlink r:id="rId35" w:history="1">
        <w:r w:rsidRPr="001A3AE3">
          <w:rPr>
            <w:rFonts w:ascii="Times New Roman" w:eastAsia="Times New Roman" w:hAnsi="Times New Roman"/>
            <w:color w:val="000000"/>
            <w:kern w:val="0"/>
            <w:szCs w:val="22"/>
            <w:lang w:val="en-US" w:eastAsia="en-US"/>
            <w14:ligatures w14:val="none"/>
          </w:rPr>
          <w:t>https://corporate.ford.com/content/dam/corporate/us/en-us/documents/reports/2024-integrated-sustainability-and-financial-report.pdf</w:t>
        </w:r>
      </w:hyperlink>
      <w:r w:rsidRPr="001A3AE3">
        <w:rPr>
          <w:rFonts w:ascii="Times New Roman" w:eastAsia="Times New Roman" w:hAnsi="Times New Roman"/>
          <w:color w:val="000000"/>
          <w:kern w:val="0"/>
          <w:szCs w:val="22"/>
          <w:lang w:val="en-US" w:eastAsia="en-US"/>
          <w14:ligatures w14:val="none"/>
        </w:rPr>
        <w:t xml:space="preserve"> (Accessed: 21 April 2026).</w:t>
      </w:r>
    </w:p>
    <w:p w14:paraId="389D5EF4"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t xml:space="preserve">Ford Motor Company (2025) Ford U.S. Q4 2024 Sales Release. Available at: </w:t>
      </w:r>
      <w:hyperlink r:id="rId36" w:history="1">
        <w:r w:rsidRPr="001A3AE3">
          <w:rPr>
            <w:rFonts w:ascii="Times New Roman" w:eastAsia="Times New Roman" w:hAnsi="Times New Roman"/>
            <w:color w:val="000000"/>
            <w:kern w:val="0"/>
            <w:szCs w:val="22"/>
            <w:lang w:val="en-US" w:eastAsia="en-US"/>
            <w14:ligatures w14:val="none"/>
          </w:rPr>
          <w:t>https://shareholder.ford.com/news/news-details/2025/Ford-U-S--Q4-2024-Sales-Release-</w:t>
        </w:r>
        <w:proofErr w:type="spellStart"/>
        <w:r w:rsidRPr="001A3AE3">
          <w:rPr>
            <w:rFonts w:ascii="Times New Roman" w:eastAsia="Times New Roman" w:hAnsi="Times New Roman"/>
            <w:color w:val="000000"/>
            <w:kern w:val="0"/>
            <w:szCs w:val="22"/>
            <w:lang w:val="en-US" w:eastAsia="en-US"/>
            <w14:ligatures w14:val="none"/>
          </w:rPr>
          <w:t>2025-_g_lPr_-io</w:t>
        </w:r>
        <w:proofErr w:type="spellEnd"/>
        <w:r w:rsidRPr="001A3AE3">
          <w:rPr>
            <w:rFonts w:ascii="Times New Roman" w:eastAsia="Times New Roman" w:hAnsi="Times New Roman"/>
            <w:color w:val="000000"/>
            <w:kern w:val="0"/>
            <w:szCs w:val="22"/>
            <w:lang w:val="en-US" w:eastAsia="en-US"/>
            <w14:ligatures w14:val="none"/>
          </w:rPr>
          <w:t>/</w:t>
        </w:r>
        <w:proofErr w:type="spellStart"/>
        <w:r w:rsidRPr="001A3AE3">
          <w:rPr>
            <w:rFonts w:ascii="Times New Roman" w:eastAsia="Times New Roman" w:hAnsi="Times New Roman"/>
            <w:color w:val="000000"/>
            <w:kern w:val="0"/>
            <w:szCs w:val="22"/>
            <w:lang w:val="en-US" w:eastAsia="en-US"/>
            <w14:ligatures w14:val="none"/>
          </w:rPr>
          <w:t>default.aspx</w:t>
        </w:r>
        <w:proofErr w:type="spellEnd"/>
      </w:hyperlink>
      <w:r w:rsidRPr="001A3AE3">
        <w:rPr>
          <w:rFonts w:ascii="Times New Roman" w:eastAsia="Times New Roman" w:hAnsi="Times New Roman"/>
          <w:color w:val="000000"/>
          <w:kern w:val="0"/>
          <w:szCs w:val="22"/>
          <w:lang w:val="en-US" w:eastAsia="en-US"/>
          <w14:ligatures w14:val="none"/>
        </w:rPr>
        <w:t xml:space="preserve"> (Accessed: 21 April 2026).</w:t>
      </w:r>
    </w:p>
    <w:p w14:paraId="08508492"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t xml:space="preserve">General Motors (2025) 2024 Annual Report. Available at: </w:t>
      </w:r>
      <w:hyperlink r:id="rId37" w:history="1">
        <w:r w:rsidRPr="001A3AE3">
          <w:rPr>
            <w:rFonts w:ascii="Times New Roman" w:eastAsia="Times New Roman" w:hAnsi="Times New Roman"/>
            <w:color w:val="000000"/>
            <w:kern w:val="0"/>
            <w:szCs w:val="22"/>
            <w:lang w:val="en-US" w:eastAsia="en-US"/>
            <w14:ligatures w14:val="none"/>
          </w:rPr>
          <w:t>https://investor.gm.com/static-files/e86cba95-5077-4097-bf21-b3de40126ca8</w:t>
        </w:r>
      </w:hyperlink>
      <w:r w:rsidRPr="001A3AE3">
        <w:rPr>
          <w:rFonts w:ascii="Times New Roman" w:eastAsia="Times New Roman" w:hAnsi="Times New Roman"/>
          <w:color w:val="000000"/>
          <w:kern w:val="0"/>
          <w:szCs w:val="22"/>
          <w:lang w:val="en-US" w:eastAsia="en-US"/>
          <w14:ligatures w14:val="none"/>
        </w:rPr>
        <w:t xml:space="preserve"> (Accessed: 21 April 2026).</w:t>
      </w:r>
    </w:p>
    <w:p w14:paraId="13FA84EC"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t xml:space="preserve">General Motors (2025) GM Releases Full-Year and Fourth-Quarter 2024 Results and 2025 Guidance. Available at: </w:t>
      </w:r>
      <w:hyperlink r:id="rId38" w:history="1">
        <w:r w:rsidRPr="001A3AE3">
          <w:rPr>
            <w:rFonts w:ascii="Times New Roman" w:eastAsia="Times New Roman" w:hAnsi="Times New Roman"/>
            <w:color w:val="000000"/>
            <w:kern w:val="0"/>
            <w:szCs w:val="22"/>
            <w:lang w:val="en-US" w:eastAsia="en-US"/>
            <w14:ligatures w14:val="none"/>
          </w:rPr>
          <w:t>https://investor.gm.com/news-releases/news-release-details/gm-releases-full-year-and-fourth-quarter-2024-results-and-2025/</w:t>
        </w:r>
      </w:hyperlink>
      <w:r w:rsidRPr="001A3AE3">
        <w:rPr>
          <w:rFonts w:ascii="Times New Roman" w:eastAsia="Times New Roman" w:hAnsi="Times New Roman"/>
          <w:color w:val="000000"/>
          <w:kern w:val="0"/>
          <w:szCs w:val="22"/>
          <w:lang w:val="en-US" w:eastAsia="en-US"/>
          <w14:ligatures w14:val="none"/>
        </w:rPr>
        <w:t xml:space="preserve"> (Accessed: 21 April 2026).</w:t>
      </w:r>
    </w:p>
    <w:p w14:paraId="0CCA07D6"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t xml:space="preserve">Honda (2024) 2024 Honda Digital FactBook. Available at: </w:t>
      </w:r>
      <w:hyperlink r:id="rId39" w:history="1">
        <w:r w:rsidRPr="001A3AE3">
          <w:rPr>
            <w:rFonts w:ascii="Times New Roman" w:eastAsia="Times New Roman" w:hAnsi="Times New Roman"/>
            <w:color w:val="000000"/>
            <w:kern w:val="0"/>
            <w:szCs w:val="22"/>
            <w:lang w:val="en-US" w:eastAsia="en-US"/>
            <w14:ligatures w14:val="none"/>
          </w:rPr>
          <w:t>https://www.honda.com/-/media/Honda-Homepage/PDF/DFB_2024_US_FNL%20_0625%20CONSUMER.pdf</w:t>
        </w:r>
      </w:hyperlink>
      <w:r w:rsidRPr="001A3AE3">
        <w:rPr>
          <w:rFonts w:ascii="Times New Roman" w:eastAsia="Times New Roman" w:hAnsi="Times New Roman"/>
          <w:color w:val="000000"/>
          <w:kern w:val="0"/>
          <w:szCs w:val="22"/>
          <w:lang w:val="en-US" w:eastAsia="en-US"/>
          <w14:ligatures w14:val="none"/>
        </w:rPr>
        <w:t xml:space="preserve"> (Accessed: 21 April 2026).</w:t>
      </w:r>
    </w:p>
    <w:p w14:paraId="3D9B55C3"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lastRenderedPageBreak/>
        <w:t xml:space="preserve">Honda (2024) We're All In: Let's Bring the Future Together. Available at: </w:t>
      </w:r>
      <w:hyperlink r:id="rId40" w:history="1">
        <w:r w:rsidRPr="001A3AE3">
          <w:rPr>
            <w:rFonts w:ascii="Times New Roman" w:eastAsia="Times New Roman" w:hAnsi="Times New Roman"/>
            <w:color w:val="000000"/>
            <w:kern w:val="0"/>
            <w:szCs w:val="22"/>
            <w:lang w:val="en-US" w:eastAsia="en-US"/>
            <w14:ligatures w14:val="none"/>
          </w:rPr>
          <w:t>https://www.honda.com/-/media/Honda-Homepage/PDF/HondaIDReport2024FINAL.pdf</w:t>
        </w:r>
      </w:hyperlink>
      <w:r w:rsidRPr="001A3AE3">
        <w:rPr>
          <w:rFonts w:ascii="Times New Roman" w:eastAsia="Times New Roman" w:hAnsi="Times New Roman"/>
          <w:color w:val="000000"/>
          <w:kern w:val="0"/>
          <w:szCs w:val="22"/>
          <w:lang w:val="en-US" w:eastAsia="en-US"/>
          <w14:ligatures w14:val="none"/>
        </w:rPr>
        <w:t xml:space="preserve"> (Accessed: 21 April 2026).</w:t>
      </w:r>
    </w:p>
    <w:p w14:paraId="0B35FC73"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t xml:space="preserve">Hyundai Motor (2025) Hyundai Motor Announces 2024 Annual and Q4 Business Results. Available at: </w:t>
      </w:r>
      <w:hyperlink r:id="rId41" w:history="1">
        <w:r w:rsidRPr="001A3AE3">
          <w:rPr>
            <w:rFonts w:ascii="Times New Roman" w:eastAsia="Times New Roman" w:hAnsi="Times New Roman"/>
            <w:color w:val="000000"/>
            <w:kern w:val="0"/>
            <w:szCs w:val="22"/>
            <w:lang w:val="en-US" w:eastAsia="en-US"/>
            <w14:ligatures w14:val="none"/>
          </w:rPr>
          <w:t>https://www.hyundai.com/worldwide/en/newsroom/detail/hyundai-motor-announces-2024-annual-and-q4-business-results-0000000897</w:t>
        </w:r>
      </w:hyperlink>
      <w:r w:rsidRPr="001A3AE3">
        <w:rPr>
          <w:rFonts w:ascii="Times New Roman" w:eastAsia="Times New Roman" w:hAnsi="Times New Roman"/>
          <w:color w:val="000000"/>
          <w:kern w:val="0"/>
          <w:szCs w:val="22"/>
          <w:lang w:val="en-US" w:eastAsia="en-US"/>
          <w14:ligatures w14:val="none"/>
        </w:rPr>
        <w:t xml:space="preserve"> (Accessed: 21 April 2026).</w:t>
      </w:r>
    </w:p>
    <w:p w14:paraId="31227CC1"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t xml:space="preserve">ICCT (2021) Charging up America: Assessing the Growing Need for U.S. Charging Infrastructure through 2030. Available at: </w:t>
      </w:r>
      <w:hyperlink r:id="rId42" w:history="1">
        <w:r w:rsidRPr="001A3AE3">
          <w:rPr>
            <w:rFonts w:ascii="Times New Roman" w:eastAsia="Times New Roman" w:hAnsi="Times New Roman"/>
            <w:color w:val="000000"/>
            <w:kern w:val="0"/>
            <w:szCs w:val="22"/>
            <w:lang w:val="en-US" w:eastAsia="en-US"/>
            <w14:ligatures w14:val="none"/>
          </w:rPr>
          <w:t>https://theicct.org/sites/default/files/publications/charging-up-america-jul2021.pdf</w:t>
        </w:r>
      </w:hyperlink>
      <w:r w:rsidRPr="001A3AE3">
        <w:rPr>
          <w:rFonts w:ascii="Times New Roman" w:eastAsia="Times New Roman" w:hAnsi="Times New Roman"/>
          <w:color w:val="000000"/>
          <w:kern w:val="0"/>
          <w:szCs w:val="22"/>
          <w:lang w:val="en-US" w:eastAsia="en-US"/>
          <w14:ligatures w14:val="none"/>
        </w:rPr>
        <w:t xml:space="preserve"> (Accessed: 21 April 2026).</w:t>
      </w:r>
    </w:p>
    <w:p w14:paraId="1318BBB4"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t xml:space="preserve">IEA (2024) Global EV Outlook 2024. Available at: </w:t>
      </w:r>
      <w:hyperlink r:id="rId43" w:history="1">
        <w:r w:rsidRPr="001A3AE3">
          <w:rPr>
            <w:rFonts w:ascii="Times New Roman" w:eastAsia="Times New Roman" w:hAnsi="Times New Roman"/>
            <w:color w:val="000000"/>
            <w:kern w:val="0"/>
            <w:szCs w:val="22"/>
            <w:lang w:val="en-US" w:eastAsia="en-US"/>
            <w14:ligatures w14:val="none"/>
          </w:rPr>
          <w:t>https://www.iea.org/reports/global-ev-outlook-2024</w:t>
        </w:r>
      </w:hyperlink>
      <w:r w:rsidRPr="001A3AE3">
        <w:rPr>
          <w:rFonts w:ascii="Times New Roman" w:eastAsia="Times New Roman" w:hAnsi="Times New Roman"/>
          <w:color w:val="000000"/>
          <w:kern w:val="0"/>
          <w:szCs w:val="22"/>
          <w:lang w:val="en-US" w:eastAsia="en-US"/>
          <w14:ligatures w14:val="none"/>
        </w:rPr>
        <w:t xml:space="preserve"> (Accessed: 21 April 2026).</w:t>
      </w:r>
    </w:p>
    <w:p w14:paraId="36E595B9"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t xml:space="preserve">IEA (2024) Electricity 2024. Available at: </w:t>
      </w:r>
      <w:hyperlink r:id="rId44" w:history="1">
        <w:r w:rsidRPr="001A3AE3">
          <w:rPr>
            <w:rFonts w:ascii="Times New Roman" w:eastAsia="Times New Roman" w:hAnsi="Times New Roman"/>
            <w:color w:val="000000"/>
            <w:kern w:val="0"/>
            <w:szCs w:val="22"/>
            <w:lang w:val="en-US" w:eastAsia="en-US"/>
            <w14:ligatures w14:val="none"/>
          </w:rPr>
          <w:t>https://www.iea.org/reports/electricity-2024</w:t>
        </w:r>
      </w:hyperlink>
      <w:r w:rsidRPr="001A3AE3">
        <w:rPr>
          <w:rFonts w:ascii="Times New Roman" w:eastAsia="Times New Roman" w:hAnsi="Times New Roman"/>
          <w:color w:val="000000"/>
          <w:kern w:val="0"/>
          <w:szCs w:val="22"/>
          <w:lang w:val="en-US" w:eastAsia="en-US"/>
          <w14:ligatures w14:val="none"/>
        </w:rPr>
        <w:t xml:space="preserve"> (Accessed: 21 April 2026).</w:t>
      </w:r>
    </w:p>
    <w:p w14:paraId="20ADAFED"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t xml:space="preserve">KPMG (2024) Getting Real about the EV Transition. Available at: </w:t>
      </w:r>
      <w:hyperlink r:id="rId45" w:history="1">
        <w:r w:rsidRPr="001A3AE3">
          <w:rPr>
            <w:rFonts w:ascii="Times New Roman" w:eastAsia="Times New Roman" w:hAnsi="Times New Roman"/>
            <w:color w:val="000000"/>
            <w:kern w:val="0"/>
            <w:szCs w:val="22"/>
            <w:lang w:val="en-US" w:eastAsia="en-US"/>
            <w14:ligatures w14:val="none"/>
          </w:rPr>
          <w:t>https://assets.kpmg.com/content/dam/kpmgsites/my/pdf/2024/01/survey-report-automotive-2024.pdf.coredownload.inline.pdf</w:t>
        </w:r>
      </w:hyperlink>
      <w:r w:rsidRPr="001A3AE3">
        <w:rPr>
          <w:rFonts w:ascii="Times New Roman" w:eastAsia="Times New Roman" w:hAnsi="Times New Roman"/>
          <w:color w:val="000000"/>
          <w:kern w:val="0"/>
          <w:szCs w:val="22"/>
          <w:lang w:val="en-US" w:eastAsia="en-US"/>
          <w14:ligatures w14:val="none"/>
        </w:rPr>
        <w:t xml:space="preserve"> (Accessed: 21 April 2026).</w:t>
      </w:r>
    </w:p>
    <w:p w14:paraId="4242E925"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t xml:space="preserve">NHTSA (2024) CAFE 2027-2031, HDPUV 2030-2035: Final Rule. Available at: </w:t>
      </w:r>
      <w:hyperlink r:id="rId46" w:history="1">
        <w:r w:rsidRPr="001A3AE3">
          <w:rPr>
            <w:rFonts w:ascii="Times New Roman" w:eastAsia="Times New Roman" w:hAnsi="Times New Roman"/>
            <w:color w:val="000000"/>
            <w:kern w:val="0"/>
            <w:szCs w:val="22"/>
            <w:lang w:val="en-US" w:eastAsia="en-US"/>
            <w14:ligatures w14:val="none"/>
          </w:rPr>
          <w:t>https://www.nhtsa.gov/sites/nhtsa.gov/files/2024-06/CAFE-2027-2031-HDPUV-2030-2035_Final-Rule_web_0.pdf</w:t>
        </w:r>
      </w:hyperlink>
      <w:r w:rsidRPr="001A3AE3">
        <w:rPr>
          <w:rFonts w:ascii="Times New Roman" w:eastAsia="Times New Roman" w:hAnsi="Times New Roman"/>
          <w:color w:val="000000"/>
          <w:kern w:val="0"/>
          <w:szCs w:val="22"/>
          <w:lang w:val="en-US" w:eastAsia="en-US"/>
          <w14:ligatures w14:val="none"/>
        </w:rPr>
        <w:t xml:space="preserve"> (Accessed: 21 April 2026).</w:t>
      </w:r>
    </w:p>
    <w:p w14:paraId="1BF70650"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lastRenderedPageBreak/>
        <w:t xml:space="preserve">NHTSA (2022) Corporate Average Fuel Economy (CAFE). Available at: </w:t>
      </w:r>
      <w:hyperlink r:id="rId47" w:history="1">
        <w:r w:rsidRPr="001A3AE3">
          <w:rPr>
            <w:rFonts w:ascii="Times New Roman" w:eastAsia="Times New Roman" w:hAnsi="Times New Roman"/>
            <w:color w:val="000000"/>
            <w:kern w:val="0"/>
            <w:szCs w:val="22"/>
            <w:lang w:val="en-US" w:eastAsia="en-US"/>
            <w14:ligatures w14:val="none"/>
          </w:rPr>
          <w:t>https://www.nhtsa.gov/laws-regulations/corporate-average-fuel-economy</w:t>
        </w:r>
      </w:hyperlink>
      <w:r w:rsidRPr="001A3AE3">
        <w:rPr>
          <w:rFonts w:ascii="Times New Roman" w:eastAsia="Times New Roman" w:hAnsi="Times New Roman"/>
          <w:color w:val="000000"/>
          <w:kern w:val="0"/>
          <w:szCs w:val="22"/>
          <w:lang w:val="en-US" w:eastAsia="en-US"/>
          <w14:ligatures w14:val="none"/>
        </w:rPr>
        <w:t xml:space="preserve"> (Accessed: 21 April 2026).</w:t>
      </w:r>
    </w:p>
    <w:p w14:paraId="6EB9E4AE"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t xml:space="preserve">NHTSA (2022) USDOT Announces New Vehicle Fuel Economy Standards for Model Year 2024-2026. Available at: </w:t>
      </w:r>
      <w:hyperlink r:id="rId48" w:history="1">
        <w:r w:rsidRPr="001A3AE3">
          <w:rPr>
            <w:rFonts w:ascii="Times New Roman" w:eastAsia="Times New Roman" w:hAnsi="Times New Roman"/>
            <w:color w:val="000000"/>
            <w:kern w:val="0"/>
            <w:szCs w:val="22"/>
            <w:lang w:val="en-US" w:eastAsia="en-US"/>
            <w14:ligatures w14:val="none"/>
          </w:rPr>
          <w:t>https://www.nhtsa.gov/press-releases/usdot-announces-new-vehicle-fuel-economy-standards-model-year-2024-2026</w:t>
        </w:r>
      </w:hyperlink>
      <w:r w:rsidRPr="001A3AE3">
        <w:rPr>
          <w:rFonts w:ascii="Times New Roman" w:eastAsia="Times New Roman" w:hAnsi="Times New Roman"/>
          <w:color w:val="000000"/>
          <w:kern w:val="0"/>
          <w:szCs w:val="22"/>
          <w:lang w:val="en-US" w:eastAsia="en-US"/>
          <w14:ligatures w14:val="none"/>
        </w:rPr>
        <w:t xml:space="preserve"> (Accessed: 21 April 2026).</w:t>
      </w:r>
    </w:p>
    <w:p w14:paraId="6C86DB33"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t xml:space="preserve">OECD (2024) The Future of the Automotive Value Chain. Available at: </w:t>
      </w:r>
      <w:hyperlink r:id="rId49" w:history="1">
        <w:r w:rsidRPr="001A3AE3">
          <w:rPr>
            <w:rFonts w:ascii="Times New Roman" w:eastAsia="Times New Roman" w:hAnsi="Times New Roman"/>
            <w:color w:val="000000"/>
            <w:kern w:val="0"/>
            <w:szCs w:val="22"/>
            <w:lang w:val="en-US" w:eastAsia="en-US"/>
            <w14:ligatures w14:val="none"/>
          </w:rPr>
          <w:t>https://www.oecd.org/content/dam/oecd/en/publications/reports/2024/11/the-future-of-the-automotive-value-chain_91460165/cb730d65-en.pdf</w:t>
        </w:r>
      </w:hyperlink>
      <w:r w:rsidRPr="001A3AE3">
        <w:rPr>
          <w:rFonts w:ascii="Times New Roman" w:eastAsia="Times New Roman" w:hAnsi="Times New Roman"/>
          <w:color w:val="000000"/>
          <w:kern w:val="0"/>
          <w:szCs w:val="22"/>
          <w:lang w:val="en-US" w:eastAsia="en-US"/>
          <w14:ligatures w14:val="none"/>
        </w:rPr>
        <w:t xml:space="preserve"> (Accessed: 21 April 2026).</w:t>
      </w:r>
    </w:p>
    <w:p w14:paraId="0C941443"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t xml:space="preserve">OICA (2025) United States of America (2024). Available at: </w:t>
      </w:r>
      <w:hyperlink r:id="rId50" w:history="1">
        <w:r w:rsidRPr="001A3AE3">
          <w:rPr>
            <w:rFonts w:ascii="Times New Roman" w:eastAsia="Times New Roman" w:hAnsi="Times New Roman"/>
            <w:color w:val="000000"/>
            <w:kern w:val="0"/>
            <w:szCs w:val="22"/>
            <w:lang w:val="en-US" w:eastAsia="en-US"/>
            <w14:ligatures w14:val="none"/>
          </w:rPr>
          <w:t>https://oica.net/production_statistic/united-states-of-america-2024/</w:t>
        </w:r>
      </w:hyperlink>
      <w:r w:rsidRPr="001A3AE3">
        <w:rPr>
          <w:rFonts w:ascii="Times New Roman" w:eastAsia="Times New Roman" w:hAnsi="Times New Roman"/>
          <w:color w:val="000000"/>
          <w:kern w:val="0"/>
          <w:szCs w:val="22"/>
          <w:lang w:val="en-US" w:eastAsia="en-US"/>
          <w14:ligatures w14:val="none"/>
        </w:rPr>
        <w:t xml:space="preserve"> (Accessed: 21 April 2026).</w:t>
      </w:r>
    </w:p>
    <w:p w14:paraId="27DA1500"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t xml:space="preserve">Reuters (2024) Americans still prefer gas vehicles over hybrid or </w:t>
      </w:r>
      <w:proofErr w:type="spellStart"/>
      <w:r w:rsidRPr="001A3AE3">
        <w:rPr>
          <w:rFonts w:ascii="Times New Roman" w:eastAsia="Times New Roman" w:hAnsi="Times New Roman"/>
          <w:color w:val="000000"/>
          <w:kern w:val="0"/>
          <w:szCs w:val="22"/>
          <w:lang w:val="en-US" w:eastAsia="en-US"/>
          <w14:ligatures w14:val="none"/>
        </w:rPr>
        <w:t>EVs</w:t>
      </w:r>
      <w:proofErr w:type="spellEnd"/>
      <w:r w:rsidRPr="001A3AE3">
        <w:rPr>
          <w:rFonts w:ascii="Times New Roman" w:eastAsia="Times New Roman" w:hAnsi="Times New Roman"/>
          <w:color w:val="000000"/>
          <w:kern w:val="0"/>
          <w:szCs w:val="22"/>
          <w:lang w:val="en-US" w:eastAsia="en-US"/>
          <w14:ligatures w14:val="none"/>
        </w:rPr>
        <w:t xml:space="preserve">, study shows. Available at: </w:t>
      </w:r>
      <w:hyperlink r:id="rId51" w:history="1">
        <w:r w:rsidRPr="001A3AE3">
          <w:rPr>
            <w:rFonts w:ascii="Times New Roman" w:eastAsia="Times New Roman" w:hAnsi="Times New Roman"/>
            <w:color w:val="000000"/>
            <w:kern w:val="0"/>
            <w:szCs w:val="22"/>
            <w:lang w:val="en-US" w:eastAsia="en-US"/>
            <w14:ligatures w14:val="none"/>
          </w:rPr>
          <w:t>https://www.reuters.com/business/autos-transportation/americans-still-prefer-gas-vehicles-over-hybrid-or-evs-study-shows-2024-05-30/</w:t>
        </w:r>
      </w:hyperlink>
      <w:r w:rsidRPr="001A3AE3">
        <w:rPr>
          <w:rFonts w:ascii="Times New Roman" w:eastAsia="Times New Roman" w:hAnsi="Times New Roman"/>
          <w:color w:val="000000"/>
          <w:kern w:val="0"/>
          <w:szCs w:val="22"/>
          <w:lang w:val="en-US" w:eastAsia="en-US"/>
          <w14:ligatures w14:val="none"/>
        </w:rPr>
        <w:t xml:space="preserve"> (Accessed: 21 April 2026).</w:t>
      </w:r>
    </w:p>
    <w:p w14:paraId="74645F7D"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proofErr w:type="spellStart"/>
      <w:r w:rsidRPr="001A3AE3">
        <w:rPr>
          <w:rFonts w:ascii="Times New Roman" w:eastAsia="Times New Roman" w:hAnsi="Times New Roman"/>
          <w:color w:val="000000"/>
          <w:kern w:val="0"/>
          <w:szCs w:val="22"/>
          <w:lang w:val="en-US" w:eastAsia="en-US"/>
          <w14:ligatures w14:val="none"/>
        </w:rPr>
        <w:t>Stellantis</w:t>
      </w:r>
      <w:proofErr w:type="spellEnd"/>
      <w:r w:rsidRPr="001A3AE3">
        <w:rPr>
          <w:rFonts w:ascii="Times New Roman" w:eastAsia="Times New Roman" w:hAnsi="Times New Roman"/>
          <w:color w:val="000000"/>
          <w:kern w:val="0"/>
          <w:szCs w:val="22"/>
          <w:lang w:val="en-US" w:eastAsia="en-US"/>
          <w14:ligatures w14:val="none"/>
        </w:rPr>
        <w:t xml:space="preserve"> (2025) </w:t>
      </w:r>
      <w:proofErr w:type="spellStart"/>
      <w:r w:rsidRPr="001A3AE3">
        <w:rPr>
          <w:rFonts w:ascii="Times New Roman" w:eastAsia="Times New Roman" w:hAnsi="Times New Roman"/>
          <w:color w:val="000000"/>
          <w:kern w:val="0"/>
          <w:szCs w:val="22"/>
          <w:lang w:val="en-US" w:eastAsia="en-US"/>
          <w14:ligatures w14:val="none"/>
        </w:rPr>
        <w:t>Stellantis</w:t>
      </w:r>
      <w:proofErr w:type="spellEnd"/>
      <w:r w:rsidRPr="001A3AE3">
        <w:rPr>
          <w:rFonts w:ascii="Times New Roman" w:eastAsia="Times New Roman" w:hAnsi="Times New Roman"/>
          <w:color w:val="000000"/>
          <w:kern w:val="0"/>
          <w:szCs w:val="22"/>
          <w:lang w:val="en-US" w:eastAsia="en-US"/>
          <w14:ligatures w14:val="none"/>
        </w:rPr>
        <w:t xml:space="preserve"> NV 2024.12.31 Annual Report and Form 20-F. Available at: </w:t>
      </w:r>
      <w:hyperlink r:id="rId52" w:history="1">
        <w:r w:rsidRPr="001A3AE3">
          <w:rPr>
            <w:rFonts w:ascii="Times New Roman" w:eastAsia="Times New Roman" w:hAnsi="Times New Roman"/>
            <w:color w:val="000000"/>
            <w:kern w:val="0"/>
            <w:szCs w:val="22"/>
            <w:lang w:val="en-US" w:eastAsia="en-US"/>
            <w14:ligatures w14:val="none"/>
          </w:rPr>
          <w:t>https://www.stellantis.com/content/dam/stellantis-corporate/investors/financial-reports/Stellantis-NV-20241231-Annual-Report.pdf</w:t>
        </w:r>
      </w:hyperlink>
      <w:r w:rsidRPr="001A3AE3">
        <w:rPr>
          <w:rFonts w:ascii="Times New Roman" w:eastAsia="Times New Roman" w:hAnsi="Times New Roman"/>
          <w:color w:val="000000"/>
          <w:kern w:val="0"/>
          <w:szCs w:val="22"/>
          <w:lang w:val="en-US" w:eastAsia="en-US"/>
          <w14:ligatures w14:val="none"/>
        </w:rPr>
        <w:t xml:space="preserve"> (Accessed: 21 April 2026).</w:t>
      </w:r>
    </w:p>
    <w:p w14:paraId="49B02AFB"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t xml:space="preserve">Toyota Motor North America (2025) Toyota Motor North America Reports 2024 U.S. Sales Results. Available at: </w:t>
      </w:r>
      <w:hyperlink r:id="rId53" w:history="1">
        <w:r w:rsidRPr="001A3AE3">
          <w:rPr>
            <w:rFonts w:ascii="Times New Roman" w:eastAsia="Times New Roman" w:hAnsi="Times New Roman"/>
            <w:color w:val="000000"/>
            <w:kern w:val="0"/>
            <w:szCs w:val="22"/>
            <w:lang w:val="en-US" w:eastAsia="en-US"/>
            <w14:ligatures w14:val="none"/>
          </w:rPr>
          <w:t>https://pressroom.toyota.com/toyota-motor-north-america-reports-2024-u-s-sales-results/</w:t>
        </w:r>
      </w:hyperlink>
      <w:r w:rsidRPr="001A3AE3">
        <w:rPr>
          <w:rFonts w:ascii="Times New Roman" w:eastAsia="Times New Roman" w:hAnsi="Times New Roman"/>
          <w:color w:val="000000"/>
          <w:kern w:val="0"/>
          <w:szCs w:val="22"/>
          <w:lang w:val="en-US" w:eastAsia="en-US"/>
          <w14:ligatures w14:val="none"/>
        </w:rPr>
        <w:t xml:space="preserve"> (Accessed: 21 April 2026).</w:t>
      </w:r>
    </w:p>
    <w:p w14:paraId="066DC0AB"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lastRenderedPageBreak/>
        <w:t xml:space="preserve">Toyota (2024) Integrated Report 2024. Available at: </w:t>
      </w:r>
      <w:hyperlink r:id="rId54" w:history="1">
        <w:r w:rsidRPr="001A3AE3">
          <w:rPr>
            <w:rFonts w:ascii="Times New Roman" w:eastAsia="Times New Roman" w:hAnsi="Times New Roman"/>
            <w:color w:val="000000"/>
            <w:kern w:val="0"/>
            <w:szCs w:val="22"/>
            <w:lang w:val="en-US" w:eastAsia="en-US"/>
            <w14:ligatures w14:val="none"/>
          </w:rPr>
          <w:t>https://global.toyota/pages/global_toyota/ir/library/annual/2024_001_integrated_en.pdf</w:t>
        </w:r>
      </w:hyperlink>
      <w:r w:rsidRPr="001A3AE3">
        <w:rPr>
          <w:rFonts w:ascii="Times New Roman" w:eastAsia="Times New Roman" w:hAnsi="Times New Roman"/>
          <w:color w:val="000000"/>
          <w:kern w:val="0"/>
          <w:szCs w:val="22"/>
          <w:lang w:val="en-US" w:eastAsia="en-US"/>
          <w14:ligatures w14:val="none"/>
        </w:rPr>
        <w:t xml:space="preserve"> (Accessed: 21 April 2026).</w:t>
      </w:r>
    </w:p>
    <w:p w14:paraId="3B851FA9"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t xml:space="preserve">Toyota (2024) Environmental Sustainability Report 2024 North America. Available at: </w:t>
      </w:r>
      <w:hyperlink r:id="rId55" w:history="1">
        <w:r w:rsidRPr="001A3AE3">
          <w:rPr>
            <w:rFonts w:ascii="Times New Roman" w:eastAsia="Times New Roman" w:hAnsi="Times New Roman"/>
            <w:color w:val="000000"/>
            <w:kern w:val="0"/>
            <w:szCs w:val="22"/>
            <w:lang w:val="en-US" w:eastAsia="en-US"/>
            <w14:ligatures w14:val="none"/>
          </w:rPr>
          <w:t>https://www.toyota.com/content/dam/tusa/environmentreport/downloads/2024NAER_Final.pdf</w:t>
        </w:r>
      </w:hyperlink>
      <w:r w:rsidRPr="001A3AE3">
        <w:rPr>
          <w:rFonts w:ascii="Times New Roman" w:eastAsia="Times New Roman" w:hAnsi="Times New Roman"/>
          <w:color w:val="000000"/>
          <w:kern w:val="0"/>
          <w:szCs w:val="22"/>
          <w:lang w:val="en-US" w:eastAsia="en-US"/>
          <w14:ligatures w14:val="none"/>
        </w:rPr>
        <w:t xml:space="preserve"> (Accessed: 21 April 2026).</w:t>
      </w:r>
    </w:p>
    <w:p w14:paraId="7D1C716E"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t xml:space="preserve">USTR (2024) 2024 National Trade Estimate Report on Foreign Trade Barriers. Available at: </w:t>
      </w:r>
      <w:hyperlink r:id="rId56" w:history="1">
        <w:r w:rsidRPr="001A3AE3">
          <w:rPr>
            <w:rFonts w:ascii="Times New Roman" w:eastAsia="Times New Roman" w:hAnsi="Times New Roman"/>
            <w:color w:val="000000"/>
            <w:kern w:val="0"/>
            <w:szCs w:val="22"/>
            <w:lang w:val="en-US" w:eastAsia="en-US"/>
            <w14:ligatures w14:val="none"/>
          </w:rPr>
          <w:t>https://ustr.gov/sites/default/files/2024%20NTE%20Report.pdf</w:t>
        </w:r>
      </w:hyperlink>
      <w:r w:rsidRPr="001A3AE3">
        <w:rPr>
          <w:rFonts w:ascii="Times New Roman" w:eastAsia="Times New Roman" w:hAnsi="Times New Roman"/>
          <w:color w:val="000000"/>
          <w:kern w:val="0"/>
          <w:szCs w:val="22"/>
          <w:lang w:val="en-US" w:eastAsia="en-US"/>
          <w14:ligatures w14:val="none"/>
        </w:rPr>
        <w:t xml:space="preserve"> (Accessed: 21 April 2026).</w:t>
      </w:r>
    </w:p>
    <w:p w14:paraId="47387D66"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t xml:space="preserve">USTR (2024) 2024 USMCA Autos Report to Congress. Available at: </w:t>
      </w:r>
      <w:hyperlink r:id="rId57" w:history="1">
        <w:r w:rsidRPr="001A3AE3">
          <w:rPr>
            <w:rFonts w:ascii="Times New Roman" w:eastAsia="Times New Roman" w:hAnsi="Times New Roman"/>
            <w:color w:val="000000"/>
            <w:kern w:val="0"/>
            <w:szCs w:val="22"/>
            <w:lang w:val="en-US" w:eastAsia="en-US"/>
            <w14:ligatures w14:val="none"/>
          </w:rPr>
          <w:t>https://ustr.gov/sites/default/files/2024%20USMCA%20Autos%20Report%20to%20Congress_0.pdf</w:t>
        </w:r>
      </w:hyperlink>
      <w:r w:rsidRPr="001A3AE3">
        <w:rPr>
          <w:rFonts w:ascii="Times New Roman" w:eastAsia="Times New Roman" w:hAnsi="Times New Roman"/>
          <w:color w:val="000000"/>
          <w:kern w:val="0"/>
          <w:szCs w:val="22"/>
          <w:lang w:val="en-US" w:eastAsia="en-US"/>
          <w14:ligatures w14:val="none"/>
        </w:rPr>
        <w:t xml:space="preserve"> (Accessed: 21 April 2026).</w:t>
      </w:r>
    </w:p>
    <w:p w14:paraId="5D2F963B"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t xml:space="preserve">USTR (2024) 2024 Trade Policy Agenda and 2023 Annual Report. Available at: </w:t>
      </w:r>
      <w:hyperlink r:id="rId58" w:history="1">
        <w:r w:rsidRPr="001A3AE3">
          <w:rPr>
            <w:rFonts w:ascii="Times New Roman" w:eastAsia="Times New Roman" w:hAnsi="Times New Roman"/>
            <w:color w:val="000000"/>
            <w:kern w:val="0"/>
            <w:szCs w:val="22"/>
            <w:lang w:val="en-US" w:eastAsia="en-US"/>
            <w14:ligatures w14:val="none"/>
          </w:rPr>
          <w:t>https://ustr.gov/sites/default/files/The%20Presidents%202024%20Trade%20Policy%20Agenda%20and%202023%20Annual%20Report.pdf</w:t>
        </w:r>
      </w:hyperlink>
      <w:r w:rsidRPr="001A3AE3">
        <w:rPr>
          <w:rFonts w:ascii="Times New Roman" w:eastAsia="Times New Roman" w:hAnsi="Times New Roman"/>
          <w:color w:val="000000"/>
          <w:kern w:val="0"/>
          <w:szCs w:val="22"/>
          <w:lang w:val="en-US" w:eastAsia="en-US"/>
          <w14:ligatures w14:val="none"/>
        </w:rPr>
        <w:t xml:space="preserve"> (Accessed: 21 April 2026).</w:t>
      </w:r>
    </w:p>
    <w:p w14:paraId="05A35005"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r w:rsidRPr="001A3AE3">
        <w:rPr>
          <w:rFonts w:ascii="Times New Roman" w:eastAsia="Times New Roman" w:hAnsi="Times New Roman"/>
          <w:color w:val="000000"/>
          <w:kern w:val="0"/>
          <w:szCs w:val="22"/>
          <w:lang w:val="en-US" w:eastAsia="en-US"/>
          <w14:ligatures w14:val="none"/>
        </w:rPr>
        <w:t xml:space="preserve">White House (2025) Budget of the United States Government, Fiscal Year 2025. Available at: </w:t>
      </w:r>
      <w:hyperlink r:id="rId59" w:history="1">
        <w:r w:rsidRPr="001A3AE3">
          <w:rPr>
            <w:rFonts w:ascii="Times New Roman" w:eastAsia="Times New Roman" w:hAnsi="Times New Roman"/>
            <w:color w:val="000000"/>
            <w:kern w:val="0"/>
            <w:szCs w:val="22"/>
            <w:lang w:val="en-US" w:eastAsia="en-US"/>
            <w14:ligatures w14:val="none"/>
          </w:rPr>
          <w:t>https://www.whitehouse.gov/wp-content/uploads/2024/03/budget_fy2025.pdf</w:t>
        </w:r>
      </w:hyperlink>
      <w:r w:rsidRPr="001A3AE3">
        <w:rPr>
          <w:rFonts w:ascii="Times New Roman" w:eastAsia="Times New Roman" w:hAnsi="Times New Roman"/>
          <w:color w:val="000000"/>
          <w:kern w:val="0"/>
          <w:szCs w:val="22"/>
          <w:lang w:val="en-US" w:eastAsia="en-US"/>
          <w14:ligatures w14:val="none"/>
        </w:rPr>
        <w:t xml:space="preserve"> (Accessed: 21 April 2026).</w:t>
      </w:r>
    </w:p>
    <w:p w14:paraId="65418996" w14:textId="77777777" w:rsidR="001A3AE3" w:rsidRPr="001A3AE3" w:rsidRDefault="001A3AE3" w:rsidP="001A3AE3">
      <w:pPr>
        <w:spacing w:before="240" w:after="240" w:line="480" w:lineRule="auto"/>
        <w:jc w:val="both"/>
        <w:rPr>
          <w:rFonts w:ascii="Times New Roman" w:eastAsia="Times New Roman" w:hAnsi="Times New Roman"/>
          <w:color w:val="000000"/>
          <w:kern w:val="0"/>
          <w:szCs w:val="22"/>
          <w:lang w:val="en-US" w:eastAsia="en-US"/>
          <w14:ligatures w14:val="none"/>
        </w:rPr>
      </w:pPr>
      <w:proofErr w:type="spellStart"/>
      <w:r w:rsidRPr="001A3AE3">
        <w:rPr>
          <w:rFonts w:ascii="Times New Roman" w:eastAsia="Times New Roman" w:hAnsi="Times New Roman"/>
          <w:color w:val="000000"/>
          <w:kern w:val="0"/>
          <w:szCs w:val="22"/>
          <w:lang w:val="en-US" w:eastAsia="en-US"/>
          <w14:ligatures w14:val="none"/>
        </w:rPr>
        <w:t>Zaino</w:t>
      </w:r>
      <w:proofErr w:type="spellEnd"/>
      <w:r w:rsidRPr="001A3AE3">
        <w:rPr>
          <w:rFonts w:ascii="Times New Roman" w:eastAsia="Times New Roman" w:hAnsi="Times New Roman"/>
          <w:color w:val="000000"/>
          <w:kern w:val="0"/>
          <w:szCs w:val="22"/>
          <w:lang w:val="en-US" w:eastAsia="en-US"/>
          <w14:ligatures w14:val="none"/>
        </w:rPr>
        <w:t xml:space="preserve">, R., Ahmed, V., </w:t>
      </w:r>
      <w:proofErr w:type="spellStart"/>
      <w:r w:rsidRPr="001A3AE3">
        <w:rPr>
          <w:rFonts w:ascii="Times New Roman" w:eastAsia="Times New Roman" w:hAnsi="Times New Roman"/>
          <w:color w:val="000000"/>
          <w:kern w:val="0"/>
          <w:szCs w:val="22"/>
          <w:lang w:val="en-US" w:eastAsia="en-US"/>
          <w14:ligatures w14:val="none"/>
        </w:rPr>
        <w:t>Alhammadi</w:t>
      </w:r>
      <w:proofErr w:type="spellEnd"/>
      <w:r w:rsidRPr="001A3AE3">
        <w:rPr>
          <w:rFonts w:ascii="Times New Roman" w:eastAsia="Times New Roman" w:hAnsi="Times New Roman"/>
          <w:color w:val="000000"/>
          <w:kern w:val="0"/>
          <w:szCs w:val="22"/>
          <w:lang w:val="en-US" w:eastAsia="en-US"/>
          <w14:ligatures w14:val="none"/>
        </w:rPr>
        <w:t xml:space="preserve">, A.M. &amp; </w:t>
      </w:r>
      <w:proofErr w:type="spellStart"/>
      <w:r w:rsidRPr="001A3AE3">
        <w:rPr>
          <w:rFonts w:ascii="Times New Roman" w:eastAsia="Times New Roman" w:hAnsi="Times New Roman"/>
          <w:color w:val="000000"/>
          <w:kern w:val="0"/>
          <w:szCs w:val="22"/>
          <w:lang w:val="en-US" w:eastAsia="en-US"/>
          <w14:ligatures w14:val="none"/>
        </w:rPr>
        <w:t>Alghoush</w:t>
      </w:r>
      <w:proofErr w:type="spellEnd"/>
      <w:r w:rsidRPr="001A3AE3">
        <w:rPr>
          <w:rFonts w:ascii="Times New Roman" w:eastAsia="Times New Roman" w:hAnsi="Times New Roman"/>
          <w:color w:val="000000"/>
          <w:kern w:val="0"/>
          <w:szCs w:val="22"/>
          <w:lang w:val="en-US" w:eastAsia="en-US"/>
          <w14:ligatures w14:val="none"/>
        </w:rPr>
        <w:t xml:space="preserve">, M. (2024) Electric Vehicle Adoption: A Comprehensive Systematic Review of Technological, Environmental, Organizational and Policy Impacts. Available at: </w:t>
      </w:r>
      <w:hyperlink r:id="rId60" w:history="1">
        <w:r w:rsidRPr="001A3AE3">
          <w:rPr>
            <w:rFonts w:ascii="Times New Roman" w:eastAsia="Times New Roman" w:hAnsi="Times New Roman"/>
            <w:color w:val="000000"/>
            <w:kern w:val="0"/>
            <w:szCs w:val="22"/>
            <w:lang w:val="en-US" w:eastAsia="en-US"/>
            <w14:ligatures w14:val="none"/>
          </w:rPr>
          <w:t>https://www.mdpi.com/2032-6653/15/8/375</w:t>
        </w:r>
      </w:hyperlink>
      <w:r w:rsidRPr="001A3AE3">
        <w:rPr>
          <w:rFonts w:ascii="Times New Roman" w:eastAsia="Times New Roman" w:hAnsi="Times New Roman"/>
          <w:color w:val="000000"/>
          <w:kern w:val="0"/>
          <w:szCs w:val="22"/>
          <w:lang w:val="en-US" w:eastAsia="en-US"/>
          <w14:ligatures w14:val="none"/>
        </w:rPr>
        <w:t xml:space="preserve"> (Accessed: 21 April 2026).</w:t>
      </w:r>
    </w:p>
    <w:p w14:paraId="41986054" w14:textId="64330EEF" w:rsidR="007335A8" w:rsidRPr="00120F45" w:rsidRDefault="007335A8" w:rsidP="001A3AE3">
      <w:pPr>
        <w:pStyle w:val="TOCHeading"/>
        <w:rPr>
          <w:lang w:val="en-IN"/>
        </w:rPr>
      </w:pPr>
    </w:p>
    <w:sectPr w:rsidR="007335A8" w:rsidRPr="00120F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6CF3BF0"/>
    <w:multiLevelType w:val="hybridMultilevel"/>
    <w:tmpl w:val="2BBAD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7322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90B"/>
    <w:rsid w:val="000150E9"/>
    <w:rsid w:val="000837FA"/>
    <w:rsid w:val="00087C21"/>
    <w:rsid w:val="000D7F3A"/>
    <w:rsid w:val="00104C0F"/>
    <w:rsid w:val="00120F45"/>
    <w:rsid w:val="0014796F"/>
    <w:rsid w:val="00157394"/>
    <w:rsid w:val="00192237"/>
    <w:rsid w:val="0019690B"/>
    <w:rsid w:val="001A3AE3"/>
    <w:rsid w:val="001A7A84"/>
    <w:rsid w:val="00277B02"/>
    <w:rsid w:val="002E59D2"/>
    <w:rsid w:val="00335310"/>
    <w:rsid w:val="003A185D"/>
    <w:rsid w:val="0043043C"/>
    <w:rsid w:val="00457C9D"/>
    <w:rsid w:val="00486B28"/>
    <w:rsid w:val="004E018A"/>
    <w:rsid w:val="005B0986"/>
    <w:rsid w:val="005C046B"/>
    <w:rsid w:val="0063050B"/>
    <w:rsid w:val="00644E7E"/>
    <w:rsid w:val="00654E2E"/>
    <w:rsid w:val="006E243E"/>
    <w:rsid w:val="006E56D9"/>
    <w:rsid w:val="007335A8"/>
    <w:rsid w:val="007F0141"/>
    <w:rsid w:val="00861980"/>
    <w:rsid w:val="00884023"/>
    <w:rsid w:val="008962DF"/>
    <w:rsid w:val="008B055D"/>
    <w:rsid w:val="009000B0"/>
    <w:rsid w:val="009143C0"/>
    <w:rsid w:val="00983FAF"/>
    <w:rsid w:val="009B3F0F"/>
    <w:rsid w:val="009C0F03"/>
    <w:rsid w:val="009E483D"/>
    <w:rsid w:val="00AB4DA3"/>
    <w:rsid w:val="00AC7FD1"/>
    <w:rsid w:val="00AE1DC8"/>
    <w:rsid w:val="00B035A4"/>
    <w:rsid w:val="00B374C5"/>
    <w:rsid w:val="00B85FB7"/>
    <w:rsid w:val="00BA2788"/>
    <w:rsid w:val="00BD52D5"/>
    <w:rsid w:val="00C3340C"/>
    <w:rsid w:val="00C429C2"/>
    <w:rsid w:val="00D27A34"/>
    <w:rsid w:val="00DD1420"/>
    <w:rsid w:val="00DE122E"/>
    <w:rsid w:val="00E42ED9"/>
    <w:rsid w:val="00E4738D"/>
    <w:rsid w:val="00F50E10"/>
    <w:rsid w:val="00F76B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62D58"/>
  <w15:chartTrackingRefBased/>
  <w15:docId w15:val="{6EE2EA8E-BD25-5A46-ABE7-78F8840422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69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969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69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69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69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69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69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69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69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69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969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69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69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69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69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69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69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690B"/>
    <w:rPr>
      <w:rFonts w:eastAsiaTheme="majorEastAsia" w:cstheme="majorBidi"/>
      <w:color w:val="272727" w:themeColor="text1" w:themeTint="D8"/>
    </w:rPr>
  </w:style>
  <w:style w:type="paragraph" w:styleId="Title">
    <w:name w:val="Title"/>
    <w:basedOn w:val="Normal"/>
    <w:next w:val="Normal"/>
    <w:link w:val="TitleChar"/>
    <w:uiPriority w:val="10"/>
    <w:qFormat/>
    <w:rsid w:val="001969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69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69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69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690B"/>
    <w:pPr>
      <w:spacing w:before="160"/>
      <w:jc w:val="center"/>
    </w:pPr>
    <w:rPr>
      <w:i/>
      <w:iCs/>
      <w:color w:val="404040" w:themeColor="text1" w:themeTint="BF"/>
    </w:rPr>
  </w:style>
  <w:style w:type="character" w:customStyle="1" w:styleId="QuoteChar">
    <w:name w:val="Quote Char"/>
    <w:basedOn w:val="DefaultParagraphFont"/>
    <w:link w:val="Quote"/>
    <w:uiPriority w:val="29"/>
    <w:rsid w:val="0019690B"/>
    <w:rPr>
      <w:i/>
      <w:iCs/>
      <w:color w:val="404040" w:themeColor="text1" w:themeTint="BF"/>
    </w:rPr>
  </w:style>
  <w:style w:type="paragraph" w:styleId="ListParagraph">
    <w:name w:val="List Paragraph"/>
    <w:basedOn w:val="Normal"/>
    <w:uiPriority w:val="34"/>
    <w:qFormat/>
    <w:rsid w:val="0019690B"/>
    <w:pPr>
      <w:ind w:left="720"/>
      <w:contextualSpacing/>
    </w:pPr>
  </w:style>
  <w:style w:type="character" w:styleId="IntenseEmphasis">
    <w:name w:val="Intense Emphasis"/>
    <w:basedOn w:val="DefaultParagraphFont"/>
    <w:uiPriority w:val="21"/>
    <w:qFormat/>
    <w:rsid w:val="0019690B"/>
    <w:rPr>
      <w:i/>
      <w:iCs/>
      <w:color w:val="0F4761" w:themeColor="accent1" w:themeShade="BF"/>
    </w:rPr>
  </w:style>
  <w:style w:type="paragraph" w:styleId="IntenseQuote">
    <w:name w:val="Intense Quote"/>
    <w:basedOn w:val="Normal"/>
    <w:next w:val="Normal"/>
    <w:link w:val="IntenseQuoteChar"/>
    <w:uiPriority w:val="30"/>
    <w:qFormat/>
    <w:rsid w:val="001969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690B"/>
    <w:rPr>
      <w:i/>
      <w:iCs/>
      <w:color w:val="0F4761" w:themeColor="accent1" w:themeShade="BF"/>
    </w:rPr>
  </w:style>
  <w:style w:type="character" w:styleId="IntenseReference">
    <w:name w:val="Intense Reference"/>
    <w:basedOn w:val="DefaultParagraphFont"/>
    <w:uiPriority w:val="32"/>
    <w:qFormat/>
    <w:rsid w:val="0019690B"/>
    <w:rPr>
      <w:b/>
      <w:bCs/>
      <w:smallCaps/>
      <w:color w:val="0F4761" w:themeColor="accent1" w:themeShade="BF"/>
      <w:spacing w:val="5"/>
    </w:rPr>
  </w:style>
  <w:style w:type="paragraph" w:customStyle="1" w:styleId="p1">
    <w:name w:val="p1"/>
    <w:basedOn w:val="Normal"/>
    <w:rsid w:val="008B055D"/>
    <w:pPr>
      <w:spacing w:after="0" w:line="240" w:lineRule="auto"/>
    </w:pPr>
    <w:rPr>
      <w:rFonts w:ascii=".AppleSystemUIFont" w:hAnsi=".AppleSystemUIFont" w:cs="Times New Roman"/>
      <w:kern w:val="0"/>
      <w:sz w:val="29"/>
      <w:szCs w:val="29"/>
      <w14:ligatures w14:val="none"/>
    </w:rPr>
  </w:style>
  <w:style w:type="paragraph" w:customStyle="1" w:styleId="p2">
    <w:name w:val="p2"/>
    <w:basedOn w:val="Normal"/>
    <w:rsid w:val="008B055D"/>
    <w:pPr>
      <w:spacing w:after="0" w:line="240" w:lineRule="auto"/>
    </w:pPr>
    <w:rPr>
      <w:rFonts w:ascii=".AppleSystemUIFont" w:hAnsi=".AppleSystemUIFont" w:cs="Times New Roman"/>
      <w:kern w:val="0"/>
      <w:sz w:val="29"/>
      <w:szCs w:val="29"/>
      <w14:ligatures w14:val="none"/>
    </w:rPr>
  </w:style>
  <w:style w:type="paragraph" w:customStyle="1" w:styleId="p3">
    <w:name w:val="p3"/>
    <w:basedOn w:val="Normal"/>
    <w:rsid w:val="008B055D"/>
    <w:pPr>
      <w:spacing w:after="0" w:line="240" w:lineRule="auto"/>
      <w:ind w:left="540"/>
    </w:pPr>
    <w:rPr>
      <w:rFonts w:ascii=".AppleSystemUIFont" w:hAnsi=".AppleSystemUIFont" w:cs="Times New Roman"/>
      <w:kern w:val="0"/>
      <w:sz w:val="29"/>
      <w:szCs w:val="29"/>
      <w14:ligatures w14:val="none"/>
    </w:rPr>
  </w:style>
  <w:style w:type="paragraph" w:customStyle="1" w:styleId="p4">
    <w:name w:val="p4"/>
    <w:basedOn w:val="Normal"/>
    <w:rsid w:val="008B055D"/>
    <w:pPr>
      <w:spacing w:after="0" w:line="240" w:lineRule="auto"/>
      <w:ind w:left="540"/>
    </w:pPr>
    <w:rPr>
      <w:rFonts w:ascii=".AppleSystemUIFont" w:hAnsi=".AppleSystemUIFont" w:cs="Times New Roman"/>
      <w:kern w:val="0"/>
      <w:sz w:val="29"/>
      <w:szCs w:val="29"/>
      <w14:ligatures w14:val="none"/>
    </w:rPr>
  </w:style>
  <w:style w:type="character" w:customStyle="1" w:styleId="s1">
    <w:name w:val="s1"/>
    <w:basedOn w:val="DefaultParagraphFont"/>
    <w:rsid w:val="008B055D"/>
    <w:rPr>
      <w:rFonts w:ascii="UICTFontTextStyleEmphasizedBody" w:hAnsi="UICTFontTextStyleEmphasizedBody" w:hint="default"/>
      <w:b/>
      <w:bCs/>
      <w:i w:val="0"/>
      <w:iCs w:val="0"/>
      <w:sz w:val="29"/>
      <w:szCs w:val="29"/>
    </w:rPr>
  </w:style>
  <w:style w:type="character" w:customStyle="1" w:styleId="s2">
    <w:name w:val="s2"/>
    <w:basedOn w:val="DefaultParagraphFont"/>
    <w:rsid w:val="008B055D"/>
    <w:rPr>
      <w:rFonts w:ascii="UICTFontTextStyleBody" w:hAnsi="UICTFontTextStyleBody" w:hint="default"/>
      <w:b w:val="0"/>
      <w:bCs w:val="0"/>
      <w:i w:val="0"/>
      <w:iCs w:val="0"/>
      <w:sz w:val="29"/>
      <w:szCs w:val="29"/>
    </w:rPr>
  </w:style>
  <w:style w:type="character" w:customStyle="1" w:styleId="s3">
    <w:name w:val="s3"/>
    <w:basedOn w:val="DefaultParagraphFont"/>
    <w:rsid w:val="008B055D"/>
    <w:rPr>
      <w:rFonts w:ascii="UICTFontTextStyleBody" w:hAnsi="UICTFontTextStyleBody" w:hint="default"/>
      <w:b w:val="0"/>
      <w:bCs w:val="0"/>
      <w:i w:val="0"/>
      <w:iCs w:val="0"/>
      <w:sz w:val="29"/>
      <w:szCs w:val="29"/>
      <w:u w:val="single"/>
    </w:rPr>
  </w:style>
  <w:style w:type="character" w:customStyle="1" w:styleId="apple-tab-span">
    <w:name w:val="apple-tab-span"/>
    <w:basedOn w:val="DefaultParagraphFont"/>
    <w:rsid w:val="008B055D"/>
  </w:style>
  <w:style w:type="paragraph" w:customStyle="1" w:styleId="s6">
    <w:name w:val="s6"/>
    <w:basedOn w:val="Normal"/>
    <w:rsid w:val="00157394"/>
    <w:pPr>
      <w:spacing w:before="100" w:beforeAutospacing="1" w:after="100" w:afterAutospacing="1" w:line="240" w:lineRule="auto"/>
    </w:pPr>
    <w:rPr>
      <w:rFonts w:ascii="Times New Roman" w:hAnsi="Times New Roman" w:cs="Times New Roman"/>
      <w:kern w:val="0"/>
      <w14:ligatures w14:val="none"/>
    </w:rPr>
  </w:style>
  <w:style w:type="character" w:customStyle="1" w:styleId="s8">
    <w:name w:val="s8"/>
    <w:basedOn w:val="DefaultParagraphFont"/>
    <w:rsid w:val="00157394"/>
  </w:style>
  <w:style w:type="character" w:customStyle="1" w:styleId="bumpedfont15">
    <w:name w:val="bumpedfont15"/>
    <w:basedOn w:val="DefaultParagraphFont"/>
    <w:rsid w:val="00157394"/>
  </w:style>
  <w:style w:type="paragraph" w:customStyle="1" w:styleId="s9">
    <w:name w:val="s9"/>
    <w:basedOn w:val="Normal"/>
    <w:rsid w:val="00157394"/>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157394"/>
  </w:style>
  <w:style w:type="paragraph" w:styleId="NormalWeb">
    <w:name w:val="Normal (Web)"/>
    <w:basedOn w:val="Normal"/>
    <w:uiPriority w:val="99"/>
    <w:semiHidden/>
    <w:unhideWhenUsed/>
    <w:rsid w:val="00157394"/>
    <w:pPr>
      <w:spacing w:before="100" w:beforeAutospacing="1" w:after="100" w:afterAutospacing="1" w:line="240" w:lineRule="auto"/>
    </w:pPr>
    <w:rPr>
      <w:rFonts w:ascii="Times New Roman" w:hAnsi="Times New Roman" w:cs="Times New Roman"/>
      <w:kern w:val="0"/>
      <w14:ligatures w14:val="none"/>
    </w:rPr>
  </w:style>
  <w:style w:type="paragraph" w:customStyle="1" w:styleId="s11">
    <w:name w:val="s11"/>
    <w:basedOn w:val="Normal"/>
    <w:rsid w:val="00157394"/>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157394"/>
  </w:style>
  <w:style w:type="paragraph" w:customStyle="1" w:styleId="s17">
    <w:name w:val="s17"/>
    <w:basedOn w:val="Normal"/>
    <w:rsid w:val="00157394"/>
    <w:pPr>
      <w:spacing w:before="100" w:beforeAutospacing="1" w:after="100" w:afterAutospacing="1" w:line="240" w:lineRule="auto"/>
    </w:pPr>
    <w:rPr>
      <w:rFonts w:ascii="Times New Roman" w:hAnsi="Times New Roman" w:cs="Times New Roman"/>
      <w:kern w:val="0"/>
      <w14:ligatures w14:val="none"/>
    </w:rPr>
  </w:style>
  <w:style w:type="paragraph" w:styleId="TOCHeading">
    <w:name w:val="TOC Heading"/>
    <w:basedOn w:val="Heading1"/>
    <w:next w:val="Normal"/>
    <w:uiPriority w:val="39"/>
    <w:unhideWhenUsed/>
    <w:qFormat/>
    <w:rsid w:val="008962DF"/>
    <w:pPr>
      <w:spacing w:before="120" w:after="60" w:line="288" w:lineRule="auto"/>
      <w:outlineLvl w:val="9"/>
    </w:pPr>
    <w:rPr>
      <w:b/>
      <w:bCs/>
      <w:color w:val="7B1C1C"/>
      <w:kern w:val="0"/>
      <w:sz w:val="28"/>
      <w:szCs w:val="28"/>
      <w:lang w:val="en-US" w:eastAsia="en-US"/>
      <w14:ligatures w14:val="none"/>
    </w:rPr>
  </w:style>
  <w:style w:type="table" w:styleId="TableGrid">
    <w:name w:val="Table Grid"/>
    <w:basedOn w:val="TableNormal"/>
    <w:uiPriority w:val="59"/>
    <w:rsid w:val="008962DF"/>
    <w:pPr>
      <w:spacing w:after="0" w:line="240" w:lineRule="auto"/>
    </w:pPr>
    <w:rPr>
      <w:kern w:val="0"/>
      <w:sz w:val="22"/>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962DF"/>
    <w:rPr>
      <w:color w:val="467886" w:themeColor="hyperlink"/>
      <w:u w:val="single"/>
    </w:rPr>
  </w:style>
  <w:style w:type="paragraph" w:styleId="TOC1">
    <w:name w:val="toc 1"/>
    <w:basedOn w:val="Normal"/>
    <w:next w:val="Normal"/>
    <w:autoRedefine/>
    <w:uiPriority w:val="39"/>
    <w:unhideWhenUsed/>
    <w:rsid w:val="008962DF"/>
    <w:pPr>
      <w:spacing w:after="100" w:line="276" w:lineRule="auto"/>
    </w:pPr>
    <w:rPr>
      <w:rFonts w:ascii="Arial" w:eastAsia="Arial" w:hAnsi="Arial"/>
      <w:kern w:val="0"/>
      <w:szCs w:val="22"/>
      <w:lang w:val="en-US" w:eastAsia="en-US"/>
      <w14:ligatures w14:val="none"/>
    </w:rPr>
  </w:style>
  <w:style w:type="paragraph" w:styleId="TOC2">
    <w:name w:val="toc 2"/>
    <w:basedOn w:val="Normal"/>
    <w:next w:val="Normal"/>
    <w:autoRedefine/>
    <w:uiPriority w:val="39"/>
    <w:unhideWhenUsed/>
    <w:rsid w:val="001A3AE3"/>
    <w:pPr>
      <w:spacing w:after="100" w:line="276" w:lineRule="auto"/>
      <w:ind w:left="240"/>
    </w:pPr>
    <w:rPr>
      <w:rFonts w:ascii="Times New Roman" w:eastAsia="Times New Roman" w:hAnsi="Times New Roman"/>
      <w:kern w:val="0"/>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en.wikipedia.org/wiki/Holding_company" TargetMode="External"/><Relationship Id="rId26" Type="http://schemas.openxmlformats.org/officeDocument/2006/relationships/hyperlink" Target="https://www.bea.gov/sites/default/files/2025-02/trad1224.pdf" TargetMode="External"/><Relationship Id="rId39" Type="http://schemas.openxmlformats.org/officeDocument/2006/relationships/hyperlink" Target="https://www.honda.com/-/media/Honda-Homepage/PDF/DFB_2024_US_FNL%20_0625%20CONSUMER.pdf" TargetMode="External"/><Relationship Id="rId21" Type="http://schemas.openxmlformats.org/officeDocument/2006/relationships/hyperlink" Target="https://en.wikipedia.org/wiki/Ann_Arbor,_Michigan" TargetMode="External"/><Relationship Id="rId34" Type="http://schemas.openxmlformats.org/officeDocument/2006/relationships/hyperlink" Target="https://www.epa.gov/regulations-emissions-vehicles-and-engines/final-rule-multi-pollutant-emissions-standards-model" TargetMode="External"/><Relationship Id="rId42" Type="http://schemas.openxmlformats.org/officeDocument/2006/relationships/hyperlink" Target="https://theicct.org/sites/default/files/publications/charging-up-america-jul2021.pdf" TargetMode="External"/><Relationship Id="rId47" Type="http://schemas.openxmlformats.org/officeDocument/2006/relationships/hyperlink" Target="https://www.nhtsa.gov/laws-regulations/corporate-average-fuel-economy" TargetMode="External"/><Relationship Id="rId50" Type="http://schemas.openxmlformats.org/officeDocument/2006/relationships/hyperlink" Target="https://oica.net/production_statistic/united-states-of-america-2024/" TargetMode="External"/><Relationship Id="rId55" Type="http://schemas.openxmlformats.org/officeDocument/2006/relationships/hyperlink" Target="https://www.toyota.com/content/dam/tusa/environmentreport/downloads/2024NAER_Final.pdf" TargetMode="External"/><Relationship Id="rId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s://en.wikipedia.org/wiki/Operating_subsidiary" TargetMode="External"/><Relationship Id="rId29" Type="http://schemas.openxmlformats.org/officeDocument/2006/relationships/hyperlink" Target="https://afdc.energy.gov/fuels/electricity-infrastructure-trends" TargetMode="External"/><Relationship Id="rId11" Type="http://schemas.openxmlformats.org/officeDocument/2006/relationships/image" Target="media/image4.png"/><Relationship Id="rId24" Type="http://schemas.openxmlformats.org/officeDocument/2006/relationships/image" Target="media/image7.png"/><Relationship Id="rId32" Type="http://schemas.openxmlformats.org/officeDocument/2006/relationships/hyperlink" Target="https://www.energy.gov/cmei/vehicles/articles/fotw-1350-july-8-2024-2023-united-states-had-battery-recycling-facilities" TargetMode="External"/><Relationship Id="rId37" Type="http://schemas.openxmlformats.org/officeDocument/2006/relationships/hyperlink" Target="https://investor.gm.com/static-files/e86cba95-5077-4097-bf21-b3de40126ca8" TargetMode="External"/><Relationship Id="rId40" Type="http://schemas.openxmlformats.org/officeDocument/2006/relationships/hyperlink" Target="https://www.honda.com/-/media/Honda-Homepage/PDF/HondaIDReport2024FINAL.pdf" TargetMode="External"/><Relationship Id="rId45" Type="http://schemas.openxmlformats.org/officeDocument/2006/relationships/hyperlink" Target="https://assets.kpmg.com/content/dam/kpmgsites/my/pdf/2024/01/survey-report-automotive-2024.pdf.coredownload.inline.pdf" TargetMode="External"/><Relationship Id="rId53" Type="http://schemas.openxmlformats.org/officeDocument/2006/relationships/hyperlink" Target="https://pressroom.toyota.com/toyota-motor-north-america-reports-2024-u-s-sales-results/" TargetMode="External"/><Relationship Id="rId58" Type="http://schemas.openxmlformats.org/officeDocument/2006/relationships/hyperlink" Target="https://ustr.gov/sites/default/files/The%20Presidents%202024%20Trade%20Policy%20Agenda%20and%202023%20Annual%20Report.pdf" TargetMode="External"/><Relationship Id="rId5" Type="http://schemas.openxmlformats.org/officeDocument/2006/relationships/image" Target="media/image1.png"/><Relationship Id="rId61" Type="http://schemas.openxmlformats.org/officeDocument/2006/relationships/fontTable" Target="fontTable.xml"/><Relationship Id="rId19" Type="http://schemas.openxmlformats.org/officeDocument/2006/relationships/hyperlink" Target="https://en.wikipedia.org/wiki/Plano,_Texas" TargetMode="External"/><Relationship Id="rId14" Type="http://schemas.openxmlformats.org/officeDocument/2006/relationships/hyperlink" Target="https://en.wikipedia.org/wiki/Toyota_Industries" TargetMode="External"/><Relationship Id="rId22" Type="http://schemas.openxmlformats.org/officeDocument/2006/relationships/hyperlink" Target="https://en.wikipedia.org/wiki/Washington,_D.C." TargetMode="External"/><Relationship Id="rId27" Type="http://schemas.openxmlformats.org/officeDocument/2006/relationships/hyperlink" Target="https://www.bls.gov/iag/tgs/iagauto.htm" TargetMode="External"/><Relationship Id="rId30" Type="http://schemas.openxmlformats.org/officeDocument/2006/relationships/hyperlink" Target="https://afdc.energy.gov/files/u/publication/electric_vehicle_charging_infrastructure_trends_second_quarter_2024.pdf" TargetMode="External"/><Relationship Id="rId35" Type="http://schemas.openxmlformats.org/officeDocument/2006/relationships/hyperlink" Target="https://corporate.ford.com/content/dam/corporate/us/en-us/documents/reports/2024-integrated-sustainability-and-financial-report.pdf" TargetMode="External"/><Relationship Id="rId43" Type="http://schemas.openxmlformats.org/officeDocument/2006/relationships/hyperlink" Target="https://www.iea.org/reports/global-ev-outlook-2024" TargetMode="External"/><Relationship Id="rId48" Type="http://schemas.openxmlformats.org/officeDocument/2006/relationships/hyperlink" Target="https://www.nhtsa.gov/press-releases/usdot-announces-new-vehicle-fuel-economy-standards-model-year-2024-2026" TargetMode="External"/><Relationship Id="rId56" Type="http://schemas.openxmlformats.org/officeDocument/2006/relationships/hyperlink" Target="https://ustr.gov/sites/default/files/2024%20NTE%20Report.pdf" TargetMode="External"/><Relationship Id="rId8" Type="http://schemas.openxmlformats.org/officeDocument/2006/relationships/hyperlink" Target="https://en.wikipedia.org/wiki/Automotive_industry_in_the_United_States" TargetMode="External"/><Relationship Id="rId51" Type="http://schemas.openxmlformats.org/officeDocument/2006/relationships/hyperlink" Target="https://www.reuters.com/business/autos-transportation/americans-still-prefer-gas-vehicles-over-hybrid-or-evs-study-shows-2024-05-30/" TargetMode="Externa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hyperlink" Target="https://en.wikipedia.org/wiki/Toyota_Motor_Corporation" TargetMode="External"/><Relationship Id="rId25" Type="http://schemas.openxmlformats.org/officeDocument/2006/relationships/image" Target="media/image8.png"/><Relationship Id="rId33" Type="http://schemas.openxmlformats.org/officeDocument/2006/relationships/hyperlink" Target="https://www.epa.gov/automotive-trends/download-2024-automotive-trends-report" TargetMode="External"/><Relationship Id="rId38" Type="http://schemas.openxmlformats.org/officeDocument/2006/relationships/hyperlink" Target="https://investor.gm.com/news-releases/news-release-details/gm-releases-full-year-and-fourth-quarter-2024-results-and-2025/" TargetMode="External"/><Relationship Id="rId46" Type="http://schemas.openxmlformats.org/officeDocument/2006/relationships/hyperlink" Target="https://www.nhtsa.gov/sites/nhtsa.gov/files/2024-06/CAFE-2027-2031-HDPUV-2030-2035_Final-Rule_web_0.pdf" TargetMode="External"/><Relationship Id="rId59" Type="http://schemas.openxmlformats.org/officeDocument/2006/relationships/hyperlink" Target="https://www.whitehouse.gov/wp-content/uploads/2024/03/budget_fy2025.pdf" TargetMode="External"/><Relationship Id="rId20" Type="http://schemas.openxmlformats.org/officeDocument/2006/relationships/hyperlink" Target="https://en.wikipedia.org/wiki/Georgetown,_Kentucky" TargetMode="External"/><Relationship Id="rId41" Type="http://schemas.openxmlformats.org/officeDocument/2006/relationships/hyperlink" Target="https://www.hyundai.com/worldwide/en/newsroom/detail/hyundai-motor-announces-2024-annual-and-q4-business-results-0000000897" TargetMode="External"/><Relationship Id="rId54" Type="http://schemas.openxmlformats.org/officeDocument/2006/relationships/hyperlink" Target="https://global.toyota/pages/global_toyota/ir/library/annual/2024_001_integrated_en.pdf" TargetMode="External"/><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en.wikipedia.org/wiki/Automotive_industry" TargetMode="External"/><Relationship Id="rId15" Type="http://schemas.openxmlformats.org/officeDocument/2006/relationships/hyperlink" Target="https://en.wikipedia.org/wiki/Toyota_Group" TargetMode="External"/><Relationship Id="rId23" Type="http://schemas.openxmlformats.org/officeDocument/2006/relationships/hyperlink" Target="https://en.wikipedia.org/wiki/New_York_City" TargetMode="External"/><Relationship Id="rId28" Type="http://schemas.openxmlformats.org/officeDocument/2006/relationships/hyperlink" Target="https://www.deloitte.com/ce/en/industries/automotive/perspectives/global-automotive-consumer-study.html" TargetMode="External"/><Relationship Id="rId36" Type="http://schemas.openxmlformats.org/officeDocument/2006/relationships/hyperlink" Target="https://shareholder.ford.com/news/news-details/2025/Ford-U-S--Q4-2024-Sales-Release-2025-_g_lPr_-io/default.aspx" TargetMode="External"/><Relationship Id="rId49" Type="http://schemas.openxmlformats.org/officeDocument/2006/relationships/hyperlink" Target="https://www.oecd.org/content/dam/oecd/en/publications/reports/2024/11/the-future-of-the-automotive-value-chain_91460165/cb730d65-en.pdf" TargetMode="External"/><Relationship Id="rId57" Type="http://schemas.openxmlformats.org/officeDocument/2006/relationships/hyperlink" Target="https://ustr.gov/sites/default/files/2024%20USMCA%20Autos%20Report%20to%20Congress_0.pdf" TargetMode="External"/><Relationship Id="rId10" Type="http://schemas.openxmlformats.org/officeDocument/2006/relationships/image" Target="media/image3.png"/><Relationship Id="rId31" Type="http://schemas.openxmlformats.org/officeDocument/2006/relationships/hyperlink" Target="https://www.energy.gov/cmei/vehicles/articles/fotw-1335-march-25-2024-level-1-and-level-2-ev-charging-expected-account-80" TargetMode="External"/><Relationship Id="rId44" Type="http://schemas.openxmlformats.org/officeDocument/2006/relationships/hyperlink" Target="https://www.iea.org/reports/electricity-2024" TargetMode="External"/><Relationship Id="rId52" Type="http://schemas.openxmlformats.org/officeDocument/2006/relationships/hyperlink" Target="https://www.stellantis.com/content/dam/stellantis-corporate/investors/financial-reports/Stellantis-NV-20241231-Annual-Report.pdf" TargetMode="External"/><Relationship Id="rId60" Type="http://schemas.openxmlformats.org/officeDocument/2006/relationships/hyperlink" Target="https://www.mdpi.com/2032-6653/15/8/375" TargetMode="External"/><Relationship Id="rId4" Type="http://schemas.openxmlformats.org/officeDocument/2006/relationships/webSettings" Target="webSettings.xml"/><Relationship Id="rId9" Type="http://schemas.openxmlformats.org/officeDocument/2006/relationships/hyperlink" Target="https://en.wikipedia.org/wiki/Big_Three_(automobile_manufactur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29</Pages>
  <Words>7403</Words>
  <Characters>42199</Characters>
  <Application>Microsoft Office Word</Application>
  <DocSecurity>0</DocSecurity>
  <Lines>351</Lines>
  <Paragraphs>99</Paragraphs>
  <ScaleCrop>false</ScaleCrop>
  <Company/>
  <LinksUpToDate>false</LinksUpToDate>
  <CharactersWithSpaces>49503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Harshkumar Manojkumar Patel (2503790)</dc:creator>
  <cp:keywords/>
  <dc:description/>
  <cp:lastModifiedBy>Harshkumar Manojkumar Patel (2503790)</cp:lastModifiedBy>
  <cp:revision>8</cp:revision>
  <dcterms:created xsi:type="dcterms:W3CDTF">2026-04-22T14:11:00Z</dcterms:created>
  <dcterms:modified xsi:type="dcterms:W3CDTF">2026-04-24T10:31:00Z</dcterms:modified>
</cp:coreProperties>
</file>