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D8459F3" wp14:paraId="2C078E63" wp14:textId="363D65FC">
      <w:pPr>
        <w:pStyle w:val="Normal"/>
        <w:jc w:val="center"/>
        <w:rPr>
          <w:rFonts w:ascii="Bahnschrift" w:hAnsi="Bahnschrift" w:eastAsia="Bahnschrift" w:cs="Bahnschrift"/>
          <w:b w:val="0"/>
          <w:bCs w:val="0"/>
          <w:i w:val="1"/>
          <w:iCs w:val="1"/>
          <w:noProof w:val="0"/>
          <w:sz w:val="32"/>
          <w:szCs w:val="32"/>
          <w:lang w:val="en-GB"/>
        </w:rPr>
      </w:pPr>
      <w:r w:rsidRPr="3D8459F3" w:rsidR="3C28D054">
        <w:rPr>
          <w:rFonts w:ascii="Bahnschrift" w:hAnsi="Bahnschrift" w:eastAsia="Bahnschrift" w:cs="Bahnschrift"/>
          <w:b w:val="0"/>
          <w:bCs w:val="0"/>
          <w:i w:val="1"/>
          <w:iCs w:val="1"/>
          <w:noProof w:val="0"/>
          <w:sz w:val="32"/>
          <w:szCs w:val="32"/>
          <w:lang w:val="en-GB"/>
        </w:rPr>
        <w:t>The role of a Crown Prosecutor and identification of the tests used when making charging decisions</w:t>
      </w:r>
    </w:p>
    <w:p w:rsidR="3D8459F3" w:rsidP="3D8459F3" w:rsidRDefault="3D8459F3" w14:paraId="20C8CA63" w14:textId="095A13B1">
      <w:pPr>
        <w:pStyle w:val="Normal"/>
        <w:jc w:val="center"/>
        <w:rPr>
          <w:rFonts w:ascii="Bahnschrift" w:hAnsi="Bahnschrift" w:eastAsia="Bahnschrift" w:cs="Bahnschrift"/>
          <w:b w:val="0"/>
          <w:bCs w:val="0"/>
          <w:i w:val="1"/>
          <w:iCs w:val="1"/>
          <w:noProof w:val="0"/>
          <w:sz w:val="32"/>
          <w:szCs w:val="32"/>
          <w:lang w:val="en-GB"/>
        </w:rPr>
      </w:pPr>
    </w:p>
    <w:p w:rsidR="66E4385A" w:rsidP="3D8459F3" w:rsidRDefault="66E4385A" w14:paraId="38A2DFDA" w14:textId="19B504B6">
      <w:pPr>
        <w:pStyle w:val="Normal"/>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A Crown Prosecutor plays a pivotal role in the criminal justice system,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representing</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state and ensuring that cases are brought to court fairly and effectively. They review evidence gathered by law enforcement agencies and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determine</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whether there is enough evidence to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proceed</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with criminal charges. They also present the case in court and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seek</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to prove the defendant's guilt beyond a reasonable doubt.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In terms of tests used when making charging decisions, there are several key factors that Crown Prosecutors consider:</w:t>
      </w:r>
    </w:p>
    <w:p w:rsidR="66E4385A" w:rsidP="3D8459F3" w:rsidRDefault="66E4385A" w14:paraId="14B1B812" w14:textId="751AD17C">
      <w:pPr>
        <w:pStyle w:val="Normal"/>
        <w:jc w:val="left"/>
      </w:pP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33C69CD">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Evidential Test: This test examines whether there is enough evidence to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provide</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a realistic prospect of conviction. Prosecutors must assess the quality and quantity of evidence available before deciding to bring charges.</w:t>
      </w:r>
    </w:p>
    <w:p w:rsidR="00AD716A" w:rsidP="3D8459F3" w:rsidRDefault="00AD716A" w14:paraId="57545DAB" w14:textId="765DAFBC">
      <w:pPr>
        <w:pStyle w:val="Normal"/>
        <w:jc w:val="left"/>
      </w:pPr>
      <w:r w:rsidRPr="3D8459F3" w:rsidR="00AD716A">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Public Interest Test: Prosecutors must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determine</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whether it is in the public interest to prosecute a case. Factors considered include the seriousness of the offense, harm caused, the defendant's criminal history, and any potential impact on victims or witnesses.</w:t>
      </w:r>
    </w:p>
    <w:p w:rsidR="278A530D" w:rsidP="3D8459F3" w:rsidRDefault="278A530D" w14:paraId="47AA6660" w14:textId="044E1771">
      <w:pPr>
        <w:pStyle w:val="Normal"/>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3D8459F3" w:rsidR="278A530D">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Fair Trial Test: Crown Prosecutors need to ensure that there is a reasonable chance of a fair trial. This involves assessing whether evidence is admissible, witnesses are reliable, and whether a fair trial can be conducted.</w:t>
      </w:r>
    </w:p>
    <w:p w:rsidR="68BCC3EE" w:rsidP="3D8459F3" w:rsidRDefault="68BCC3EE" w14:paraId="1F1EE9AE" w14:textId="610E647A">
      <w:pPr>
        <w:pStyle w:val="Normal"/>
        <w:jc w:val="left"/>
      </w:pPr>
      <w:r w:rsidRPr="3D8459F3" w:rsidR="68BCC3EE">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Prima Facie Test: This test involves evaluating whether there is a sufficient case to answer in court. </w:t>
      </w:r>
      <w:r w:rsidRPr="3D8459F3" w:rsidR="7E74F9C0">
        <w:rPr>
          <w:rFonts w:ascii="Calibri" w:hAnsi="Calibri" w:eastAsia="Calibri" w:cs="Calibri" w:asciiTheme="minorAscii" w:hAnsiTheme="minorAscii" w:eastAsiaTheme="minorAscii" w:cstheme="minorAscii"/>
          <w:b w:val="0"/>
          <w:bCs w:val="0"/>
          <w:i w:val="0"/>
          <w:iCs w:val="0"/>
          <w:noProof w:val="0"/>
          <w:sz w:val="22"/>
          <w:szCs w:val="22"/>
          <w:lang w:val="en-GB"/>
        </w:rPr>
        <w:t>It is</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a more preliminary assessment to </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determine</w:t>
      </w:r>
      <w:r w:rsidRPr="3D8459F3" w:rsidR="66E4385A">
        <w:rPr>
          <w:rFonts w:ascii="Calibri" w:hAnsi="Calibri" w:eastAsia="Calibri" w:cs="Calibri" w:asciiTheme="minorAscii" w:hAnsiTheme="minorAscii" w:eastAsiaTheme="minorAscii" w:cstheme="minorAscii"/>
          <w:b w:val="0"/>
          <w:bCs w:val="0"/>
          <w:i w:val="0"/>
          <w:iCs w:val="0"/>
          <w:noProof w:val="0"/>
          <w:sz w:val="22"/>
          <w:szCs w:val="22"/>
          <w:lang w:val="en-GB"/>
        </w:rPr>
        <w:t xml:space="preserve"> if the basic elements of the offense are present.</w:t>
      </w:r>
    </w:p>
    <w:p w:rsidR="330A6E64" w:rsidP="3D8459F3" w:rsidRDefault="330A6E64" w14:paraId="70DC269C" w14:textId="095B663E">
      <w:pPr>
        <w:pStyle w:val="Normal"/>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3D8459F3" w:rsidR="330A6E6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application of these tests can often present complex dilemmas for Crown Prosecutors. Balancing the imperative to pursue justice with the need to uphold individual rights requires a keen sense of judgment and ethical responsibility. The dynamic nature of legal principles further adds to the challenge, as interpretations and applications of these tests may evolve over time, influenced by changes in societal norms and legal precedents.                                                                                                                                            </w:t>
      </w:r>
      <w:r w:rsidRPr="3D8459F3" w:rsidR="3CCF136F">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5B7AB89A">
        <w:rPr>
          <w:rFonts w:ascii="Calibri" w:hAnsi="Calibri" w:eastAsia="Calibri" w:cs="Calibri" w:asciiTheme="minorAscii" w:hAnsiTheme="minorAscii" w:eastAsiaTheme="minorAscii" w:cstheme="minorAscii"/>
          <w:b w:val="0"/>
          <w:bCs w:val="0"/>
          <w:i w:val="0"/>
          <w:iCs w:val="0"/>
          <w:noProof w:val="0"/>
          <w:sz w:val="22"/>
          <w:szCs w:val="22"/>
          <w:lang w:val="en-GB"/>
        </w:rPr>
        <w:t xml:space="preserve">  T</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o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illustrate</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practical significance of these tests, it is valuable to examine real-world examples where charging decisions have been shaped by their application. Case law serves as a rich source of insights into how the tests have been employed in various scenarios. Landmark cases, such as R v. DPP ex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parte</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Keb</w:t>
      </w:r>
      <w:r w:rsidRPr="3D8459F3" w:rsidR="5A7A44DD">
        <w:rPr>
          <w:rFonts w:ascii="Calibri" w:hAnsi="Calibri" w:eastAsia="Calibri" w:cs="Calibri" w:asciiTheme="minorAscii" w:hAnsiTheme="minorAscii" w:eastAsiaTheme="minorAscii" w:cstheme="minorAscii"/>
          <w:b w:val="0"/>
          <w:bCs w:val="0"/>
          <w:i w:val="0"/>
          <w:iCs w:val="0"/>
          <w:noProof w:val="0"/>
          <w:sz w:val="22"/>
          <w:szCs w:val="22"/>
          <w:lang w:val="en-GB"/>
        </w:rPr>
        <w:t>ilene</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 have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established</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significance of the public interest test in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determining</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 whether a prosecution should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proceed</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 particularly in cases involving national security concerns. </w:t>
      </w:r>
      <w:r w:rsidRPr="3D8459F3" w:rsidR="0DFC2FC8">
        <w:rPr>
          <w:rFonts w:ascii="Calibri" w:hAnsi="Calibri" w:eastAsia="Calibri" w:cs="Calibri" w:asciiTheme="minorAscii" w:hAnsiTheme="minorAscii" w:eastAsiaTheme="minorAscii" w:cstheme="minorAscii"/>
          <w:b w:val="0"/>
          <w:bCs w:val="0"/>
          <w:i w:val="0"/>
          <w:iCs w:val="0"/>
          <w:noProof w:val="0"/>
          <w:sz w:val="22"/>
          <w:szCs w:val="22"/>
          <w:lang w:val="en-GB"/>
        </w:rPr>
        <w:t>Analysing</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 such cases not only offers a glimpse into the tests' practical implications but also underscores the weight of legal precedent in shaping future charging decisions.</w:t>
      </w:r>
    </w:p>
    <w:p w:rsidR="5AB7565C" w:rsidP="3D8459F3" w:rsidRDefault="5AB7565C" w14:paraId="0DEE45FD" w14:textId="34E18646">
      <w:pPr>
        <w:pStyle w:val="Normal"/>
        <w:jc w:val="left"/>
      </w:pPr>
      <w:r w:rsidRPr="3D8459F3" w:rsidR="5AB7565C">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role of technology and its impact on evidence collection and presentation cannot be ignored. The digital age has introduced new dimensions to the evidential test, as Crown Prosecutors now contend with the challenges of handling digital evidence, including data privacy concerns and authentication issues. This evolving landscape highlights the need for Crown Prosecutors to stay abreast of technological advancements and their implications for the tests employed in charging decisions.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In addition to these considerations, the role of Crown Prosecutors also extends beyond the courtroom. </w:t>
      </w:r>
      <w:r w:rsidRPr="3D8459F3" w:rsidR="3879DE5A">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Their engagement with victims, witnesses, and other stakeholders underscores the role's interpersonal dimension. Ensuring the well-being of individuals involved, while </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maintaining</w:t>
      </w:r>
      <w:r w:rsidRPr="3D8459F3" w:rsidR="5098721F">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integrity of the tests, requires diplomacy, empathy, and a sensitivity to the emotional toll legal proceedings can have on those affected. This human aspect reinforces the holistic nature of the Crown Prosecutor's role, which extends far beyond legal analysis</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interaction with victims and witnesses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requires</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a delicate balance between empathy and the objective pursuit of justice. Crown Prosecutors must navigate the emotional complexities involved in criminal cases, understanding the impact of their decisions on those whose lives are intertwined with the legal process.      </w:t>
      </w:r>
      <w:r w:rsidRPr="3D8459F3" w:rsidR="3ACD2B33">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3C5E2571">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Moreover, Crown Prosecutors often collaborate closely with law enforcement agencies, building a symbiotic relationship that is crucial for the successful prosecution of cases. This collaboration involves a continuous exchange of information, as Crown Prosecutors require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timely</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and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accurate</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updates on investigations to assess the viability of charging decisions. This cooperation not only streamlines the process but also underscores the collective effort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required</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to ensure that justice is served.</w:t>
      </w:r>
    </w:p>
    <w:p w:rsidR="1D3A3754" w:rsidP="3D8459F3" w:rsidRDefault="1D3A3754" w14:paraId="1E9E6C7F" w14:textId="593D3FCE">
      <w:pPr>
        <w:pStyle w:val="Normal"/>
        <w:jc w:val="left"/>
      </w:pPr>
      <w:r w:rsidRPr="3D8459F3" w:rsidR="1D3A375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While Crown Prosecutors primarily function as representatives of the state, their role also intersects with the rights and interests of defendants. The ethical underpinning of the legal profession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necessitates</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that Crown Prosecutors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remain</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mindful of their duty to ensure a fair trial, even while advancing the interests of the state. This intricate balance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showcases</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fine line that Crown Prosecutors tread, advocating for justice while upholding the principles that underlie the legal system.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In addition to the established tests, Crown Prosecutors must also consider emerging legal and societal trends. For instance, discussions around issues such as mental health, cultural sensitivities, and human rights have a direct impact on the application of these tests. Crown Prosecutors must factor in these evolving dynamics, adapting their approach to accommodate the changing landscape of legal thought and practice.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Crown Prosecutor's role also extends to the sentencing phase, where they present arguments and evidence to guide the court in determining </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appropriate sentences</w:t>
      </w:r>
      <w:r w:rsidRPr="3D8459F3" w:rsidR="60817598">
        <w:rPr>
          <w:rFonts w:ascii="Calibri" w:hAnsi="Calibri" w:eastAsia="Calibri" w:cs="Calibri" w:asciiTheme="minorAscii" w:hAnsiTheme="minorAscii" w:eastAsiaTheme="minorAscii" w:cstheme="minorAscii"/>
          <w:b w:val="0"/>
          <w:bCs w:val="0"/>
          <w:i w:val="0"/>
          <w:iCs w:val="0"/>
          <w:noProof w:val="0"/>
          <w:sz w:val="22"/>
          <w:szCs w:val="22"/>
          <w:lang w:val="en-GB"/>
        </w:rPr>
        <w:t>. This phase encapsulates the comprehensive nature of their involvement, from the initiation of charges to the culmination of the legal process. It requires a deep understanding of the case, the defendant's background, and legal precedents to advocate for sentences that align with the principles of justice.</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p>
    <w:p w:rsidR="1447D874" w:rsidP="3D8459F3" w:rsidRDefault="1447D874" w14:paraId="7E2EF444" w14:textId="6CD7E44B">
      <w:pPr>
        <w:pStyle w:val="Normal"/>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3D8459F3" w:rsidR="1447D87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Crown Prosecutors must carefully assess factors such as the severity of the offense, any mitigating or aggravating circumstances, and the potential for rehabilitation. This phase of their role </w:t>
      </w:r>
      <w:bookmarkStart w:name="_Int_PgMQIssZ" w:id="1903878244"/>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showcases</w:t>
      </w:r>
      <w:bookmarkEnd w:id="1903878244"/>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their responsibility to ensure that the punishment is proportionate to the crime committed.</w:t>
      </w:r>
      <w:r w:rsidRPr="3D8459F3" w:rsidR="687466C5">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sentencing phase also underscores the Crown Prosecutor's role in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p</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roviding</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closure to victims and their families. Their advocacy for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a</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ppropriate sentences</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not only serves as a deterrent but also addresses the emotional impact that criminal activities can have on individuals and communities. This dimension of their role highlights their commitment to the well-being of </w:t>
      </w:r>
      <w:r w:rsidRPr="3D8459F3" w:rsidR="6497849B">
        <w:rPr>
          <w:rFonts w:ascii="Calibri" w:hAnsi="Calibri" w:eastAsia="Calibri" w:cs="Calibri" w:asciiTheme="minorAscii" w:hAnsiTheme="minorAscii" w:eastAsiaTheme="minorAscii" w:cstheme="minorAscii"/>
          <w:b w:val="0"/>
          <w:bCs w:val="0"/>
          <w:i w:val="0"/>
          <w:iCs w:val="0"/>
          <w:noProof w:val="0"/>
          <w:sz w:val="22"/>
          <w:szCs w:val="22"/>
          <w:lang w:val="en-GB"/>
        </w:rPr>
        <w:t>society, going</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beyond legal analysis to contribute to healing and restoration.</w:t>
      </w:r>
      <w:r w:rsidRPr="3D8459F3" w:rsidR="0921F42D">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Crown Prosecutor's role is deeply intertwined with the broader legal ecosystem. Their interactions with judges,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d</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efense</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attorneys, and court personnel demand effective communication and a nuanced understanding of the dynamics within the courtroom. This collaboration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f</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acilitates</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smooth progression of cases through the legal system, underscoring the importance of teamwork in ensuring the efficient administration of justice.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In today's digital age, the role of Crown Prosecutors also extends to managing the increasing volume of electronic evidence. Technological advancements present both opportunities and challenges, as digital evidence can significantly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i</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mpact</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outcome of cases. Crown Prosecutors must be equipped with the technical </w:t>
      </w:r>
      <w:r w:rsidRPr="3D8459F3" w:rsidR="1CD5D369">
        <w:rPr>
          <w:rFonts w:ascii="Calibri" w:hAnsi="Calibri" w:eastAsia="Calibri" w:cs="Calibri" w:asciiTheme="minorAscii" w:hAnsiTheme="minorAscii" w:eastAsiaTheme="minorAscii" w:cstheme="minorAscii"/>
          <w:b w:val="0"/>
          <w:bCs w:val="0"/>
          <w:i w:val="0"/>
          <w:iCs w:val="0"/>
          <w:noProof w:val="0"/>
          <w:sz w:val="22"/>
          <w:szCs w:val="22"/>
          <w:lang w:val="en-GB"/>
        </w:rPr>
        <w:t>knowledge</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29CF8194">
        <w:rPr>
          <w:rFonts w:ascii="Calibri" w:hAnsi="Calibri" w:eastAsia="Calibri" w:cs="Calibri" w:asciiTheme="minorAscii" w:hAnsiTheme="minorAscii" w:eastAsiaTheme="minorAscii" w:cstheme="minorAscii"/>
          <w:b w:val="0"/>
          <w:bCs w:val="0"/>
          <w:i w:val="0"/>
          <w:iCs w:val="0"/>
          <w:noProof w:val="0"/>
          <w:sz w:val="22"/>
          <w:szCs w:val="22"/>
          <w:lang w:val="en-GB"/>
        </w:rPr>
        <w:t>to navigate through digital trails while adhering to the legal standards for evidence admissibility.</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digital age has brought forth a deluge of electronic evidence, ranging from social media posts to intricate data trails. Ensuring the integrity and authenticity of such evidence is paramount, as it can significantly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impact</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outcome of a case.</w:t>
      </w:r>
    </w:p>
    <w:p w:rsidR="735AF8BC" w:rsidP="3D8459F3" w:rsidRDefault="735AF8BC" w14:paraId="1F818C80" w14:textId="7C5C5C4C">
      <w:pPr>
        <w:pStyle w:val="Normal"/>
        <w:jc w:val="left"/>
      </w:pPr>
      <w:r w:rsidRPr="3D8459F3" w:rsidR="735AF8BC">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The role of Crown Prosecutors in managing digital evidence involves several dimensions. Firstly, they must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possess</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a sound understanding of digital forensics, which enables them to extract, </w:t>
      </w:r>
      <w:r w:rsidRPr="3D8459F3" w:rsidR="28FF3ABC">
        <w:rPr>
          <w:rFonts w:ascii="Calibri" w:hAnsi="Calibri" w:eastAsia="Calibri" w:cs="Calibri" w:asciiTheme="minorAscii" w:hAnsiTheme="minorAscii" w:eastAsiaTheme="minorAscii" w:cstheme="minorAscii"/>
          <w:b w:val="0"/>
          <w:bCs w:val="0"/>
          <w:i w:val="0"/>
          <w:iCs w:val="0"/>
          <w:noProof w:val="0"/>
          <w:sz w:val="22"/>
          <w:szCs w:val="22"/>
          <w:lang w:val="en-GB"/>
        </w:rPr>
        <w:t>analyse</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and preserve electronic evidence in a manner that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maintains</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its credibility and reliability. This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expertise</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ensures that evidence is collected in a way that withstands legal scrutiny and challenges from the </w:t>
      </w:r>
      <w:r w:rsidRPr="3D8459F3" w:rsidR="43C553DE">
        <w:rPr>
          <w:rFonts w:ascii="Calibri" w:hAnsi="Calibri" w:eastAsia="Calibri" w:cs="Calibri" w:asciiTheme="minorAscii" w:hAnsiTheme="minorAscii" w:eastAsiaTheme="minorAscii" w:cstheme="minorAscii"/>
          <w:b w:val="0"/>
          <w:bCs w:val="0"/>
          <w:i w:val="0"/>
          <w:iCs w:val="0"/>
          <w:noProof w:val="0"/>
          <w:sz w:val="22"/>
          <w:szCs w:val="22"/>
          <w:lang w:val="en-GB"/>
        </w:rPr>
        <w:t>defence</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w:t>
      </w:r>
      <w:r w:rsidRPr="3D8459F3" w:rsidR="203FBC5D">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Additionally, Crown Prosecutors must navigate the complex legal landscape surrounding digital evidence. The evolving nature of technology often raises questions about data privacy, admissibility, and the ethical use of digital information. Striking a balance between harnessing the potential of digital evidence and safeguarding individual rights requires a deep understanding of relevant legislation and case law.</w:t>
      </w:r>
    </w:p>
    <w:p w:rsidR="1ABA3BAB" w:rsidP="3D8459F3" w:rsidRDefault="1ABA3BAB" w14:paraId="48426CE3" w14:textId="6A03AB35">
      <w:pPr>
        <w:pStyle w:val="Normal"/>
        <w:jc w:val="left"/>
      </w:pP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1A52EA1A">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Moreover, the emergence of cybercrime and its intricacies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necessitate</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a proactive approach on the part of Crown Prosecutors. The prosecution of cyber offenses requires a unique blend of legal acumen and technical insight. In these cases, Crown Prosecutors often collaborate closely with experts in cybersecurity to build robust cases that address the intricacies of digital crime.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As Crown Prosecutors continue to navigate the challenges posed by the digital era, their role intersects with broader conversations about the modernization of the legal system. This modernization involves the incorporation of technological tools and platforms that streamline processes, enhance evidence management, and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facilitate</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more efficient court proceedings. Crown Prosecutors are at the forefront of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utilizing</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these advancements to present cases more effectively and contribute to a more agile legal system.      </w:t>
      </w:r>
    </w:p>
    <w:p w:rsidR="1ABA3BAB" w:rsidP="3D8459F3" w:rsidRDefault="1ABA3BAB" w14:paraId="69033453" w14:textId="64FAFB7F">
      <w:pPr>
        <w:pStyle w:val="Normal"/>
        <w:jc w:val="left"/>
      </w:pP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170326EB">
        <w:rPr>
          <w:rFonts w:ascii="Calibri" w:hAnsi="Calibri" w:eastAsia="Calibri" w:cs="Calibri" w:asciiTheme="minorAscii" w:hAnsiTheme="minorAscii" w:eastAsiaTheme="minorAscii" w:cstheme="minorAscii"/>
          <w:b w:val="0"/>
          <w:bCs w:val="0"/>
          <w:i w:val="0"/>
          <w:iCs w:val="0"/>
          <w:noProof w:val="0"/>
          <w:sz w:val="22"/>
          <w:szCs w:val="22"/>
          <w:lang w:val="en-GB"/>
        </w:rPr>
        <w:t xml:space="preserve">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xml:space="preserve">In conclusion, the role of a Crown Prosecutor has evolved in response to the digital revolution, encompassing the nuanced management of electronic evidence and the integration of technology into legal proceedings. The demand for technical </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expertise</w:t>
      </w:r>
      <w:r w:rsidRPr="3D8459F3" w:rsidR="1ABA3BAB">
        <w:rPr>
          <w:rFonts w:ascii="Calibri" w:hAnsi="Calibri" w:eastAsia="Calibri" w:cs="Calibri" w:asciiTheme="minorAscii" w:hAnsiTheme="minorAscii" w:eastAsiaTheme="minorAscii" w:cstheme="minorAscii"/>
          <w:b w:val="0"/>
          <w:bCs w:val="0"/>
          <w:i w:val="0"/>
          <w:iCs w:val="0"/>
          <w:noProof w:val="0"/>
          <w:sz w:val="22"/>
          <w:szCs w:val="22"/>
          <w:lang w:val="en-GB"/>
        </w:rPr>
        <w:t>, coupled with a strong legal foundation, underscores the adaptability and complexity of the Crown Prosecutor's role. As technology continues to shape the landscape of criminal justice, Crown Prosecutors stand as guardians of both tradition and innovation, ensuring that justice is effectively served in an increasingly digital world.</w:t>
      </w:r>
      <w:r w:rsidRPr="3D8459F3" w:rsidR="7BA7AF7A">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Crown Prosecutor's commitment to justice extends into the very heart of society, contributing to the maintenance of law and order, the protection of individual rights, and the healing of communities affected by crime. Their </w:t>
      </w:r>
      <w:bookmarkStart w:name="_Int_xXj3xaE9" w:id="158619346"/>
      <w:r w:rsidRPr="3D8459F3" w:rsidR="7BA7AF7A">
        <w:rPr>
          <w:rFonts w:ascii="Calibri" w:hAnsi="Calibri" w:eastAsia="Calibri" w:cs="Calibri" w:asciiTheme="minorAscii" w:hAnsiTheme="minorAscii" w:eastAsiaTheme="minorAscii" w:cstheme="minorAscii"/>
          <w:b w:val="0"/>
          <w:bCs w:val="0"/>
          <w:i w:val="0"/>
          <w:iCs w:val="0"/>
          <w:noProof w:val="0"/>
          <w:sz w:val="22"/>
          <w:szCs w:val="22"/>
          <w:lang w:val="en-GB"/>
        </w:rPr>
        <w:t>holistic approach</w:t>
      </w:r>
      <w:bookmarkEnd w:id="158619346"/>
      <w:r w:rsidRPr="3D8459F3" w:rsidR="7BA7AF7A">
        <w:rPr>
          <w:rFonts w:ascii="Calibri" w:hAnsi="Calibri" w:eastAsia="Calibri" w:cs="Calibri" w:asciiTheme="minorAscii" w:hAnsiTheme="minorAscii" w:eastAsiaTheme="minorAscii" w:cstheme="minorAscii"/>
          <w:b w:val="0"/>
          <w:bCs w:val="0"/>
          <w:i w:val="0"/>
          <w:iCs w:val="0"/>
          <w:noProof w:val="0"/>
          <w:sz w:val="22"/>
          <w:szCs w:val="22"/>
          <w:lang w:val="en-GB"/>
        </w:rPr>
        <w:t xml:space="preserve">, which encompasses legal </w:t>
      </w:r>
      <w:r w:rsidRPr="3D8459F3" w:rsidR="7BA7AF7A">
        <w:rPr>
          <w:rFonts w:ascii="Calibri" w:hAnsi="Calibri" w:eastAsia="Calibri" w:cs="Calibri" w:asciiTheme="minorAscii" w:hAnsiTheme="minorAscii" w:eastAsiaTheme="minorAscii" w:cstheme="minorAscii"/>
          <w:b w:val="0"/>
          <w:bCs w:val="0"/>
          <w:i w:val="0"/>
          <w:iCs w:val="0"/>
          <w:noProof w:val="0"/>
          <w:sz w:val="22"/>
          <w:szCs w:val="22"/>
          <w:lang w:val="en-GB"/>
        </w:rPr>
        <w:t>expertise</w:t>
      </w:r>
      <w:r w:rsidRPr="3D8459F3" w:rsidR="7BA7AF7A">
        <w:rPr>
          <w:rFonts w:ascii="Calibri" w:hAnsi="Calibri" w:eastAsia="Calibri" w:cs="Calibri" w:asciiTheme="minorAscii" w:hAnsiTheme="minorAscii" w:eastAsiaTheme="minorAscii" w:cstheme="minorAscii"/>
          <w:b w:val="0"/>
          <w:bCs w:val="0"/>
          <w:i w:val="0"/>
          <w:iCs w:val="0"/>
          <w:noProof w:val="0"/>
          <w:sz w:val="22"/>
          <w:szCs w:val="22"/>
          <w:lang w:val="en-GB"/>
        </w:rPr>
        <w:t>, empathy, and collaboration, solidifies their position as essential pillars within the criminal justice system.</w:t>
      </w:r>
    </w:p>
    <w:p w:rsidR="13A912B3" w:rsidP="3D8459F3" w:rsidRDefault="13A912B3" w14:paraId="38A0158A" w14:textId="5BC8153A">
      <w:pPr>
        <w:pStyle w:val="Normal"/>
        <w:jc w:val="left"/>
        <w:rPr>
          <w:rFonts w:ascii="Calibri" w:hAnsi="Calibri" w:eastAsia="Calibri" w:cs="Calibri" w:asciiTheme="minorAscii" w:hAnsiTheme="minorAscii" w:eastAsiaTheme="minorAscii" w:cstheme="minorAscii"/>
          <w:b w:val="0"/>
          <w:bCs w:val="0"/>
          <w:i w:val="0"/>
          <w:iCs w:val="0"/>
          <w:noProof w:val="0"/>
          <w:sz w:val="22"/>
          <w:szCs w:val="22"/>
          <w:lang w:val="en-GB"/>
        </w:rPr>
      </w:pPr>
      <w:r w:rsidRPr="3D8459F3" w:rsidR="13A912B3">
        <w:rPr>
          <w:rFonts w:ascii="Calibri" w:hAnsi="Calibri" w:eastAsia="Calibri" w:cs="Calibri" w:asciiTheme="minorAscii" w:hAnsiTheme="minorAscii" w:eastAsiaTheme="minorAscii" w:cstheme="minorAscii"/>
          <w:b w:val="1"/>
          <w:bCs w:val="1"/>
          <w:i w:val="1"/>
          <w:iCs w:val="1"/>
          <w:noProof w:val="0"/>
          <w:sz w:val="28"/>
          <w:szCs w:val="28"/>
          <w:u w:val="single"/>
          <w:lang w:val="en-GB"/>
        </w:rPr>
        <w:t>Bibliography</w:t>
      </w:r>
    </w:p>
    <w:p w:rsidR="13A912B3" w:rsidP="3D8459F3" w:rsidRDefault="13A912B3" w14:paraId="5C9438D4" w14:textId="4C9D73C4">
      <w:pPr>
        <w:pStyle w:val="Normal"/>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3D8459F3" w:rsidR="13A912B3">
        <w:rPr>
          <w:rFonts w:ascii="Calibri" w:hAnsi="Calibri" w:eastAsia="Calibri" w:cs="Calibri" w:asciiTheme="minorAscii" w:hAnsiTheme="minorAscii" w:eastAsiaTheme="minorAscii" w:cstheme="minorAscii"/>
          <w:b w:val="0"/>
          <w:bCs w:val="0"/>
          <w:i w:val="0"/>
          <w:iCs w:val="0"/>
          <w:noProof w:val="0"/>
          <w:sz w:val="22"/>
          <w:szCs w:val="22"/>
          <w:u w:val="none"/>
          <w:lang w:val="en-GB"/>
        </w:rPr>
        <w:t>Ashworth, A., &amp; Redmayne, M. (Eds.). (2010). The Criminal Process. Oxford University Press.</w:t>
      </w:r>
    </w:p>
    <w:p w:rsidR="13A912B3" w:rsidP="3D8459F3" w:rsidRDefault="13A912B3" w14:paraId="418B2272" w14:textId="033B0713">
      <w:pPr>
        <w:pStyle w:val="Normal"/>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3D8459F3" w:rsidR="13A912B3">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Casey, E. (2018). Digital Evidence and Computer Crime: Forensic Science, </w:t>
      </w:r>
      <w:r w:rsidRPr="3D8459F3" w:rsidR="0851AD55">
        <w:rPr>
          <w:rFonts w:ascii="Calibri" w:hAnsi="Calibri" w:eastAsia="Calibri" w:cs="Calibri" w:asciiTheme="minorAscii" w:hAnsiTheme="minorAscii" w:eastAsiaTheme="minorAscii" w:cstheme="minorAscii"/>
          <w:b w:val="0"/>
          <w:bCs w:val="0"/>
          <w:i w:val="0"/>
          <w:iCs w:val="0"/>
          <w:noProof w:val="0"/>
          <w:sz w:val="22"/>
          <w:szCs w:val="22"/>
          <w:u w:val="none"/>
          <w:lang w:val="en-GB"/>
        </w:rPr>
        <w:t>Computers,</w:t>
      </w:r>
      <w:r w:rsidRPr="3D8459F3" w:rsidR="13A912B3">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and the Internet. Academic Press.                                                                                                                                                                            Dennis, I. (2006). A Fair Trial in a Criminal Case: The Meaning and Implication of Article 6 of the European Convention on Human Rights. Criminal Law Review, 5, 311-329</w:t>
      </w:r>
    </w:p>
    <w:p w:rsidR="31A06A7D" w:rsidP="3D8459F3" w:rsidRDefault="31A06A7D" w14:paraId="5F903918" w14:textId="522ECB38">
      <w:pPr>
        <w:pStyle w:val="Normal"/>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3D8459F3" w:rsidR="31A06A7D">
        <w:rPr>
          <w:rFonts w:ascii="Calibri" w:hAnsi="Calibri" w:eastAsia="Calibri" w:cs="Calibri" w:asciiTheme="minorAscii" w:hAnsiTheme="minorAscii" w:eastAsiaTheme="minorAscii" w:cstheme="minorAscii"/>
          <w:b w:val="0"/>
          <w:bCs w:val="0"/>
          <w:i w:val="0"/>
          <w:iCs w:val="0"/>
          <w:noProof w:val="0"/>
          <w:sz w:val="22"/>
          <w:szCs w:val="22"/>
          <w:u w:val="none"/>
          <w:lang w:val="en-GB"/>
        </w:rPr>
        <w:t>Edwards, R. (2011). The Prima Facie Case and the Allocation of Proof. Oxford Journal of Legal Studies, 31(4), 849-869</w:t>
      </w:r>
    </w:p>
    <w:p w:rsidR="31A06A7D" w:rsidP="3D8459F3" w:rsidRDefault="31A06A7D" w14:paraId="2AF56373" w14:textId="6D63D14B">
      <w:pPr>
        <w:pStyle w:val="Normal"/>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3D8459F3" w:rsidR="31A06A7D">
        <w:rPr>
          <w:rFonts w:ascii="Calibri" w:hAnsi="Calibri" w:eastAsia="Calibri" w:cs="Calibri" w:asciiTheme="minorAscii" w:hAnsiTheme="minorAscii" w:eastAsiaTheme="minorAscii" w:cstheme="minorAscii"/>
          <w:b w:val="0"/>
          <w:bCs w:val="0"/>
          <w:i w:val="0"/>
          <w:iCs w:val="0"/>
          <w:noProof w:val="0"/>
          <w:sz w:val="22"/>
          <w:szCs w:val="22"/>
          <w:u w:val="none"/>
          <w:lang w:val="en-GB"/>
        </w:rPr>
        <w:t>Kerr, I. R., &amp; Mann, M. (2006). Forensic Computing: A Practitioner's Guide. Springer.</w:t>
      </w:r>
    </w:p>
    <w:p w:rsidR="49ACC823" w:rsidP="3D8459F3" w:rsidRDefault="49ACC823" w14:paraId="1641A1A5" w14:textId="723C9A69">
      <w:pPr>
        <w:pStyle w:val="Normal"/>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3D8459F3" w:rsidR="49ACC823">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Susskind, R. (2009). The End of </w:t>
      </w:r>
      <w:r w:rsidRPr="3D8459F3" w:rsidR="49ACC823">
        <w:rPr>
          <w:rFonts w:ascii="Calibri" w:hAnsi="Calibri" w:eastAsia="Calibri" w:cs="Calibri" w:asciiTheme="minorAscii" w:hAnsiTheme="minorAscii" w:eastAsiaTheme="minorAscii" w:cstheme="minorAscii"/>
          <w:b w:val="0"/>
          <w:bCs w:val="0"/>
          <w:i w:val="0"/>
          <w:iCs w:val="0"/>
          <w:noProof w:val="0"/>
          <w:sz w:val="22"/>
          <w:szCs w:val="22"/>
          <w:u w:val="none"/>
          <w:lang w:val="en-GB"/>
        </w:rPr>
        <w:t>Lawyers?</w:t>
      </w:r>
      <w:r w:rsidRPr="3D8459F3" w:rsidR="49ACC823">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Rethinking the Nature of Legal Services. Oxford University Press.</w:t>
      </w:r>
    </w:p>
    <w:p w:rsidR="3D8459F3" w:rsidP="3D8459F3" w:rsidRDefault="3D8459F3" w14:paraId="0CA485C3" w14:textId="6BDDE749">
      <w:pPr>
        <w:pStyle w:val="Normal"/>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p>
    <w:p w:rsidR="13A912B3" w:rsidP="3D8459F3" w:rsidRDefault="13A912B3" w14:paraId="4FB26BB7" w14:textId="17614A9D">
      <w:pPr>
        <w:pStyle w:val="Normal"/>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r w:rsidRPr="3D8459F3" w:rsidR="13A912B3">
        <w:rPr>
          <w:rFonts w:ascii="Calibri" w:hAnsi="Calibri" w:eastAsia="Calibri" w:cs="Calibri" w:asciiTheme="minorAscii" w:hAnsiTheme="minorAscii" w:eastAsiaTheme="minorAscii" w:cstheme="minorAscii"/>
          <w:b w:val="0"/>
          <w:bCs w:val="0"/>
          <w:i w:val="0"/>
          <w:iCs w:val="0"/>
          <w:noProof w:val="0"/>
          <w:sz w:val="22"/>
          <w:szCs w:val="22"/>
          <w:u w:val="none"/>
          <w:lang w:val="en-GB"/>
        </w:rPr>
        <w:t xml:space="preserve">               </w:t>
      </w:r>
    </w:p>
    <w:p w:rsidR="3D8459F3" w:rsidP="3D8459F3" w:rsidRDefault="3D8459F3" w14:paraId="56514893" w14:textId="48572EC2">
      <w:pPr>
        <w:pStyle w:val="Normal"/>
        <w:jc w:val="left"/>
        <w:rPr>
          <w:rFonts w:ascii="Calibri" w:hAnsi="Calibri" w:eastAsia="Calibri" w:cs="Calibri" w:asciiTheme="minorAscii" w:hAnsiTheme="minorAscii" w:eastAsiaTheme="minorAscii" w:cstheme="minorAscii"/>
          <w:b w:val="0"/>
          <w:bCs w:val="0"/>
          <w:i w:val="0"/>
          <w:iCs w:val="0"/>
          <w:noProof w:val="0"/>
          <w:sz w:val="22"/>
          <w:szCs w:val="22"/>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PgMQIssZ" int2:invalidationBookmarkName="" int2:hashCode="UsqKFC5Kh9aiYm" int2:id="OHI7gYuc">
      <int2:state int2:type="AugLoop_Text_Critique" int2:value="Rejected"/>
    </int2:bookmark>
    <int2:bookmark int2:bookmarkName="_Int_xXj3xaE9" int2:invalidationBookmarkName="" int2:hashCode="eq6ParIDJ904oT" int2:id="QI7brSY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8AFB49"/>
    <w:rsid w:val="00AD716A"/>
    <w:rsid w:val="0238B982"/>
    <w:rsid w:val="0851AD55"/>
    <w:rsid w:val="0921F42D"/>
    <w:rsid w:val="0DFC2FC8"/>
    <w:rsid w:val="13A912B3"/>
    <w:rsid w:val="1447D874"/>
    <w:rsid w:val="170326EB"/>
    <w:rsid w:val="19D43033"/>
    <w:rsid w:val="1A52EA1A"/>
    <w:rsid w:val="1ABA3BAB"/>
    <w:rsid w:val="1CD5D369"/>
    <w:rsid w:val="1D0D648C"/>
    <w:rsid w:val="1D3A3754"/>
    <w:rsid w:val="1DF142D6"/>
    <w:rsid w:val="203FBC5D"/>
    <w:rsid w:val="233C69CD"/>
    <w:rsid w:val="278A530D"/>
    <w:rsid w:val="28FF3ABC"/>
    <w:rsid w:val="29CF8194"/>
    <w:rsid w:val="2D4D5412"/>
    <w:rsid w:val="3062B0FC"/>
    <w:rsid w:val="31A06A7D"/>
    <w:rsid w:val="330A6E64"/>
    <w:rsid w:val="33108C19"/>
    <w:rsid w:val="341FDEE6"/>
    <w:rsid w:val="3879DE5A"/>
    <w:rsid w:val="3A0B8B80"/>
    <w:rsid w:val="3A4CB931"/>
    <w:rsid w:val="3A8CFFF3"/>
    <w:rsid w:val="3ACD2B33"/>
    <w:rsid w:val="3BE88992"/>
    <w:rsid w:val="3C28D054"/>
    <w:rsid w:val="3C5E2571"/>
    <w:rsid w:val="3CCF136F"/>
    <w:rsid w:val="3D432C42"/>
    <w:rsid w:val="3D8459F3"/>
    <w:rsid w:val="3DC4A0B5"/>
    <w:rsid w:val="3F607116"/>
    <w:rsid w:val="43C553DE"/>
    <w:rsid w:val="4460A252"/>
    <w:rsid w:val="49ACC823"/>
    <w:rsid w:val="4C9687A5"/>
    <w:rsid w:val="5098721F"/>
    <w:rsid w:val="51D65D93"/>
    <w:rsid w:val="53722DF4"/>
    <w:rsid w:val="550DFE55"/>
    <w:rsid w:val="5A7A44DD"/>
    <w:rsid w:val="5AB7565C"/>
    <w:rsid w:val="5B7AB89A"/>
    <w:rsid w:val="5C0957CB"/>
    <w:rsid w:val="5C778E91"/>
    <w:rsid w:val="605CA91F"/>
    <w:rsid w:val="60817598"/>
    <w:rsid w:val="6497849B"/>
    <w:rsid w:val="66E4385A"/>
    <w:rsid w:val="687466C5"/>
    <w:rsid w:val="68AF3CB8"/>
    <w:rsid w:val="68BCC3EE"/>
    <w:rsid w:val="6994AE99"/>
    <w:rsid w:val="6A4B0D19"/>
    <w:rsid w:val="6A8B98BA"/>
    <w:rsid w:val="6CCC4F5B"/>
    <w:rsid w:val="6DC3397C"/>
    <w:rsid w:val="6E681FBC"/>
    <w:rsid w:val="6EE9942F"/>
    <w:rsid w:val="6F5F09DD"/>
    <w:rsid w:val="735AF8BC"/>
    <w:rsid w:val="738AFB49"/>
    <w:rsid w:val="754CC1BB"/>
    <w:rsid w:val="75B00398"/>
    <w:rsid w:val="7BA7AF7A"/>
    <w:rsid w:val="7D74578E"/>
    <w:rsid w:val="7E74F9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AFB49"/>
  <w15:chartTrackingRefBased/>
  <w15:docId w15:val="{903D858A-87B8-4D55-ADA4-CCD4A24E00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30527bfd79f46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2023-08-12T15:28:55.5941222Z</dcterms:created>
  <dcterms:modified xsi:type="dcterms:W3CDTF">2023-08-12T16:34:44.3194791Z</dcterms:modified>
  <dc:creator>Andrei Coman (2244459)</dc:creator>
  <lastModifiedBy>Andrei Coman (2244459)</lastModifiedBy>
</coreProperties>
</file>