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6D2EF1">
        <w:trPr>
          <w:trHeight w:val="3730"/>
        </w:trPr>
        <w:tc>
          <w:tcPr>
            <w:tcW w:w="10768" w:type="dxa"/>
          </w:tcPr>
          <w:p w14:paraId="02F8EE88" w14:textId="5C376E9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D2EF1" w:rsidRPr="006D2EF1">
              <w:rPr>
                <w:rFonts w:ascii="Times New Roman" w:hAnsi="Times New Roman" w:cs="Times New Roman"/>
                <w:bCs/>
                <w:color w:val="auto"/>
                <w:sz w:val="48"/>
              </w:rPr>
              <w:t>Helen Tanner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0E5DE7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6D2EF1" w:rsidRPr="006D2EF1">
              <w:rPr>
                <w:rFonts w:ascii="Times New Roman" w:hAnsi="Times New Roman" w:cs="Times New Roman"/>
                <w:bCs/>
                <w:color w:val="auto"/>
                <w:sz w:val="48"/>
              </w:rPr>
              <w:t>helen.tanner@powys.gov.uk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FF757E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D2EF1" w:rsidRPr="006D2EF1">
              <w:rPr>
                <w:rFonts w:ascii="Times New Roman" w:hAnsi="Times New Roman" w:cs="Times New Roman"/>
                <w:bCs/>
                <w:color w:val="auto"/>
                <w:sz w:val="48"/>
              </w:rPr>
              <w:t>2416654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1529D621" w14:textId="77777777" w:rsidR="006D2EF1" w:rsidRDefault="006D2EF1" w:rsidP="00FF7EBB">
            <w:pPr>
              <w:jc w:val="both"/>
              <w:rPr>
                <w:sz w:val="24"/>
                <w:szCs w:val="24"/>
              </w:rPr>
            </w:pPr>
          </w:p>
          <w:p w14:paraId="26CB6E40" w14:textId="77777777" w:rsidR="00637AD8" w:rsidRPr="00637AD8" w:rsidRDefault="00637AD8" w:rsidP="00637AD8">
            <w:pPr>
              <w:shd w:val="clear" w:color="auto" w:fill="FFFFFF"/>
              <w:overflowPunct/>
              <w:autoSpaceDE/>
              <w:autoSpaceDN/>
              <w:adjustRightInd/>
              <w:spacing w:line="276" w:lineRule="auto"/>
              <w:rPr>
                <w:rFonts w:ascii="Aptos" w:hAnsi="Aptos" w:cs="Segoe UI"/>
                <w:sz w:val="24"/>
                <w:szCs w:val="24"/>
                <w:bdr w:val="none" w:sz="0" w:space="0" w:color="auto" w:frame="1"/>
              </w:rPr>
            </w:pPr>
            <w:r w:rsidRPr="00637AD8">
              <w:rPr>
                <w:rFonts w:ascii="Aptos" w:hAnsi="Aptos" w:cs="Segoe UI"/>
                <w:sz w:val="24"/>
                <w:szCs w:val="24"/>
                <w:bdr w:val="none" w:sz="0" w:space="0" w:color="auto" w:frame="1"/>
              </w:rPr>
              <w:t>Safeguarding adults in Wales is underpinned by a strong legal and policy framework. Central to this is the Social Services and Well-being (Wales) Act 2014, which places a statutory duty on local authorities to protect individuals at risk. Part 7 of the Act introduces key responsibilities, including reporting concerns, conducting enquiries, and establishing Safeguarding Boards (Welsh Government, 2019). A core element is the Section 126 enquiry, requiring local authorities to act when there is reasonable cause to suspect risk. This mechanism reflects a proactive, preventative approach to safeguarding.</w:t>
            </w:r>
          </w:p>
          <w:p w14:paraId="65515A0D" w14:textId="77777777" w:rsidR="00637AD8" w:rsidRPr="00637AD8" w:rsidRDefault="00637AD8" w:rsidP="00637AD8">
            <w:pPr>
              <w:shd w:val="clear" w:color="auto" w:fill="FFFFFF"/>
              <w:overflowPunct/>
              <w:autoSpaceDE/>
              <w:autoSpaceDN/>
              <w:adjustRightInd/>
              <w:rPr>
                <w:rFonts w:ascii="Aptos" w:hAnsi="Aptos" w:cs="Segoe UI"/>
                <w:b/>
                <w:bCs/>
                <w:sz w:val="24"/>
                <w:szCs w:val="24"/>
                <w:u w:val="single"/>
                <w:bdr w:val="none" w:sz="0" w:space="0" w:color="auto" w:frame="1"/>
              </w:rPr>
            </w:pPr>
          </w:p>
          <w:p w14:paraId="7CF88587" w14:textId="77777777" w:rsidR="00637AD8" w:rsidRPr="00637AD8" w:rsidRDefault="00637AD8" w:rsidP="00637AD8">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7AD8">
              <w:rPr>
                <w:rFonts w:ascii="Aptos" w:eastAsia="Aptos" w:hAnsi="Aptos" w:cs="Times New Roman"/>
                <w:color w:val="auto"/>
                <w:kern w:val="2"/>
                <w:sz w:val="24"/>
                <w:szCs w:val="24"/>
                <w:lang w:eastAsia="en-US"/>
                <w14:ligatures w14:val="standardContextual"/>
              </w:rPr>
              <w:t>Section 126 enquiries are commonly initiated following concerns raised by professionals, relatives, or members of the public. Once initiated, the local authority must coordinate with relevant agencies to gather information, assess risk, and decide on appropriate interventions. This process is guided by the principle of proportionality, meaning that the response must be appropriate to the level of risk identified. The enquiries may lead to further assessments under Part 3 of the Act, the development of a care and support plan, or the implementation of safeguarding measures such as Adult Protection and Support Orders. Importantly, the individual at risk must be involved in the process wherever possible, with their views, wishes, and capacity considered throughout.</w:t>
            </w:r>
          </w:p>
          <w:p w14:paraId="65277FF5" w14:textId="77777777" w:rsidR="00637AD8" w:rsidRPr="00637AD8" w:rsidRDefault="00637AD8" w:rsidP="00637AD8">
            <w:pPr>
              <w:overflowPunct/>
              <w:autoSpaceDE/>
              <w:autoSpaceDN/>
              <w:adjustRightInd/>
              <w:spacing w:after="160" w:line="259" w:lineRule="auto"/>
              <w:textAlignment w:val="auto"/>
              <w:rPr>
                <w:rFonts w:ascii="Aptos" w:eastAsia="Aptos" w:hAnsi="Aptos" w:cs="Times New Roman"/>
                <w:color w:val="auto"/>
                <w:kern w:val="2"/>
                <w:sz w:val="24"/>
                <w:szCs w:val="24"/>
                <w:lang w:eastAsia="en-US"/>
                <w14:ligatures w14:val="standardContextual"/>
              </w:rPr>
            </w:pPr>
            <w:r w:rsidRPr="00637AD8">
              <w:rPr>
                <w:rFonts w:ascii="Aptos" w:eastAsia="Aptos" w:hAnsi="Aptos" w:cs="Times New Roman"/>
                <w:color w:val="auto"/>
                <w:kern w:val="2"/>
                <w:sz w:val="24"/>
                <w:szCs w:val="24"/>
                <w:lang w:eastAsia="en-US"/>
                <w14:ligatures w14:val="standardContextual"/>
              </w:rPr>
              <w:t>Complementing this is the Violence Against Women, Domestic Abuse and Sexual Violence (Wales) Act 2015, which aims to improve prevention, protection, and support for victims of abuse. Other relevant legislation includes the Mental Capacity Act 2005, which ensures that individuals who may lack capacity are safeguarded through appropriate decision-making processes, and the Care Standards Act 2000, which sets out standards for care services.</w:t>
            </w:r>
            <w:r w:rsidRPr="00637AD8">
              <w:rPr>
                <w:rFonts w:ascii="Aptos" w:eastAsia="Aptos" w:hAnsi="Aptos" w:cs="Times New Roman"/>
                <w:color w:val="auto"/>
                <w:kern w:val="2"/>
                <w:sz w:val="24"/>
                <w:szCs w:val="24"/>
                <w:lang w:eastAsia="en-US"/>
                <w14:ligatures w14:val="standardContextual"/>
              </w:rPr>
              <w:br/>
            </w:r>
            <w:r w:rsidRPr="00637AD8">
              <w:rPr>
                <w:rFonts w:ascii="Aptos" w:eastAsia="Aptos" w:hAnsi="Aptos" w:cs="Times New Roman"/>
                <w:color w:val="auto"/>
                <w:kern w:val="2"/>
                <w:sz w:val="24"/>
                <w:szCs w:val="24"/>
                <w:lang w:eastAsia="en-US"/>
                <w14:ligatures w14:val="standardContextual"/>
              </w:rPr>
              <w:lastRenderedPageBreak/>
              <w:br/>
              <w:t>At the national level, the Wales Safeguarding Procedures provide a unified approach to safeguarding across all sectors. These procedures guide practitioners in identifying, reporting, and responding to safeguarding concerns. They are designed to ensure consistency and clarity in safeguarding practice across Wales and are regularly updated to reflect legislative and policy changes (Social Care Wales, 2019). Locally, the council has developed a Corporate Safeguarding Policy outlining the responsibilities of councillors, employees, volunteers, and contracted service providers in safeguarding adults at risk. The policy reinforces that safeguarding is everyone’s responsibility and provides clear guidance on recognising abuse, reporting concerns, and responding to allegations. It also aligns with national legislation and procedures, ensuring that local practice meets statutory requirements (Local Authority, 2022).</w:t>
            </w:r>
          </w:p>
          <w:p w14:paraId="3764B3D8" w14:textId="77777777" w:rsidR="00637AD8" w:rsidRPr="00637AD8" w:rsidRDefault="00637AD8" w:rsidP="00637AD8">
            <w:pPr>
              <w:overflowPunct/>
              <w:autoSpaceDE/>
              <w:autoSpaceDN/>
              <w:adjustRightInd/>
              <w:spacing w:after="160" w:line="259" w:lineRule="auto"/>
              <w:textAlignment w:val="auto"/>
              <w:rPr>
                <w:rFonts w:ascii="Aptos" w:eastAsia="Aptos" w:hAnsi="Aptos" w:cs="Times New Roman"/>
                <w:color w:val="auto"/>
                <w:kern w:val="2"/>
                <w:sz w:val="24"/>
                <w:szCs w:val="24"/>
                <w:lang w:eastAsia="en-US"/>
                <w14:ligatures w14:val="standardContextual"/>
              </w:rPr>
            </w:pPr>
            <w:r w:rsidRPr="00637AD8">
              <w:rPr>
                <w:rFonts w:ascii="Aptos" w:eastAsia="Aptos" w:hAnsi="Aptos" w:cs="Times New Roman"/>
                <w:color w:val="auto"/>
                <w:kern w:val="2"/>
                <w:sz w:val="24"/>
                <w:szCs w:val="24"/>
                <w:lang w:eastAsia="en-US"/>
                <w14:ligatures w14:val="standardContextual"/>
              </w:rPr>
              <w:br/>
              <w:t>Organisationally, adult social care providers in Wales are expected to implement safeguarding procedures that reflect both national guidance and local policies. These include clear protocols for reporting concerns, conducting risk assessments, and planning interventions. Training is a key component, with staff required to understand safeguarding principles, recognise signs of abuse, and follow correct procedures. The Social Care Wales safeguarding training resources offer comprehensive materials to support practitioners, including guidance on consent, capacity, and responding to allegations against professionals (Social Care Wales, 2025).</w:t>
            </w:r>
            <w:r w:rsidRPr="00637AD8">
              <w:rPr>
                <w:rFonts w:ascii="Aptos" w:eastAsia="Aptos" w:hAnsi="Aptos" w:cs="Times New Roman"/>
                <w:color w:val="auto"/>
                <w:kern w:val="2"/>
                <w:sz w:val="24"/>
                <w:szCs w:val="24"/>
                <w:lang w:eastAsia="en-US"/>
                <w14:ligatures w14:val="standardContextual"/>
              </w:rPr>
              <w:br/>
            </w:r>
            <w:r w:rsidRPr="00637AD8">
              <w:rPr>
                <w:rFonts w:ascii="Aptos" w:eastAsia="Aptos" w:hAnsi="Aptos" w:cs="Times New Roman"/>
                <w:color w:val="auto"/>
                <w:kern w:val="2"/>
                <w:sz w:val="24"/>
                <w:szCs w:val="24"/>
                <w:lang w:eastAsia="en-US"/>
                <w14:ligatures w14:val="standardContextual"/>
              </w:rPr>
              <w:br/>
              <w:t>To conclude, safeguarding adults in Wales is underpinned by a well-integrated system of legislation, national procedures, and local and organisational policies. The emphasis on collaborative working, person-centred practice, and practitioners having continuous professional development ensures that adults at risk receive the protection and support they need. For social workers and other professionals, understanding and applying these frameworks is essential to fulfilling their duty of care and promoting the safety and well-being of vulnerable individuals.</w:t>
            </w:r>
          </w:p>
          <w:p w14:paraId="2D543724" w14:textId="77777777" w:rsidR="00637AD8" w:rsidRPr="00637AD8" w:rsidRDefault="00637AD8" w:rsidP="00637AD8">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637AD8">
              <w:rPr>
                <w:rFonts w:ascii="Aptos" w:eastAsia="Aptos" w:hAnsi="Aptos" w:cs="Times New Roman"/>
                <w:color w:val="auto"/>
                <w:kern w:val="2"/>
                <w:sz w:val="24"/>
                <w:szCs w:val="24"/>
                <w:lang w:eastAsia="en-US"/>
                <w14:ligatures w14:val="standardContextual"/>
              </w:rPr>
              <w:t>Words: 541</w:t>
            </w:r>
          </w:p>
          <w:p w14:paraId="3CFE99D2" w14:textId="77777777" w:rsidR="006D2EF1" w:rsidRDefault="006D2EF1" w:rsidP="00FF7EBB">
            <w:pPr>
              <w:jc w:val="both"/>
              <w:rPr>
                <w:sz w:val="24"/>
                <w:szCs w:val="24"/>
              </w:rPr>
            </w:pPr>
          </w:p>
          <w:p w14:paraId="104C98F7" w14:textId="77777777" w:rsidR="006D2EF1" w:rsidRDefault="006D2EF1"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41A8B227" w14:textId="77777777" w:rsidR="00637AD8" w:rsidRDefault="00637AD8" w:rsidP="00FC0334">
            <w:pPr>
              <w:jc w:val="both"/>
              <w:rPr>
                <w:i/>
                <w:sz w:val="24"/>
                <w:szCs w:val="24"/>
              </w:rPr>
            </w:pPr>
          </w:p>
          <w:p w14:paraId="4410EAC2" w14:textId="77777777" w:rsidR="000D3A3C" w:rsidRPr="000D3A3C" w:rsidRDefault="000D3A3C" w:rsidP="000D3A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0D3A3C">
              <w:rPr>
                <w:rFonts w:ascii="Aptos" w:eastAsia="Aptos" w:hAnsi="Aptos" w:cs="Times New Roman"/>
                <w:color w:val="auto"/>
                <w:kern w:val="2"/>
                <w:sz w:val="24"/>
                <w:szCs w:val="24"/>
                <w:lang w:eastAsia="en-US"/>
                <w14:ligatures w14:val="standardContextual"/>
              </w:rPr>
              <w:lastRenderedPageBreak/>
              <w:t>Safeguarding in Wales is governed by the Social Services and Well-being (Wales) Act 2014, which provides a unified legislative framework for protecting children and adults at risk. While the overarching principles such as prevention, protection, and partnership apply to both groups, the practical implementation and legal responsibilities differ significantly.</w:t>
            </w:r>
          </w:p>
          <w:p w14:paraId="580AF55C" w14:textId="77777777" w:rsidR="000D3A3C" w:rsidRPr="000D3A3C" w:rsidRDefault="000D3A3C" w:rsidP="000D3A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0D3A3C">
              <w:rPr>
                <w:rFonts w:ascii="Aptos" w:eastAsia="Aptos" w:hAnsi="Aptos" w:cs="Times New Roman"/>
                <w:color w:val="auto"/>
                <w:kern w:val="2"/>
                <w:sz w:val="24"/>
                <w:szCs w:val="24"/>
                <w:lang w:eastAsia="en-US"/>
                <w14:ligatures w14:val="standardContextual"/>
              </w:rPr>
              <w:t>A key distinction lies in the definition of vulnerability. Individuals under eighteen are considered children and automatically fall within safeguarding responsibilities. In contrast, adults are only considered “at risk” if they have care and support needs and are unable to protect themselves from abuse or neglect (NHS Wales, 2014). This means safeguarding for children is universal and proactive, whereas adult safeguarding is more targeted and reactive. Another difference is the role of consent. In children’s safeguarding, professionals have a duty to act even without the child’s consent if there is a risk of harm. For adults, safeguarding is more autonomy focused. Adults have the right to make unwise decisions, and intervention generally requires their consent unless they lack capacity or others are at risk (Public Health Wales, 2016).</w:t>
            </w:r>
          </w:p>
          <w:p w14:paraId="37739EF1" w14:textId="77777777" w:rsidR="000D3A3C" w:rsidRPr="000D3A3C" w:rsidRDefault="000D3A3C" w:rsidP="000D3A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0D3A3C">
              <w:rPr>
                <w:rFonts w:ascii="Aptos" w:eastAsia="Aptos" w:hAnsi="Aptos" w:cs="Times New Roman"/>
                <w:color w:val="auto"/>
                <w:kern w:val="2"/>
                <w:sz w:val="24"/>
                <w:szCs w:val="24"/>
                <w:lang w:eastAsia="en-US"/>
                <w14:ligatures w14:val="standardContextual"/>
              </w:rPr>
              <w:t>Procedurally, children’s safeguarding involves child protection conferences, core groups, and care planning. Adult safeguarding centres around Section 126 enquiries, adult protection support orders, and multi-agency risk assessments (Safeguarding Board Wales, 2020). These reflect the different legal thresholds and decision-making processes involved. The focus of safeguarding practice also differs. Children’s safeguarding often involves more structured multi-agency coordination, including education, health, and police. Adult safeguarding tends to be more person-centred, respecting the individual's right to self-determination and focusing on empowerment and independence (NHS Wales, 2014). The language and terminology used in safeguarding also reflect these differences. For example, the term “vulnerable adult” has been replaced with “adult at risk” to emphasise the potential for early intervention and to avoid stigmatisation (Public Health Wales, 2016).</w:t>
            </w:r>
          </w:p>
          <w:p w14:paraId="69A55931" w14:textId="77777777" w:rsidR="000D3A3C" w:rsidRPr="000D3A3C" w:rsidRDefault="000D3A3C" w:rsidP="000D3A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0D3A3C">
              <w:rPr>
                <w:rFonts w:ascii="Aptos" w:eastAsia="Aptos" w:hAnsi="Aptos" w:cs="Times New Roman"/>
                <w:color w:val="auto"/>
                <w:kern w:val="2"/>
                <w:sz w:val="24"/>
                <w:szCs w:val="24"/>
                <w:lang w:eastAsia="en-US"/>
                <w14:ligatures w14:val="standardContextual"/>
              </w:rPr>
              <w:t>Gillick competence is a key concept in children’s safeguarding, allowing those with sufficient maturity to make decisions about their care without parental consent. Recognised in Wales, it supports a child-centred approach that respects emerging autonomy (NSPCC, 2023). In contrast, adult safeguarding follows the </w:t>
            </w:r>
            <w:r w:rsidRPr="000D3A3C">
              <w:rPr>
                <w:rFonts w:ascii="Aptos" w:eastAsia="Aptos" w:hAnsi="Aptos" w:cs="Times New Roman"/>
                <w:i/>
                <w:iCs/>
                <w:color w:val="auto"/>
                <w:kern w:val="2"/>
                <w:sz w:val="24"/>
                <w:szCs w:val="24"/>
                <w:lang w:eastAsia="en-US"/>
                <w14:ligatures w14:val="standardContextual"/>
              </w:rPr>
              <w:t>Mental Capacity Act 2005</w:t>
            </w:r>
            <w:r w:rsidRPr="000D3A3C">
              <w:rPr>
                <w:rFonts w:ascii="Aptos" w:eastAsia="Aptos" w:hAnsi="Aptos" w:cs="Times New Roman"/>
                <w:color w:val="auto"/>
                <w:kern w:val="2"/>
                <w:sz w:val="24"/>
                <w:szCs w:val="24"/>
                <w:lang w:eastAsia="en-US"/>
                <w14:ligatures w14:val="standardContextual"/>
              </w:rPr>
              <w:t>, which assumes capacity unless proven otherwise and protects the right to make unwise decisions. While children are assessed for Gillick competence, adults are assessed for mental capacity—highlighting a fundamental difference in how autonomy is approached.</w:t>
            </w:r>
          </w:p>
          <w:p w14:paraId="075B9E3F" w14:textId="77777777" w:rsidR="000D3A3C" w:rsidRPr="000D3A3C" w:rsidRDefault="000D3A3C" w:rsidP="000D3A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0D3A3C">
              <w:rPr>
                <w:rFonts w:ascii="Aptos" w:eastAsia="Aptos" w:hAnsi="Aptos" w:cs="Times New Roman"/>
                <w:color w:val="auto"/>
                <w:kern w:val="2"/>
                <w:sz w:val="24"/>
                <w:szCs w:val="24"/>
                <w:lang w:eastAsia="en-US"/>
                <w14:ligatures w14:val="standardContextual"/>
              </w:rPr>
              <w:t xml:space="preserve">Reflecting on these differences highlights the importance of tailored approaches in safeguarding. As a social worker, understanding these nuances ensures interventions are legally compliant, ethically sound, and responsive to the unique needs of individuals. </w:t>
            </w:r>
          </w:p>
          <w:p w14:paraId="60D28A83" w14:textId="77777777" w:rsidR="000D3A3C" w:rsidRPr="000D3A3C" w:rsidRDefault="000D3A3C" w:rsidP="000D3A3C">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0D3A3C">
              <w:rPr>
                <w:rFonts w:ascii="Aptos" w:eastAsia="Aptos" w:hAnsi="Aptos" w:cs="Times New Roman"/>
                <w:color w:val="auto"/>
                <w:kern w:val="2"/>
                <w:sz w:val="24"/>
                <w:szCs w:val="24"/>
                <w:lang w:eastAsia="en-US"/>
                <w14:ligatures w14:val="standardContextual"/>
              </w:rPr>
              <w:t>Words: 416</w:t>
            </w:r>
          </w:p>
          <w:p w14:paraId="1ED98220" w14:textId="77777777" w:rsidR="00637AD8" w:rsidRDefault="00637AD8"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996160" w14:textId="77777777" w:rsidR="00B93F0C" w:rsidRDefault="00B93F0C">
      <w:r>
        <w:separator/>
      </w:r>
    </w:p>
  </w:endnote>
  <w:endnote w:type="continuationSeparator" w:id="0">
    <w:p w14:paraId="7764D3AF" w14:textId="77777777" w:rsidR="00B93F0C" w:rsidRDefault="00B93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5F5662" w14:textId="77777777" w:rsidR="00B93F0C" w:rsidRDefault="00B93F0C">
      <w:r>
        <w:separator/>
      </w:r>
    </w:p>
  </w:footnote>
  <w:footnote w:type="continuationSeparator" w:id="0">
    <w:p w14:paraId="4428599F" w14:textId="77777777" w:rsidR="00B93F0C" w:rsidRDefault="00B93F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3A3C"/>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47B54"/>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7AD8"/>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2EF1"/>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3F0C"/>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12AB"/>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1243</Words>
  <Characters>7090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Tanner</cp:lastModifiedBy>
  <cp:revision>5</cp:revision>
  <cp:lastPrinted>2020-02-11T19:20:00Z</cp:lastPrinted>
  <dcterms:created xsi:type="dcterms:W3CDTF">2025-10-02T16:46:00Z</dcterms:created>
  <dcterms:modified xsi:type="dcterms:W3CDTF">2025-10-02T16:49:00Z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