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5730C" w14:textId="4426BD35" w:rsidR="00B461C1" w:rsidRPr="007819B2" w:rsidRDefault="00B461C1" w:rsidP="00B461C1">
      <w:pPr>
        <w:rPr>
          <w:rFonts w:ascii="Arial" w:hAnsi="Arial" w:cs="Arial"/>
          <w:b/>
          <w:bCs/>
        </w:rPr>
      </w:pPr>
      <w:r>
        <w:rPr>
          <w:rFonts w:ascii="Arial" w:hAnsi="Arial" w:cs="Arial"/>
          <w:b/>
          <w:bCs/>
        </w:rPr>
        <w:t xml:space="preserve">                             </w:t>
      </w:r>
      <w:r w:rsidRPr="007819B2">
        <w:rPr>
          <w:rFonts w:ascii="Arial" w:hAnsi="Arial" w:cs="Arial"/>
          <w:b/>
          <w:bCs/>
        </w:rPr>
        <w:t>Student Name: Amreen Sarmad</w:t>
      </w:r>
    </w:p>
    <w:p w14:paraId="0E5B462A" w14:textId="77777777" w:rsidR="00B461C1" w:rsidRPr="007819B2" w:rsidRDefault="00B461C1" w:rsidP="00B461C1">
      <w:pPr>
        <w:rPr>
          <w:rFonts w:ascii="Arial" w:hAnsi="Arial" w:cs="Arial"/>
          <w:b/>
          <w:bCs/>
        </w:rPr>
      </w:pPr>
      <w:r w:rsidRPr="007819B2">
        <w:rPr>
          <w:rFonts w:ascii="Arial" w:hAnsi="Arial" w:cs="Arial"/>
          <w:b/>
          <w:bCs/>
        </w:rPr>
        <w:t xml:space="preserve">                             Student Number: 2421320</w:t>
      </w:r>
    </w:p>
    <w:p w14:paraId="5E9F7294" w14:textId="77777777" w:rsidR="00B461C1" w:rsidRPr="007819B2" w:rsidRDefault="00B461C1" w:rsidP="00B461C1">
      <w:pPr>
        <w:rPr>
          <w:rFonts w:ascii="Arial" w:hAnsi="Arial" w:cs="Arial"/>
          <w:b/>
          <w:bCs/>
        </w:rPr>
      </w:pPr>
      <w:r w:rsidRPr="007819B2">
        <w:rPr>
          <w:rFonts w:ascii="Arial" w:hAnsi="Arial" w:cs="Arial"/>
          <w:b/>
          <w:bCs/>
        </w:rPr>
        <w:t xml:space="preserve">                             L</w:t>
      </w:r>
      <w:r>
        <w:rPr>
          <w:rFonts w:ascii="Arial" w:hAnsi="Arial" w:cs="Arial"/>
          <w:b/>
          <w:bCs/>
        </w:rPr>
        <w:t>ecturer</w:t>
      </w:r>
      <w:r w:rsidRPr="007819B2">
        <w:rPr>
          <w:rFonts w:ascii="Arial" w:hAnsi="Arial" w:cs="Arial"/>
          <w:b/>
          <w:bCs/>
        </w:rPr>
        <w:t xml:space="preserve"> N</w:t>
      </w:r>
      <w:r>
        <w:rPr>
          <w:rFonts w:ascii="Arial" w:hAnsi="Arial" w:cs="Arial"/>
          <w:b/>
          <w:bCs/>
        </w:rPr>
        <w:t>ame</w:t>
      </w:r>
      <w:r w:rsidRPr="007819B2">
        <w:rPr>
          <w:rFonts w:ascii="Arial" w:hAnsi="Arial" w:cs="Arial"/>
          <w:b/>
          <w:bCs/>
        </w:rPr>
        <w:t xml:space="preserve">: </w:t>
      </w:r>
      <w:r>
        <w:rPr>
          <w:rFonts w:ascii="Arial" w:hAnsi="Arial" w:cs="Arial"/>
          <w:b/>
          <w:bCs/>
        </w:rPr>
        <w:t xml:space="preserve">DR. </w:t>
      </w:r>
      <w:r w:rsidRPr="00234A03">
        <w:rPr>
          <w:rFonts w:ascii="Arial" w:hAnsi="Arial" w:cs="Arial"/>
          <w:b/>
          <w:bCs/>
        </w:rPr>
        <w:t>Kennedy Obohwemu</w:t>
      </w:r>
    </w:p>
    <w:p w14:paraId="25FB6FE2" w14:textId="48D1B615" w:rsidR="00B461C1" w:rsidRDefault="00B461C1" w:rsidP="00B461C1">
      <w:pPr>
        <w:rPr>
          <w:rFonts w:ascii="Arial" w:hAnsi="Arial" w:cs="Arial"/>
          <w:b/>
          <w:bCs/>
        </w:rPr>
      </w:pPr>
      <w:r w:rsidRPr="007819B2">
        <w:rPr>
          <w:rFonts w:ascii="Arial" w:hAnsi="Arial" w:cs="Arial"/>
          <w:b/>
          <w:bCs/>
        </w:rPr>
        <w:t xml:space="preserve">                            </w:t>
      </w:r>
      <w:r w:rsidR="00C55D29">
        <w:rPr>
          <w:rFonts w:ascii="Arial" w:hAnsi="Arial" w:cs="Arial"/>
          <w:b/>
          <w:bCs/>
        </w:rPr>
        <w:t xml:space="preserve"> </w:t>
      </w:r>
      <w:r w:rsidRPr="007819B2">
        <w:rPr>
          <w:rFonts w:ascii="Arial" w:hAnsi="Arial" w:cs="Arial"/>
          <w:b/>
          <w:bCs/>
        </w:rPr>
        <w:t xml:space="preserve"> Module Code</w:t>
      </w:r>
      <w:r>
        <w:rPr>
          <w:rFonts w:ascii="Arial" w:hAnsi="Arial" w:cs="Arial"/>
          <w:b/>
          <w:bCs/>
        </w:rPr>
        <w:t xml:space="preserve">: </w:t>
      </w:r>
      <w:r w:rsidRPr="0082134A">
        <w:rPr>
          <w:rFonts w:ascii="Arial" w:hAnsi="Arial" w:cs="Arial"/>
          <w:b/>
          <w:bCs/>
        </w:rPr>
        <w:t>BMHP5016</w:t>
      </w:r>
    </w:p>
    <w:p w14:paraId="4FC25136" w14:textId="77777777" w:rsidR="00C55D29" w:rsidRDefault="00C55D29" w:rsidP="00B461C1">
      <w:pPr>
        <w:rPr>
          <w:rFonts w:ascii="Arial" w:hAnsi="Arial" w:cs="Arial"/>
          <w:b/>
          <w:bCs/>
        </w:rPr>
      </w:pPr>
    </w:p>
    <w:p w14:paraId="1484E1A8" w14:textId="77777777" w:rsidR="00C55D29" w:rsidRPr="0082134A" w:rsidRDefault="00C55D29" w:rsidP="00B461C1">
      <w:pPr>
        <w:rPr>
          <w:rFonts w:ascii="Arial" w:hAnsi="Arial" w:cs="Arial"/>
          <w:b/>
          <w:bCs/>
        </w:rPr>
      </w:pPr>
    </w:p>
    <w:p w14:paraId="10C036C2" w14:textId="77777777" w:rsidR="00B461C1" w:rsidRDefault="00B461C1" w:rsidP="00B461C1">
      <w:pPr>
        <w:rPr>
          <w:rFonts w:ascii="Arial" w:hAnsi="Arial" w:cs="Arial"/>
          <w:b/>
          <w:bCs/>
        </w:rPr>
      </w:pPr>
    </w:p>
    <w:p w14:paraId="069ACB59" w14:textId="77777777" w:rsidR="00B461C1" w:rsidRDefault="00B461C1" w:rsidP="00B461C1">
      <w:pPr>
        <w:rPr>
          <w:rFonts w:ascii="Arial" w:hAnsi="Arial" w:cs="Arial"/>
          <w:b/>
          <w:bCs/>
        </w:rPr>
      </w:pPr>
    </w:p>
    <w:p w14:paraId="3F98A544" w14:textId="77777777" w:rsidR="00B461C1" w:rsidRDefault="00B461C1" w:rsidP="00B461C1">
      <w:pPr>
        <w:rPr>
          <w:rFonts w:ascii="Arial" w:hAnsi="Arial" w:cs="Arial"/>
          <w:b/>
          <w:bCs/>
        </w:rPr>
      </w:pPr>
    </w:p>
    <w:p w14:paraId="1808E7CB" w14:textId="77777777" w:rsidR="00B461C1" w:rsidRDefault="00B461C1" w:rsidP="00B461C1">
      <w:pPr>
        <w:rPr>
          <w:rFonts w:ascii="Arial" w:hAnsi="Arial" w:cs="Arial"/>
          <w:b/>
          <w:bCs/>
        </w:rPr>
      </w:pPr>
    </w:p>
    <w:p w14:paraId="2D82A01E" w14:textId="77777777" w:rsidR="00B461C1" w:rsidRDefault="00B461C1" w:rsidP="00B461C1">
      <w:pPr>
        <w:rPr>
          <w:rFonts w:ascii="Arial" w:hAnsi="Arial" w:cs="Arial"/>
          <w:b/>
          <w:bCs/>
        </w:rPr>
      </w:pPr>
    </w:p>
    <w:p w14:paraId="191A3D6E" w14:textId="28B11BC2" w:rsidR="00B461C1" w:rsidRPr="00B461C1" w:rsidRDefault="00B461C1" w:rsidP="00B461C1">
      <w:pPr>
        <w:rPr>
          <w:rFonts w:ascii="Arial" w:hAnsi="Arial" w:cs="Arial"/>
          <w:b/>
          <w:bCs/>
        </w:rPr>
      </w:pPr>
      <w:r w:rsidRPr="00B461C1">
        <w:rPr>
          <w:rFonts w:ascii="Arial" w:hAnsi="Arial" w:cs="Arial"/>
          <w:b/>
          <w:bCs/>
        </w:rPr>
        <w:t>An Evaluation of Person-Centred Care and Partnership Working within Community Mental Health Services in the UK</w:t>
      </w:r>
    </w:p>
    <w:p w14:paraId="1EB373DD" w14:textId="77777777" w:rsidR="00B461C1" w:rsidRPr="00B461C1" w:rsidRDefault="00B461C1" w:rsidP="00B461C1">
      <w:pPr>
        <w:rPr>
          <w:rFonts w:ascii="Arial" w:hAnsi="Arial" w:cs="Arial"/>
          <w:b/>
          <w:bCs/>
        </w:rPr>
      </w:pPr>
      <w:r w:rsidRPr="00B461C1">
        <w:rPr>
          <w:rFonts w:ascii="Arial" w:hAnsi="Arial" w:cs="Arial"/>
          <w:b/>
          <w:bCs/>
        </w:rPr>
        <w:t>Abstract</w:t>
      </w:r>
    </w:p>
    <w:p w14:paraId="6570A306" w14:textId="77777777" w:rsidR="00B461C1" w:rsidRPr="00B461C1" w:rsidRDefault="00B461C1" w:rsidP="00B461C1">
      <w:pPr>
        <w:rPr>
          <w:rFonts w:ascii="Arial" w:hAnsi="Arial" w:cs="Arial"/>
        </w:rPr>
      </w:pPr>
      <w:r w:rsidRPr="00B461C1">
        <w:rPr>
          <w:rFonts w:ascii="Arial" w:hAnsi="Arial" w:cs="Arial"/>
        </w:rPr>
        <w:t>Person-centred care (PCC) and partnership working (PW) are fundamental principles underpinning contemporary health and social care practice in the United Kingdom. PCC promotes the delivery of care that recognises individuals' unique needs, values and preferences, while PW involves collaboration between professionals, organisations, service users and carers to achieve positive outcomes. This report evaluates PCC and PW within the context of community mental health services. The report defines PCC and explores its benefits and limitations before critically examining Maslow's Hierarchy of Needs and Bronfenbrenner's Ecological Systems Theory as frameworks underpinning person-centred practice. Ethical principles including autonomy, beneficence, non-maleficence and justice are analysed in relation to both PCC and PW. The report further evaluates the role of partnership working and examines the influence of key legislation and policies on practice. Findings suggest that both PCC and PW contribute significantly to improved service-user outcomes, although challenges such as workforce pressures, communication barriers and limited resources continue to affect implementation. Recommendations include increasing the use of digital technology, strengthening staff training and improving integrated service delivery. The report concludes that PCC and PW are essential for delivering effective, holistic and coordinated mental health care within the UK.</w:t>
      </w:r>
    </w:p>
    <w:p w14:paraId="146A522B" w14:textId="77777777" w:rsidR="0009059E" w:rsidRDefault="0009059E" w:rsidP="00B461C1">
      <w:pPr>
        <w:rPr>
          <w:rFonts w:ascii="Arial" w:hAnsi="Arial" w:cs="Arial"/>
        </w:rPr>
      </w:pPr>
    </w:p>
    <w:p w14:paraId="68301FFF" w14:textId="731554FD" w:rsidR="00B461C1" w:rsidRPr="0009059E" w:rsidRDefault="00B461C1" w:rsidP="00B461C1">
      <w:pPr>
        <w:rPr>
          <w:rFonts w:ascii="Arial" w:hAnsi="Arial" w:cs="Arial"/>
        </w:rPr>
      </w:pPr>
      <w:r w:rsidRPr="00B461C1">
        <w:rPr>
          <w:rFonts w:ascii="Arial" w:hAnsi="Arial" w:cs="Arial"/>
          <w:b/>
          <w:bCs/>
        </w:rPr>
        <w:t>Introduction</w:t>
      </w:r>
    </w:p>
    <w:p w14:paraId="19487B31" w14:textId="77777777" w:rsidR="00B461C1" w:rsidRPr="00B461C1" w:rsidRDefault="00B461C1" w:rsidP="00B461C1">
      <w:pPr>
        <w:rPr>
          <w:rFonts w:ascii="Arial" w:hAnsi="Arial" w:cs="Arial"/>
        </w:rPr>
      </w:pPr>
      <w:r w:rsidRPr="00B461C1">
        <w:rPr>
          <w:rFonts w:ascii="Arial" w:hAnsi="Arial" w:cs="Arial"/>
        </w:rPr>
        <w:t>Health and social care services have increasingly moved towards approaches that place individuals at the centre of care and encourage collaboration between professionals and organisations. Person-centred care (PCC) and partnership working (PW) are therefore recognised as key components of high-quality service delivery. Both approaches seek to improve outcomes by ensuring services meet individual needs while promoting collaborative decision-making and integrated support.</w:t>
      </w:r>
    </w:p>
    <w:p w14:paraId="0CAABC74" w14:textId="77777777" w:rsidR="00B461C1" w:rsidRPr="00B461C1" w:rsidRDefault="00B461C1" w:rsidP="00B461C1">
      <w:pPr>
        <w:rPr>
          <w:rFonts w:ascii="Arial" w:hAnsi="Arial" w:cs="Arial"/>
        </w:rPr>
      </w:pPr>
      <w:r w:rsidRPr="00B461C1">
        <w:rPr>
          <w:rFonts w:ascii="Arial" w:hAnsi="Arial" w:cs="Arial"/>
        </w:rPr>
        <w:t xml:space="preserve">This report evaluates PCC and PW within community mental health services. Community mental health services have been selected because they provide support to individuals with </w:t>
      </w:r>
      <w:r w:rsidRPr="00B461C1">
        <w:rPr>
          <w:rFonts w:ascii="Arial" w:hAnsi="Arial" w:cs="Arial"/>
        </w:rPr>
        <w:lastRenderedPageBreak/>
        <w:t>complex needs that often require coordinated input from health professionals, social care practitioners, carers and voluntary organisations. The report begins by defining PCC and discussing its benefits and limitations. It then critically examines two theories that underpin PCC: Maslow's Hierarchy of Needs and Bronfenbrenner's Ecological Systems Theory. Ethical principles relevant to health and social care are analysed before evaluating the role of partnership working within community mental health services. The report further explores legislation and policy supporting PCC and PW before presenting recommendations for future development within the UK. Throughout the report, emphasis is placed on how PCC and PW work together to improve service-user experiences and outcomes.</w:t>
      </w:r>
    </w:p>
    <w:p w14:paraId="1E974F2C" w14:textId="77777777" w:rsidR="0009059E" w:rsidRDefault="0009059E" w:rsidP="00B461C1">
      <w:pPr>
        <w:rPr>
          <w:rFonts w:ascii="Arial" w:hAnsi="Arial" w:cs="Arial"/>
        </w:rPr>
      </w:pPr>
    </w:p>
    <w:p w14:paraId="2F5A3873" w14:textId="31BC445C" w:rsidR="00B461C1" w:rsidRPr="0009059E" w:rsidRDefault="00B461C1" w:rsidP="00B461C1">
      <w:pPr>
        <w:rPr>
          <w:rFonts w:ascii="Arial" w:hAnsi="Arial" w:cs="Arial"/>
        </w:rPr>
      </w:pPr>
      <w:r w:rsidRPr="00B461C1">
        <w:rPr>
          <w:rFonts w:ascii="Arial" w:hAnsi="Arial" w:cs="Arial"/>
          <w:b/>
          <w:bCs/>
        </w:rPr>
        <w:t>Person-Centred Care: Definition, Benefits and Limitations</w:t>
      </w:r>
    </w:p>
    <w:p w14:paraId="33346CDE" w14:textId="7A5CDB49" w:rsidR="00B461C1" w:rsidRPr="00B461C1" w:rsidRDefault="00B461C1" w:rsidP="00B461C1">
      <w:pPr>
        <w:rPr>
          <w:rFonts w:ascii="Arial" w:hAnsi="Arial" w:cs="Arial"/>
        </w:rPr>
      </w:pPr>
      <w:r w:rsidRPr="00B461C1">
        <w:rPr>
          <w:rFonts w:ascii="Arial" w:hAnsi="Arial" w:cs="Arial"/>
        </w:rPr>
        <w:t xml:space="preserve">Person-centred care refers to an approach that places individuals at the centre of decisions regarding their health and wellbeing. Rather than focusing solely on a person's illness or diagnosis, PCC seeks to understand the individual </w:t>
      </w:r>
      <w:r w:rsidR="0009059E" w:rsidRPr="00B461C1">
        <w:rPr>
          <w:rFonts w:ascii="Arial" w:hAnsi="Arial" w:cs="Arial"/>
        </w:rPr>
        <w:t>by</w:t>
      </w:r>
      <w:r w:rsidRPr="00B461C1">
        <w:rPr>
          <w:rFonts w:ascii="Arial" w:hAnsi="Arial" w:cs="Arial"/>
        </w:rPr>
        <w:t xml:space="preserve"> recognising their personal preferences, values, beliefs and goals. According to McCormack and McCance (2017), PCC involves developing therapeutic relationships that enable individuals to actively participate in decisions relating to their care.</w:t>
      </w:r>
    </w:p>
    <w:p w14:paraId="7D41595C" w14:textId="77777777" w:rsidR="00B461C1" w:rsidRPr="00B461C1" w:rsidRDefault="00B461C1" w:rsidP="00B461C1">
      <w:pPr>
        <w:rPr>
          <w:rFonts w:ascii="Arial" w:hAnsi="Arial" w:cs="Arial"/>
        </w:rPr>
      </w:pPr>
      <w:r w:rsidRPr="00B461C1">
        <w:rPr>
          <w:rFonts w:ascii="Arial" w:hAnsi="Arial" w:cs="Arial"/>
        </w:rPr>
        <w:t>One significant benefit of PCC is that it promotes autonomy and empowerment. Service users are encouraged to participate in decision-making, enabling them to retain greater control over their lives. Within community mental health services, this may involve service users contributing to recovery plans, selecting treatment options and identifying personal goals. Such involvement often increases engagement with services and improves satisfaction with care.</w:t>
      </w:r>
    </w:p>
    <w:p w14:paraId="4F0E2105" w14:textId="77777777" w:rsidR="00B461C1" w:rsidRPr="00B461C1" w:rsidRDefault="00B461C1" w:rsidP="00B461C1">
      <w:pPr>
        <w:rPr>
          <w:rFonts w:ascii="Arial" w:hAnsi="Arial" w:cs="Arial"/>
        </w:rPr>
      </w:pPr>
      <w:r w:rsidRPr="00B461C1">
        <w:rPr>
          <w:rFonts w:ascii="Arial" w:hAnsi="Arial" w:cs="Arial"/>
        </w:rPr>
        <w:t>A further benefit is the development of stronger therapeutic relationships between practitioners and service users. Effective communication and mutual trust can improve treatment adherence and contribute to positive health outcomes. Person-centred approaches are also associated with improved emotional wellbeing because service users feel valued, respected and understood.</w:t>
      </w:r>
    </w:p>
    <w:p w14:paraId="6C15ADBB" w14:textId="77777777" w:rsidR="00B461C1" w:rsidRPr="00B461C1" w:rsidRDefault="00B461C1" w:rsidP="00B461C1">
      <w:pPr>
        <w:rPr>
          <w:rFonts w:ascii="Arial" w:hAnsi="Arial" w:cs="Arial"/>
        </w:rPr>
      </w:pPr>
      <w:r w:rsidRPr="00B461C1">
        <w:rPr>
          <w:rFonts w:ascii="Arial" w:hAnsi="Arial" w:cs="Arial"/>
        </w:rPr>
        <w:t>Despite these benefits, there are limitations to PCC. One major challenge is the availability of resources. Delivering genuinely person-centred care requires sufficient time, staffing and funding. Within community mental health services, workforce shortages and increasing demand may limit opportunities for extensive consultation and personalised support.</w:t>
      </w:r>
    </w:p>
    <w:p w14:paraId="16B6D4E0" w14:textId="77777777" w:rsidR="00B461C1" w:rsidRPr="00B461C1" w:rsidRDefault="00B461C1" w:rsidP="00B461C1">
      <w:pPr>
        <w:rPr>
          <w:rFonts w:ascii="Arial" w:hAnsi="Arial" w:cs="Arial"/>
        </w:rPr>
      </w:pPr>
      <w:r w:rsidRPr="00B461C1">
        <w:rPr>
          <w:rFonts w:ascii="Arial" w:hAnsi="Arial" w:cs="Arial"/>
        </w:rPr>
        <w:t>Another limitation relates to balancing individual choice with professional responsibility. Mental health practitioners may face difficult situations where service users refuse interventions believed to be beneficial. In such circumstances, tensions may arise between respecting autonomy and ensuring safety. Furthermore, organisational cultures and traditional models of care may create resistance to person-centred approaches, affecting consistency of implementation.</w:t>
      </w:r>
    </w:p>
    <w:p w14:paraId="7F114540" w14:textId="77777777" w:rsidR="00B461C1" w:rsidRPr="00B461C1" w:rsidRDefault="00B461C1" w:rsidP="00B461C1">
      <w:pPr>
        <w:rPr>
          <w:rFonts w:ascii="Arial" w:hAnsi="Arial" w:cs="Arial"/>
        </w:rPr>
      </w:pPr>
      <w:r w:rsidRPr="00B461C1">
        <w:rPr>
          <w:rFonts w:ascii="Arial" w:hAnsi="Arial" w:cs="Arial"/>
        </w:rPr>
        <w:t>Overall, PCC offers substantial benefits within community mental health services; however, effective implementation depends on adequate resources, professional commitment and organisational support.</w:t>
      </w:r>
    </w:p>
    <w:p w14:paraId="08F33B66" w14:textId="77777777" w:rsidR="0009059E" w:rsidRDefault="0009059E" w:rsidP="00B461C1">
      <w:pPr>
        <w:rPr>
          <w:rFonts w:ascii="Arial" w:hAnsi="Arial" w:cs="Arial"/>
        </w:rPr>
      </w:pPr>
    </w:p>
    <w:p w14:paraId="4CA1D76F" w14:textId="422B0F35" w:rsidR="00B461C1" w:rsidRPr="0009059E" w:rsidRDefault="00B461C1" w:rsidP="00B461C1">
      <w:pPr>
        <w:rPr>
          <w:rFonts w:ascii="Arial" w:hAnsi="Arial" w:cs="Arial"/>
        </w:rPr>
      </w:pPr>
      <w:r w:rsidRPr="00B461C1">
        <w:rPr>
          <w:rFonts w:ascii="Arial" w:hAnsi="Arial" w:cs="Arial"/>
          <w:b/>
          <w:bCs/>
        </w:rPr>
        <w:t>Theoretical Perspectives Underpinning Person-Centred Care</w:t>
      </w:r>
    </w:p>
    <w:p w14:paraId="77D2ADDD" w14:textId="77777777" w:rsidR="00B461C1" w:rsidRPr="00B461C1" w:rsidRDefault="00B461C1" w:rsidP="00B461C1">
      <w:pPr>
        <w:rPr>
          <w:rFonts w:ascii="Arial" w:hAnsi="Arial" w:cs="Arial"/>
          <w:b/>
          <w:bCs/>
        </w:rPr>
      </w:pPr>
      <w:r w:rsidRPr="00B461C1">
        <w:rPr>
          <w:rFonts w:ascii="Arial" w:hAnsi="Arial" w:cs="Arial"/>
          <w:b/>
          <w:bCs/>
        </w:rPr>
        <w:t>Maslow's Hierarchy of Needs</w:t>
      </w:r>
    </w:p>
    <w:p w14:paraId="6864F0BE" w14:textId="77777777" w:rsidR="00B461C1" w:rsidRPr="00B461C1" w:rsidRDefault="00B461C1" w:rsidP="00B461C1">
      <w:pPr>
        <w:rPr>
          <w:rFonts w:ascii="Arial" w:hAnsi="Arial" w:cs="Arial"/>
        </w:rPr>
      </w:pPr>
      <w:r w:rsidRPr="00B461C1">
        <w:rPr>
          <w:rFonts w:ascii="Arial" w:hAnsi="Arial" w:cs="Arial"/>
        </w:rPr>
        <w:lastRenderedPageBreak/>
        <w:t>Maslow's Hierarchy of Needs provides a useful framework for understanding PCC. Maslow (1943) argued that individuals have a hierarchy of needs consisting of physiological needs, safety needs, love and belonging, esteem and self-actualisation. According to the theory, lower-level needs should be addressed before individuals can achieve higher levels of personal development and fulfilment.</w:t>
      </w:r>
    </w:p>
    <w:p w14:paraId="037493CD" w14:textId="77777777" w:rsidR="00B461C1" w:rsidRPr="00B461C1" w:rsidRDefault="00B461C1" w:rsidP="00B461C1">
      <w:pPr>
        <w:rPr>
          <w:rFonts w:ascii="Arial" w:hAnsi="Arial" w:cs="Arial"/>
        </w:rPr>
      </w:pPr>
      <w:r w:rsidRPr="00B461C1">
        <w:rPr>
          <w:rFonts w:ascii="Arial" w:hAnsi="Arial" w:cs="Arial"/>
        </w:rPr>
        <w:t>The theory supports PCC because it encourages practitioners to view individuals holistically rather than focusing solely on symptoms or medical conditions. Within community mental health services, individuals experiencing mental illness may also face issues relating to housing, employment, financial insecurity or social isolation. By assessing these wider factors, practitioners can develop care plans that reflect the individual's overall circumstances.</w:t>
      </w:r>
    </w:p>
    <w:p w14:paraId="2A56CCBB" w14:textId="77777777" w:rsidR="00B461C1" w:rsidRPr="00B461C1" w:rsidRDefault="00B461C1" w:rsidP="00B461C1">
      <w:pPr>
        <w:rPr>
          <w:rFonts w:ascii="Arial" w:hAnsi="Arial" w:cs="Arial"/>
        </w:rPr>
      </w:pPr>
      <w:r w:rsidRPr="00B461C1">
        <w:rPr>
          <w:rFonts w:ascii="Arial" w:hAnsi="Arial" w:cs="Arial"/>
        </w:rPr>
        <w:t>For example, a service user experiencing severe depression may struggle to engage with therapy if basic safety and housing needs remain unmet. In this context, person-centred care would involve addressing practical issues alongside therapeutic support. This approach acknowledges that wellbeing is influenced by multiple interconnected factors.</w:t>
      </w:r>
    </w:p>
    <w:p w14:paraId="5EF8F0AF" w14:textId="3BA921A8" w:rsidR="00B461C1" w:rsidRPr="00B461C1" w:rsidRDefault="00B461C1" w:rsidP="00B461C1">
      <w:pPr>
        <w:rPr>
          <w:rFonts w:ascii="Arial" w:hAnsi="Arial" w:cs="Arial"/>
        </w:rPr>
      </w:pPr>
      <w:r w:rsidRPr="00B461C1">
        <w:rPr>
          <w:rFonts w:ascii="Arial" w:hAnsi="Arial" w:cs="Arial"/>
        </w:rPr>
        <w:t xml:space="preserve">However, Maslow's theory has been criticised for suggesting that individuals progress through needs in a fixed sequence. </w:t>
      </w:r>
      <w:r w:rsidR="0009059E" w:rsidRPr="00B461C1">
        <w:rPr>
          <w:rFonts w:ascii="Arial" w:hAnsi="Arial" w:cs="Arial"/>
        </w:rPr>
        <w:t>Personal</w:t>
      </w:r>
      <w:r w:rsidRPr="00B461C1">
        <w:rPr>
          <w:rFonts w:ascii="Arial" w:hAnsi="Arial" w:cs="Arial"/>
        </w:rPr>
        <w:t xml:space="preserve"> priorities may differ significantly depending on culture, circumstances and individual preferences. Nevertheless, the model remains useful because it highlights the importance of addressing the whole person rather than focusing exclusively on medical treatment.</w:t>
      </w:r>
    </w:p>
    <w:p w14:paraId="0F363FBF" w14:textId="77777777" w:rsidR="00B461C1" w:rsidRPr="00B461C1" w:rsidRDefault="00B461C1" w:rsidP="00B461C1">
      <w:pPr>
        <w:rPr>
          <w:rFonts w:ascii="Arial" w:hAnsi="Arial" w:cs="Arial"/>
          <w:b/>
          <w:bCs/>
        </w:rPr>
      </w:pPr>
      <w:r w:rsidRPr="00B461C1">
        <w:rPr>
          <w:rFonts w:ascii="Arial" w:hAnsi="Arial" w:cs="Arial"/>
          <w:b/>
          <w:bCs/>
        </w:rPr>
        <w:t>Bronfenbrenner's Ecological Systems Theory</w:t>
      </w:r>
    </w:p>
    <w:p w14:paraId="2F383185" w14:textId="77777777" w:rsidR="00B461C1" w:rsidRPr="00B461C1" w:rsidRDefault="00B461C1" w:rsidP="00B461C1">
      <w:pPr>
        <w:rPr>
          <w:rFonts w:ascii="Arial" w:hAnsi="Arial" w:cs="Arial"/>
        </w:rPr>
      </w:pPr>
      <w:r w:rsidRPr="00B461C1">
        <w:rPr>
          <w:rFonts w:ascii="Arial" w:hAnsi="Arial" w:cs="Arial"/>
        </w:rPr>
        <w:t>Bronfenbrenner's Ecological Systems Theory provides a broader perspective on factors influencing health and wellbeing. According to Bronfenbrenner (1979), individuals are affected by interactions within different environmental systems including family relationships, community networks, organisations and societal structures.</w:t>
      </w:r>
    </w:p>
    <w:p w14:paraId="19D07876" w14:textId="27F16CE0" w:rsidR="00B461C1" w:rsidRPr="00B461C1" w:rsidRDefault="00B461C1" w:rsidP="00B461C1">
      <w:pPr>
        <w:rPr>
          <w:rFonts w:ascii="Arial" w:hAnsi="Arial" w:cs="Arial"/>
        </w:rPr>
      </w:pPr>
      <w:r w:rsidRPr="00B461C1">
        <w:rPr>
          <w:rFonts w:ascii="Arial" w:hAnsi="Arial" w:cs="Arial"/>
        </w:rPr>
        <w:t xml:space="preserve">The microsystem includes immediate relationships such as family members and carers. The mesosystem refers to interactions between different services and support networks. The </w:t>
      </w:r>
      <w:r w:rsidR="00065E41" w:rsidRPr="00B461C1">
        <w:rPr>
          <w:rFonts w:ascii="Arial" w:hAnsi="Arial" w:cs="Arial"/>
        </w:rPr>
        <w:t>ecosystem</w:t>
      </w:r>
      <w:r w:rsidRPr="00B461C1">
        <w:rPr>
          <w:rFonts w:ascii="Arial" w:hAnsi="Arial" w:cs="Arial"/>
        </w:rPr>
        <w:t xml:space="preserve"> includes wider influences such as housing providers and local services, while the macrosystem encompasses social values, legislation and government policy.</w:t>
      </w:r>
    </w:p>
    <w:p w14:paraId="6DAA02BC" w14:textId="77777777" w:rsidR="00B461C1" w:rsidRPr="00B461C1" w:rsidRDefault="00B461C1" w:rsidP="00B461C1">
      <w:pPr>
        <w:rPr>
          <w:rFonts w:ascii="Arial" w:hAnsi="Arial" w:cs="Arial"/>
        </w:rPr>
      </w:pPr>
      <w:r w:rsidRPr="00B461C1">
        <w:rPr>
          <w:rFonts w:ascii="Arial" w:hAnsi="Arial" w:cs="Arial"/>
        </w:rPr>
        <w:t>This theory strongly supports PCC because it emphasises that individuals do not exist in isolation. Within community mental health services, recovery is often influenced by family support, employment opportunities, housing stability and access to community resources. Consequently, effective care requires practitioners to consider both personal and environmental influences.</w:t>
      </w:r>
    </w:p>
    <w:p w14:paraId="2E37C528" w14:textId="77777777" w:rsidR="00B461C1" w:rsidRPr="00B461C1" w:rsidRDefault="00B461C1" w:rsidP="00B461C1">
      <w:pPr>
        <w:rPr>
          <w:rFonts w:ascii="Arial" w:hAnsi="Arial" w:cs="Arial"/>
        </w:rPr>
      </w:pPr>
      <w:r w:rsidRPr="00B461C1">
        <w:rPr>
          <w:rFonts w:ascii="Arial" w:hAnsi="Arial" w:cs="Arial"/>
        </w:rPr>
        <w:t>Bronfenbrenner's theory also provides a strong justification for partnership working. Since multiple systems affect wellbeing, collaboration between agencies becomes necessary to address complex needs. However, one limitation is that the theory offers limited practical guidance regarding how professionals should prioritise interventions when resources are scarce.</w:t>
      </w:r>
    </w:p>
    <w:p w14:paraId="2C9367E0" w14:textId="77777777" w:rsidR="00B461C1" w:rsidRPr="00B461C1" w:rsidRDefault="00B461C1" w:rsidP="00B461C1">
      <w:pPr>
        <w:rPr>
          <w:rFonts w:ascii="Arial" w:hAnsi="Arial" w:cs="Arial"/>
        </w:rPr>
      </w:pPr>
      <w:r w:rsidRPr="00B461C1">
        <w:rPr>
          <w:rFonts w:ascii="Arial" w:hAnsi="Arial" w:cs="Arial"/>
        </w:rPr>
        <w:t>When considered together, Maslow's and Bronfenbrenner's theories provide a strong foundation for PCC by highlighting both individual needs and wider environmental influences on wellbeing.</w:t>
      </w:r>
    </w:p>
    <w:p w14:paraId="1B67864D" w14:textId="77777777" w:rsidR="00065E41" w:rsidRDefault="00065E41" w:rsidP="00B461C1">
      <w:pPr>
        <w:rPr>
          <w:rFonts w:ascii="Arial" w:hAnsi="Arial" w:cs="Arial"/>
        </w:rPr>
      </w:pPr>
    </w:p>
    <w:p w14:paraId="7B2D0A0C" w14:textId="77777777" w:rsidR="00065E41" w:rsidRDefault="00065E41" w:rsidP="00B461C1">
      <w:pPr>
        <w:rPr>
          <w:rFonts w:ascii="Arial" w:hAnsi="Arial" w:cs="Arial"/>
        </w:rPr>
      </w:pPr>
    </w:p>
    <w:p w14:paraId="05BE25A7" w14:textId="6D97FF60" w:rsidR="00B461C1" w:rsidRPr="00065E41" w:rsidRDefault="00B461C1" w:rsidP="00B461C1">
      <w:pPr>
        <w:rPr>
          <w:rFonts w:ascii="Arial" w:hAnsi="Arial" w:cs="Arial"/>
        </w:rPr>
      </w:pPr>
      <w:r w:rsidRPr="00B461C1">
        <w:rPr>
          <w:rFonts w:ascii="Arial" w:hAnsi="Arial" w:cs="Arial"/>
          <w:b/>
          <w:bCs/>
        </w:rPr>
        <w:lastRenderedPageBreak/>
        <w:t>Ethical Fundamentals of Health and Social Care</w:t>
      </w:r>
    </w:p>
    <w:p w14:paraId="6AB73E66" w14:textId="77777777" w:rsidR="00B461C1" w:rsidRPr="00B461C1" w:rsidRDefault="00B461C1" w:rsidP="00B461C1">
      <w:pPr>
        <w:rPr>
          <w:rFonts w:ascii="Arial" w:hAnsi="Arial" w:cs="Arial"/>
        </w:rPr>
      </w:pPr>
      <w:r w:rsidRPr="00B461C1">
        <w:rPr>
          <w:rFonts w:ascii="Arial" w:hAnsi="Arial" w:cs="Arial"/>
        </w:rPr>
        <w:t>Ethical principles guide professional practice and support the implementation of both PCC and PW. Four key ethical principles are autonomy, beneficence, non-maleficence and justice.</w:t>
      </w:r>
    </w:p>
    <w:p w14:paraId="12E1BAE1" w14:textId="77777777" w:rsidR="00B461C1" w:rsidRPr="00B461C1" w:rsidRDefault="00B461C1" w:rsidP="00B461C1">
      <w:pPr>
        <w:rPr>
          <w:rFonts w:ascii="Arial" w:hAnsi="Arial" w:cs="Arial"/>
        </w:rPr>
      </w:pPr>
      <w:r w:rsidRPr="00B461C1">
        <w:rPr>
          <w:rFonts w:ascii="Arial" w:hAnsi="Arial" w:cs="Arial"/>
        </w:rPr>
        <w:t>Autonomy refers to an individual's right to make decisions about their own care. Respecting autonomy is a core aspect of PCC because service users are encouraged to participate actively in decision-making processes. Within community mental health services, practitioners may support individuals in selecting treatment options that align with their values and preferences.</w:t>
      </w:r>
    </w:p>
    <w:p w14:paraId="78CB0BD2" w14:textId="77777777" w:rsidR="00B461C1" w:rsidRPr="00B461C1" w:rsidRDefault="00B461C1" w:rsidP="00B461C1">
      <w:pPr>
        <w:rPr>
          <w:rFonts w:ascii="Arial" w:hAnsi="Arial" w:cs="Arial"/>
        </w:rPr>
      </w:pPr>
      <w:r w:rsidRPr="00B461C1">
        <w:rPr>
          <w:rFonts w:ascii="Arial" w:hAnsi="Arial" w:cs="Arial"/>
        </w:rPr>
        <w:t>Beneficence involves acting in the best interests of service users. Mental health professionals are expected to provide support that enhances wellbeing and promotes recovery. Closely linked to this principle is non-maleficence, which requires practitioners to avoid causing harm. Professionals must therefore carefully assess risks and ensure interventions are appropriate and safe.</w:t>
      </w:r>
    </w:p>
    <w:p w14:paraId="20917F70" w14:textId="77777777" w:rsidR="00B461C1" w:rsidRPr="00B461C1" w:rsidRDefault="00B461C1" w:rsidP="00B461C1">
      <w:pPr>
        <w:rPr>
          <w:rFonts w:ascii="Arial" w:hAnsi="Arial" w:cs="Arial"/>
        </w:rPr>
      </w:pPr>
      <w:r w:rsidRPr="00B461C1">
        <w:rPr>
          <w:rFonts w:ascii="Arial" w:hAnsi="Arial" w:cs="Arial"/>
        </w:rPr>
        <w:t>Justice relates to fairness and equality in the distribution of services and resources. This principle is particularly relevant in addressing health inequalities and ensuring individuals have equal access to care regardless of age, ethnicity, disability or socioeconomic status.</w:t>
      </w:r>
    </w:p>
    <w:p w14:paraId="08D2A0D1" w14:textId="77777777" w:rsidR="00B461C1" w:rsidRPr="00B461C1" w:rsidRDefault="00B461C1" w:rsidP="00B461C1">
      <w:pPr>
        <w:rPr>
          <w:rFonts w:ascii="Arial" w:hAnsi="Arial" w:cs="Arial"/>
        </w:rPr>
      </w:pPr>
      <w:r w:rsidRPr="00B461C1">
        <w:rPr>
          <w:rFonts w:ascii="Arial" w:hAnsi="Arial" w:cs="Arial"/>
        </w:rPr>
        <w:t>Ethical dilemmas frequently occur within mental health services. For example, a service user may refuse medication despite professional concerns regarding their wellbeing. While respecting autonomy is important, professionals also have a duty to act beneficially and prevent harm. Partnership working can support ethical decision-making by involving service users, carers and professionals in discussions that balance competing priorities.</w:t>
      </w:r>
    </w:p>
    <w:p w14:paraId="13701D16" w14:textId="77777777" w:rsidR="00B461C1" w:rsidRPr="00B461C1" w:rsidRDefault="00B461C1" w:rsidP="00B461C1">
      <w:pPr>
        <w:rPr>
          <w:rFonts w:ascii="Arial" w:hAnsi="Arial" w:cs="Arial"/>
        </w:rPr>
      </w:pPr>
      <w:r w:rsidRPr="00B461C1">
        <w:rPr>
          <w:rFonts w:ascii="Arial" w:hAnsi="Arial" w:cs="Arial"/>
        </w:rPr>
        <w:t>Although ethical principles provide guidance, differing viewpoints often exist regarding the most appropriate course of action. Consequently, ethical decision-making requires reflection, professional judgement and effective communication.</w:t>
      </w:r>
    </w:p>
    <w:p w14:paraId="62797FC1" w14:textId="77777777" w:rsidR="00065E41" w:rsidRDefault="00065E41" w:rsidP="00B461C1">
      <w:pPr>
        <w:rPr>
          <w:rFonts w:ascii="Arial" w:hAnsi="Arial" w:cs="Arial"/>
        </w:rPr>
      </w:pPr>
    </w:p>
    <w:p w14:paraId="7ED00BE1" w14:textId="2C916FC4" w:rsidR="00B461C1" w:rsidRPr="00065E41" w:rsidRDefault="00B461C1" w:rsidP="00B461C1">
      <w:pPr>
        <w:rPr>
          <w:rFonts w:ascii="Arial" w:hAnsi="Arial" w:cs="Arial"/>
        </w:rPr>
      </w:pPr>
      <w:r w:rsidRPr="00B461C1">
        <w:rPr>
          <w:rFonts w:ascii="Arial" w:hAnsi="Arial" w:cs="Arial"/>
          <w:b/>
          <w:bCs/>
        </w:rPr>
        <w:t>Evaluation of Partnership Working in Community Mental Health Services</w:t>
      </w:r>
    </w:p>
    <w:p w14:paraId="0E64A81C" w14:textId="77777777" w:rsidR="00B461C1" w:rsidRPr="00B461C1" w:rsidRDefault="00B461C1" w:rsidP="00B461C1">
      <w:pPr>
        <w:rPr>
          <w:rFonts w:ascii="Arial" w:hAnsi="Arial" w:cs="Arial"/>
        </w:rPr>
      </w:pPr>
      <w:r w:rsidRPr="00B461C1">
        <w:rPr>
          <w:rFonts w:ascii="Arial" w:hAnsi="Arial" w:cs="Arial"/>
        </w:rPr>
        <w:t>Partnership working refers to collaborative arrangements between professionals, organisations, service users and carers who work together to achieve shared goals. It is a fundamental component of modern health and social care and has become increasingly important with the development of Integrated Care Systems (ICSs).</w:t>
      </w:r>
    </w:p>
    <w:p w14:paraId="4691E6E7" w14:textId="77777777" w:rsidR="00B461C1" w:rsidRPr="00B461C1" w:rsidRDefault="00B461C1" w:rsidP="00B461C1">
      <w:pPr>
        <w:rPr>
          <w:rFonts w:ascii="Arial" w:hAnsi="Arial" w:cs="Arial"/>
        </w:rPr>
      </w:pPr>
      <w:r w:rsidRPr="00B461C1">
        <w:rPr>
          <w:rFonts w:ascii="Arial" w:hAnsi="Arial" w:cs="Arial"/>
        </w:rPr>
        <w:t>Within community mental health services, partnership working involves collaboration between psychiatrists, mental health nurses, general practitioners, social workers, occupational therapists, housing providers, carers and voluntary organisations. This multidisciplinary approach allows services to address the complex and interconnected needs of service users.</w:t>
      </w:r>
    </w:p>
    <w:p w14:paraId="6654169D" w14:textId="77777777" w:rsidR="00B461C1" w:rsidRPr="00B461C1" w:rsidRDefault="00B461C1" w:rsidP="00B461C1">
      <w:pPr>
        <w:rPr>
          <w:rFonts w:ascii="Arial" w:hAnsi="Arial" w:cs="Arial"/>
        </w:rPr>
      </w:pPr>
      <w:r w:rsidRPr="00B461C1">
        <w:rPr>
          <w:rFonts w:ascii="Arial" w:hAnsi="Arial" w:cs="Arial"/>
        </w:rPr>
        <w:t>One major benefit of partnership working is improved service delivery. Different professionals contribute specialised knowledge and expertise, enabling more comprehensive assessments and interventions. Service users often experience greater continuity of care because organisations coordinate their efforts and work towards shared objectives.</w:t>
      </w:r>
    </w:p>
    <w:p w14:paraId="42F4780D" w14:textId="77777777" w:rsidR="00B461C1" w:rsidRPr="00B461C1" w:rsidRDefault="00B461C1" w:rsidP="00B461C1">
      <w:pPr>
        <w:rPr>
          <w:rFonts w:ascii="Arial" w:hAnsi="Arial" w:cs="Arial"/>
        </w:rPr>
      </w:pPr>
      <w:r w:rsidRPr="00B461C1">
        <w:rPr>
          <w:rFonts w:ascii="Arial" w:hAnsi="Arial" w:cs="Arial"/>
        </w:rPr>
        <w:t xml:space="preserve">Partnership working also promotes person-centred care by ensuring support addresses both health and social needs. For example, a service user experiencing anxiety and housing </w:t>
      </w:r>
      <w:r w:rsidRPr="00B461C1">
        <w:rPr>
          <w:rFonts w:ascii="Arial" w:hAnsi="Arial" w:cs="Arial"/>
        </w:rPr>
        <w:lastRenderedPageBreak/>
        <w:t>difficulties may require support from both mental health practitioners and housing services. Collaborative working enables these needs to be addressed simultaneously.</w:t>
      </w:r>
    </w:p>
    <w:p w14:paraId="37AE5D98" w14:textId="77777777" w:rsidR="00B461C1" w:rsidRPr="00B461C1" w:rsidRDefault="00B461C1" w:rsidP="00B461C1">
      <w:pPr>
        <w:rPr>
          <w:rFonts w:ascii="Arial" w:hAnsi="Arial" w:cs="Arial"/>
        </w:rPr>
      </w:pPr>
      <w:r w:rsidRPr="00B461C1">
        <w:rPr>
          <w:rFonts w:ascii="Arial" w:hAnsi="Arial" w:cs="Arial"/>
        </w:rPr>
        <w:t>Despite these benefits, challenges remain. Communication barriers may arise between organisations that operate using different procedures and information systems. Data-sharing concerns can affect coordination and reduce efficiency. Additionally, differing organisational priorities and limited resources may hinder effective collaboration.</w:t>
      </w:r>
    </w:p>
    <w:p w14:paraId="37496603" w14:textId="77777777" w:rsidR="00B461C1" w:rsidRPr="00B461C1" w:rsidRDefault="00B461C1" w:rsidP="00B461C1">
      <w:pPr>
        <w:rPr>
          <w:rFonts w:ascii="Arial" w:hAnsi="Arial" w:cs="Arial"/>
        </w:rPr>
      </w:pPr>
      <w:r w:rsidRPr="00B461C1">
        <w:rPr>
          <w:rFonts w:ascii="Arial" w:hAnsi="Arial" w:cs="Arial"/>
        </w:rPr>
        <w:t>Technology has an increasingly important role in supporting partnership working. Shared electronic records, digital care planning systems and virtual meetings can improve communication and information sharing between professionals. However, technological solutions may also present challenges relating to cost, staff training and digital exclusion.</w:t>
      </w:r>
    </w:p>
    <w:p w14:paraId="15DB5A1C" w14:textId="77777777" w:rsidR="00B461C1" w:rsidRPr="00B461C1" w:rsidRDefault="00B461C1" w:rsidP="00B461C1">
      <w:pPr>
        <w:rPr>
          <w:rFonts w:ascii="Arial" w:hAnsi="Arial" w:cs="Arial"/>
        </w:rPr>
      </w:pPr>
      <w:r w:rsidRPr="00B461C1">
        <w:rPr>
          <w:rFonts w:ascii="Arial" w:hAnsi="Arial" w:cs="Arial"/>
        </w:rPr>
        <w:t>Overall, partnership working significantly enhances service delivery within community mental health services. Although barriers exist, effective collaboration remains essential for delivering coordinated and person-centred care.</w:t>
      </w:r>
    </w:p>
    <w:p w14:paraId="37E68BFD" w14:textId="77777777" w:rsidR="00065E41" w:rsidRDefault="00065E41" w:rsidP="00B461C1">
      <w:pPr>
        <w:rPr>
          <w:rFonts w:ascii="Arial" w:hAnsi="Arial" w:cs="Arial"/>
        </w:rPr>
      </w:pPr>
    </w:p>
    <w:p w14:paraId="31BC1AF2" w14:textId="63B1D288" w:rsidR="00B461C1" w:rsidRPr="00065E41" w:rsidRDefault="00B461C1" w:rsidP="00B461C1">
      <w:pPr>
        <w:rPr>
          <w:rFonts w:ascii="Arial" w:hAnsi="Arial" w:cs="Arial"/>
        </w:rPr>
      </w:pPr>
      <w:r w:rsidRPr="00B461C1">
        <w:rPr>
          <w:rFonts w:ascii="Arial" w:hAnsi="Arial" w:cs="Arial"/>
          <w:b/>
          <w:bCs/>
        </w:rPr>
        <w:t>Policy and Legislation</w:t>
      </w:r>
    </w:p>
    <w:p w14:paraId="18628005" w14:textId="77777777" w:rsidR="00B461C1" w:rsidRPr="00B461C1" w:rsidRDefault="00B461C1" w:rsidP="00B461C1">
      <w:pPr>
        <w:rPr>
          <w:rFonts w:ascii="Arial" w:hAnsi="Arial" w:cs="Arial"/>
        </w:rPr>
      </w:pPr>
      <w:r w:rsidRPr="00B461C1">
        <w:rPr>
          <w:rFonts w:ascii="Arial" w:hAnsi="Arial" w:cs="Arial"/>
        </w:rPr>
        <w:t>Several policies and legislative frameworks support PCC and PW within health and social care.</w:t>
      </w:r>
    </w:p>
    <w:p w14:paraId="15D60BF2" w14:textId="77777777" w:rsidR="00B461C1" w:rsidRPr="00B461C1" w:rsidRDefault="00B461C1" w:rsidP="00B461C1">
      <w:pPr>
        <w:rPr>
          <w:rFonts w:ascii="Arial" w:hAnsi="Arial" w:cs="Arial"/>
        </w:rPr>
      </w:pPr>
      <w:r w:rsidRPr="00B461C1">
        <w:rPr>
          <w:rFonts w:ascii="Arial" w:hAnsi="Arial" w:cs="Arial"/>
        </w:rPr>
        <w:t>The Care Act 2014 places wellbeing at the centre of care and support planning. The legislation promotes personalisation, choice and independence, making it highly relevant to PCC. Within community mental health services, the Act encourages practitioners to involve service users in decisions affecting their lives.</w:t>
      </w:r>
    </w:p>
    <w:p w14:paraId="4F950B5E" w14:textId="77777777" w:rsidR="00B461C1" w:rsidRPr="00B461C1" w:rsidRDefault="00B461C1" w:rsidP="00B461C1">
      <w:pPr>
        <w:rPr>
          <w:rFonts w:ascii="Arial" w:hAnsi="Arial" w:cs="Arial"/>
        </w:rPr>
      </w:pPr>
      <w:r w:rsidRPr="00B461C1">
        <w:rPr>
          <w:rFonts w:ascii="Arial" w:hAnsi="Arial" w:cs="Arial"/>
        </w:rPr>
        <w:t>The Health and Social Care Act 2012 strengthened service-user involvement and aimed to improve the quality and accountability of health services. Similarly, the Health and Care Act 2022 introduced Integrated Care Systems, promoting collaboration between health and social care organisations. These developments support partnership working by encouraging integrated service delivery and shared responsibility.</w:t>
      </w:r>
    </w:p>
    <w:p w14:paraId="23E207CA" w14:textId="77777777" w:rsidR="00B461C1" w:rsidRPr="00B461C1" w:rsidRDefault="00B461C1" w:rsidP="00B461C1">
      <w:pPr>
        <w:rPr>
          <w:rFonts w:ascii="Arial" w:hAnsi="Arial" w:cs="Arial"/>
        </w:rPr>
      </w:pPr>
      <w:r w:rsidRPr="00B461C1">
        <w:rPr>
          <w:rFonts w:ascii="Arial" w:hAnsi="Arial" w:cs="Arial"/>
        </w:rPr>
        <w:t>The Human Rights Act 1998 also underpins PCC by protecting rights relating to dignity, respect and individual autonomy. These principles are fundamental to ensuring service users are treated fairly and involved in decisions regarding their care.</w:t>
      </w:r>
    </w:p>
    <w:p w14:paraId="3151A6C7" w14:textId="77777777" w:rsidR="00B461C1" w:rsidRPr="00B461C1" w:rsidRDefault="00B461C1" w:rsidP="00B461C1">
      <w:pPr>
        <w:rPr>
          <w:rFonts w:ascii="Arial" w:hAnsi="Arial" w:cs="Arial"/>
        </w:rPr>
      </w:pPr>
      <w:r w:rsidRPr="00B461C1">
        <w:rPr>
          <w:rFonts w:ascii="Arial" w:hAnsi="Arial" w:cs="Arial"/>
        </w:rPr>
        <w:t>In addition, the Equality Act 2010 promotes equal access to services and protects individuals from discrimination. This legislation supports the ethical principle of justice and helps ensure services are inclusive and equitable.</w:t>
      </w:r>
    </w:p>
    <w:p w14:paraId="2477E454" w14:textId="77777777" w:rsidR="00B461C1" w:rsidRPr="00B461C1" w:rsidRDefault="00B461C1" w:rsidP="00B461C1">
      <w:pPr>
        <w:rPr>
          <w:rFonts w:ascii="Arial" w:hAnsi="Arial" w:cs="Arial"/>
        </w:rPr>
      </w:pPr>
      <w:r w:rsidRPr="00B461C1">
        <w:rPr>
          <w:rFonts w:ascii="Arial" w:hAnsi="Arial" w:cs="Arial"/>
        </w:rPr>
        <w:t>While these policies and laws provide a strong framework for PCC and PW, implementation can be challenging. Workforce shortages, financial pressures and growing service demand may limit organisations' ability to fully achieve policy objectives. Nevertheless, these legislative frameworks continue to shape practice and promote higher standards of care across community mental health services.</w:t>
      </w:r>
    </w:p>
    <w:p w14:paraId="20A2A92C" w14:textId="77777777" w:rsidR="00065E41" w:rsidRDefault="00065E41" w:rsidP="00B461C1">
      <w:pPr>
        <w:rPr>
          <w:rFonts w:ascii="Arial" w:hAnsi="Arial" w:cs="Arial"/>
        </w:rPr>
      </w:pPr>
    </w:p>
    <w:p w14:paraId="7B06AD62" w14:textId="6B6519FB" w:rsidR="00B461C1" w:rsidRPr="00065E41" w:rsidRDefault="00B461C1" w:rsidP="00B461C1">
      <w:pPr>
        <w:rPr>
          <w:rFonts w:ascii="Arial" w:hAnsi="Arial" w:cs="Arial"/>
        </w:rPr>
      </w:pPr>
      <w:r w:rsidRPr="00B461C1">
        <w:rPr>
          <w:rFonts w:ascii="Arial" w:hAnsi="Arial" w:cs="Arial"/>
          <w:b/>
          <w:bCs/>
        </w:rPr>
        <w:t>Recommendations</w:t>
      </w:r>
    </w:p>
    <w:p w14:paraId="4A368342" w14:textId="77777777" w:rsidR="00B461C1" w:rsidRPr="00B461C1" w:rsidRDefault="00B461C1" w:rsidP="00B461C1">
      <w:pPr>
        <w:rPr>
          <w:rFonts w:ascii="Arial" w:hAnsi="Arial" w:cs="Arial"/>
        </w:rPr>
      </w:pPr>
      <w:r w:rsidRPr="00B461C1">
        <w:rPr>
          <w:rFonts w:ascii="Arial" w:hAnsi="Arial" w:cs="Arial"/>
        </w:rPr>
        <w:t>The report has identified several challenges affecting PCC and PW within community mental health services, including communication barriers, resource limitations, workforce shortages and increasing service demand.</w:t>
      </w:r>
    </w:p>
    <w:p w14:paraId="28566228" w14:textId="77777777" w:rsidR="00B461C1" w:rsidRPr="00B461C1" w:rsidRDefault="00B461C1" w:rsidP="00B461C1">
      <w:pPr>
        <w:rPr>
          <w:rFonts w:ascii="Arial" w:hAnsi="Arial" w:cs="Arial"/>
        </w:rPr>
      </w:pPr>
      <w:r w:rsidRPr="00B461C1">
        <w:rPr>
          <w:rFonts w:ascii="Arial" w:hAnsi="Arial" w:cs="Arial"/>
        </w:rPr>
        <w:lastRenderedPageBreak/>
        <w:t>One recommendation is the expansion of digital technologies such as integrated electronic care records, digital care planning systems and telehealth services. Research suggests that technology can improve communication between professionals, facilitate information sharing and increase service-user involvement in care planning. If implemented effectively, digital systems could improve continuity of care and strengthen partnership working. However, implementation may be hindered by financial costs, data protection concerns and digital exclusion among vulnerable populations.</w:t>
      </w:r>
    </w:p>
    <w:p w14:paraId="15005095" w14:textId="77777777" w:rsidR="00B461C1" w:rsidRPr="00B461C1" w:rsidRDefault="00B461C1" w:rsidP="00B461C1">
      <w:pPr>
        <w:rPr>
          <w:rFonts w:ascii="Arial" w:hAnsi="Arial" w:cs="Arial"/>
        </w:rPr>
      </w:pPr>
      <w:r w:rsidRPr="00B461C1">
        <w:rPr>
          <w:rFonts w:ascii="Arial" w:hAnsi="Arial" w:cs="Arial"/>
        </w:rPr>
        <w:t>A second recommendation is the development of enhanced training programmes focusing on person-centred approaches, ethical decision-making and collaborative practice. Improved training would help professionals develop the skills necessary to deliver effective PCC and PW. Enhanced knowledge and confidence may lead to better service-user experiences and improved outcomes. Nevertheless, workforce shortages and limited resources may restrict opportunities for staff participation.</w:t>
      </w:r>
    </w:p>
    <w:p w14:paraId="48201282" w14:textId="77777777" w:rsidR="00B461C1" w:rsidRPr="00B461C1" w:rsidRDefault="00B461C1" w:rsidP="00B461C1">
      <w:pPr>
        <w:rPr>
          <w:rFonts w:ascii="Arial" w:hAnsi="Arial" w:cs="Arial"/>
        </w:rPr>
      </w:pPr>
      <w:r w:rsidRPr="00B461C1">
        <w:rPr>
          <w:rFonts w:ascii="Arial" w:hAnsi="Arial" w:cs="Arial"/>
        </w:rPr>
        <w:t>A further recommendation is increased investment in community-based support services, including housing support, employment programmes and voluntary sector organisations. This recommendation is supported by both Maslow's and Bronfenbrenner's theories, which highlight the importance of addressing wider determinants of wellbeing. Strengthening community resources could reduce pressure on acute services and promote long-term recovery. However, successful implementation would require sustained funding and long-term policy commitment.</w:t>
      </w:r>
    </w:p>
    <w:p w14:paraId="1172EFC7" w14:textId="77777777" w:rsidR="00B461C1" w:rsidRPr="00B461C1" w:rsidRDefault="00B461C1" w:rsidP="00B461C1">
      <w:pPr>
        <w:rPr>
          <w:rFonts w:ascii="Arial" w:hAnsi="Arial" w:cs="Arial"/>
        </w:rPr>
      </w:pPr>
      <w:r w:rsidRPr="00B461C1">
        <w:rPr>
          <w:rFonts w:ascii="Arial" w:hAnsi="Arial" w:cs="Arial"/>
        </w:rPr>
        <w:t>Collectively, these recommendations have the potential to improve service quality, enhance partnership working and strengthen person-centred practice throughout the UK.</w:t>
      </w:r>
    </w:p>
    <w:p w14:paraId="7B1D90E9" w14:textId="77777777" w:rsidR="00065E41" w:rsidRDefault="00065E41" w:rsidP="00B461C1">
      <w:pPr>
        <w:rPr>
          <w:rFonts w:ascii="Arial" w:hAnsi="Arial" w:cs="Arial"/>
        </w:rPr>
      </w:pPr>
    </w:p>
    <w:p w14:paraId="29BA7BD7" w14:textId="2823A92B" w:rsidR="00B461C1" w:rsidRPr="00065E41" w:rsidRDefault="00B461C1" w:rsidP="00B461C1">
      <w:pPr>
        <w:rPr>
          <w:rFonts w:ascii="Arial" w:hAnsi="Arial" w:cs="Arial"/>
        </w:rPr>
      </w:pPr>
      <w:r w:rsidRPr="00B461C1">
        <w:rPr>
          <w:rFonts w:ascii="Arial" w:hAnsi="Arial" w:cs="Arial"/>
          <w:b/>
          <w:bCs/>
        </w:rPr>
        <w:t>Conclusion</w:t>
      </w:r>
    </w:p>
    <w:p w14:paraId="722DBC26" w14:textId="77777777" w:rsidR="00B461C1" w:rsidRPr="00B461C1" w:rsidRDefault="00B461C1" w:rsidP="00B461C1">
      <w:pPr>
        <w:rPr>
          <w:rFonts w:ascii="Arial" w:hAnsi="Arial" w:cs="Arial"/>
        </w:rPr>
      </w:pPr>
      <w:r w:rsidRPr="00B461C1">
        <w:rPr>
          <w:rFonts w:ascii="Arial" w:hAnsi="Arial" w:cs="Arial"/>
        </w:rPr>
        <w:t>This report has evaluated person-centred care and partnership working within community mental health services. PCC promotes dignity, autonomy and individualised support, while partnership working enables coordinated and holistic service delivery. Maslow's Hierarchy of Needs and Bronfenbrenner's Ecological Systems Theory provide valuable theoretical foundations by emphasising the importance of both individual and environmental influences on wellbeing. Ethical principles including autonomy, beneficence, non-maleficence and justice underpin professional practice and support effective care delivery. The report has also demonstrated the importance of legislation and policy in shaping PCC and PW. Although challenges such as workforce pressures, communication barriers and resource limitations continue to affect implementation, both approaches remain essential for improving outcomes and experiences within health and social care. Future progress will depend upon continued investment, enhanced training, effective use of technology and stronger partnership working across services.</w:t>
      </w:r>
    </w:p>
    <w:p w14:paraId="23EADA0F" w14:textId="77777777" w:rsidR="00065E41" w:rsidRDefault="00065E41" w:rsidP="00B461C1">
      <w:pPr>
        <w:rPr>
          <w:rFonts w:ascii="Arial" w:hAnsi="Arial" w:cs="Arial"/>
        </w:rPr>
      </w:pPr>
    </w:p>
    <w:p w14:paraId="61E07810" w14:textId="7F32AACD" w:rsidR="00B461C1" w:rsidRPr="00065E41" w:rsidRDefault="00B461C1" w:rsidP="00B461C1">
      <w:pPr>
        <w:rPr>
          <w:rFonts w:ascii="Arial" w:hAnsi="Arial" w:cs="Arial"/>
        </w:rPr>
      </w:pPr>
      <w:r w:rsidRPr="00B461C1">
        <w:rPr>
          <w:rFonts w:ascii="Arial" w:hAnsi="Arial" w:cs="Arial"/>
          <w:b/>
          <w:bCs/>
        </w:rPr>
        <w:t>Reference</w:t>
      </w:r>
    </w:p>
    <w:p w14:paraId="7B6AF180" w14:textId="77777777" w:rsidR="00B461C1" w:rsidRPr="00065E41" w:rsidRDefault="00B461C1" w:rsidP="00B461C1">
      <w:pPr>
        <w:rPr>
          <w:rFonts w:ascii="Arial" w:hAnsi="Arial" w:cs="Arial"/>
        </w:rPr>
      </w:pPr>
      <w:r w:rsidRPr="00065E41">
        <w:rPr>
          <w:rFonts w:ascii="Arial" w:hAnsi="Arial" w:cs="Arial"/>
        </w:rPr>
        <w:t>Bronfenbrenner, U. (1979) The Ecology of Human Development. Cambridge, MA: Harvard University Press.</w:t>
      </w:r>
    </w:p>
    <w:p w14:paraId="50BFA6B9" w14:textId="77777777" w:rsidR="00B461C1" w:rsidRPr="00065E41" w:rsidRDefault="00B461C1" w:rsidP="00B461C1">
      <w:pPr>
        <w:rPr>
          <w:rFonts w:ascii="Arial" w:hAnsi="Arial" w:cs="Arial"/>
        </w:rPr>
      </w:pPr>
      <w:r w:rsidRPr="00065E41">
        <w:rPr>
          <w:rFonts w:ascii="Arial" w:hAnsi="Arial" w:cs="Arial"/>
        </w:rPr>
        <w:t>Care Act 2014. London: HMSO.</w:t>
      </w:r>
    </w:p>
    <w:p w14:paraId="636BDE59" w14:textId="77777777" w:rsidR="00B461C1" w:rsidRPr="00065E41" w:rsidRDefault="00B461C1" w:rsidP="00B461C1">
      <w:pPr>
        <w:rPr>
          <w:rFonts w:ascii="Arial" w:hAnsi="Arial" w:cs="Arial"/>
        </w:rPr>
      </w:pPr>
      <w:r w:rsidRPr="00065E41">
        <w:rPr>
          <w:rFonts w:ascii="Arial" w:hAnsi="Arial" w:cs="Arial"/>
        </w:rPr>
        <w:t>Coulter, A. (2017) ‘Delivering better services for people with long-term conditions’, BMJ, 358, pp. 1-5.</w:t>
      </w:r>
    </w:p>
    <w:p w14:paraId="3C3DDFB0" w14:textId="77777777" w:rsidR="00B461C1" w:rsidRPr="00065E41" w:rsidRDefault="00B461C1" w:rsidP="00B461C1">
      <w:pPr>
        <w:rPr>
          <w:rFonts w:ascii="Arial" w:hAnsi="Arial" w:cs="Arial"/>
        </w:rPr>
      </w:pPr>
      <w:r w:rsidRPr="00065E41">
        <w:rPr>
          <w:rFonts w:ascii="Arial" w:hAnsi="Arial" w:cs="Arial"/>
        </w:rPr>
        <w:lastRenderedPageBreak/>
        <w:t>Equality Act 2010. London: HMSO.</w:t>
      </w:r>
    </w:p>
    <w:p w14:paraId="2CBB373C" w14:textId="77777777" w:rsidR="00B461C1" w:rsidRPr="00065E41" w:rsidRDefault="00B461C1" w:rsidP="00B461C1">
      <w:pPr>
        <w:rPr>
          <w:rFonts w:ascii="Arial" w:hAnsi="Arial" w:cs="Arial"/>
        </w:rPr>
      </w:pPr>
      <w:r w:rsidRPr="00065E41">
        <w:rPr>
          <w:rFonts w:ascii="Arial" w:hAnsi="Arial" w:cs="Arial"/>
        </w:rPr>
        <w:t>Glasby, J. (2017) Understanding Health and Social Care. 3rd edn. Bristol: Policy Press.</w:t>
      </w:r>
    </w:p>
    <w:p w14:paraId="2542B989" w14:textId="77777777" w:rsidR="00B461C1" w:rsidRPr="00065E41" w:rsidRDefault="00B461C1" w:rsidP="00B461C1">
      <w:pPr>
        <w:rPr>
          <w:rFonts w:ascii="Arial" w:hAnsi="Arial" w:cs="Arial"/>
        </w:rPr>
      </w:pPr>
      <w:r w:rsidRPr="00065E41">
        <w:rPr>
          <w:rFonts w:ascii="Arial" w:hAnsi="Arial" w:cs="Arial"/>
        </w:rPr>
        <w:t>Health and Care Act 2022. London: HMSO.</w:t>
      </w:r>
    </w:p>
    <w:p w14:paraId="0BD49437" w14:textId="77777777" w:rsidR="00B461C1" w:rsidRPr="00065E41" w:rsidRDefault="00B461C1" w:rsidP="00B461C1">
      <w:pPr>
        <w:rPr>
          <w:rFonts w:ascii="Arial" w:hAnsi="Arial" w:cs="Arial"/>
        </w:rPr>
      </w:pPr>
      <w:r w:rsidRPr="00065E41">
        <w:rPr>
          <w:rFonts w:ascii="Arial" w:hAnsi="Arial" w:cs="Arial"/>
        </w:rPr>
        <w:t>Health and Social Care Act 2012. London: HMSO.</w:t>
      </w:r>
    </w:p>
    <w:p w14:paraId="7546B47B" w14:textId="77777777" w:rsidR="00B461C1" w:rsidRPr="00065E41" w:rsidRDefault="00B461C1" w:rsidP="00B461C1">
      <w:pPr>
        <w:rPr>
          <w:rFonts w:ascii="Arial" w:hAnsi="Arial" w:cs="Arial"/>
        </w:rPr>
      </w:pPr>
      <w:r w:rsidRPr="00065E41">
        <w:rPr>
          <w:rFonts w:ascii="Arial" w:hAnsi="Arial" w:cs="Arial"/>
        </w:rPr>
        <w:t>Human Rights Act 1998. London: HMSO.</w:t>
      </w:r>
    </w:p>
    <w:p w14:paraId="3486BCDC" w14:textId="77777777" w:rsidR="00B461C1" w:rsidRPr="00065E41" w:rsidRDefault="00B461C1" w:rsidP="00B461C1">
      <w:pPr>
        <w:rPr>
          <w:rFonts w:ascii="Arial" w:hAnsi="Arial" w:cs="Arial"/>
        </w:rPr>
      </w:pPr>
      <w:r w:rsidRPr="00065E41">
        <w:rPr>
          <w:rFonts w:ascii="Arial" w:hAnsi="Arial" w:cs="Arial"/>
        </w:rPr>
        <w:t>Maslow, A.H. (1943) ‘A Theory of Human Motivation’, Psychological Review, 50(4), pp. 370-396.</w:t>
      </w:r>
    </w:p>
    <w:p w14:paraId="3008063C" w14:textId="77777777" w:rsidR="00B461C1" w:rsidRPr="00065E41" w:rsidRDefault="00B461C1" w:rsidP="00B461C1">
      <w:pPr>
        <w:rPr>
          <w:rFonts w:ascii="Arial" w:hAnsi="Arial" w:cs="Arial"/>
        </w:rPr>
      </w:pPr>
      <w:r w:rsidRPr="00065E41">
        <w:rPr>
          <w:rFonts w:ascii="Arial" w:hAnsi="Arial" w:cs="Arial"/>
        </w:rPr>
        <w:t>McCormack, B. and McCance, T. (2017) Person-Centred Practice in Nursing and Health Care. 2nd edn. Oxford: Wiley-Blackwell.</w:t>
      </w:r>
    </w:p>
    <w:p w14:paraId="3EE3FC1F" w14:textId="77777777" w:rsidR="00B461C1" w:rsidRPr="00065E41" w:rsidRDefault="00B461C1" w:rsidP="00B461C1">
      <w:pPr>
        <w:rPr>
          <w:rFonts w:ascii="Arial" w:hAnsi="Arial" w:cs="Arial"/>
        </w:rPr>
      </w:pPr>
      <w:r w:rsidRPr="00065E41">
        <w:rPr>
          <w:rFonts w:ascii="Arial" w:hAnsi="Arial" w:cs="Arial"/>
        </w:rPr>
        <w:t>Mind (2023) Community Mental Health Services. London: Mind.</w:t>
      </w:r>
    </w:p>
    <w:p w14:paraId="4B4C0050" w14:textId="77777777" w:rsidR="00B461C1" w:rsidRPr="00065E41" w:rsidRDefault="00B461C1" w:rsidP="00B461C1">
      <w:pPr>
        <w:rPr>
          <w:rFonts w:ascii="Arial" w:hAnsi="Arial" w:cs="Arial"/>
        </w:rPr>
      </w:pPr>
      <w:r w:rsidRPr="00065E41">
        <w:rPr>
          <w:rFonts w:ascii="Arial" w:hAnsi="Arial" w:cs="Arial"/>
        </w:rPr>
        <w:t>NHS England (2019) The NHS Long Term Plan. London: NHS England.</w:t>
      </w:r>
    </w:p>
    <w:p w14:paraId="3DB4C8BE" w14:textId="77777777" w:rsidR="00B461C1" w:rsidRPr="00065E41" w:rsidRDefault="00B461C1" w:rsidP="00B461C1">
      <w:pPr>
        <w:rPr>
          <w:rFonts w:ascii="Arial" w:hAnsi="Arial" w:cs="Arial"/>
        </w:rPr>
      </w:pPr>
      <w:r w:rsidRPr="00065E41">
        <w:rPr>
          <w:rFonts w:ascii="Arial" w:hAnsi="Arial" w:cs="Arial"/>
        </w:rPr>
        <w:t>NHS England (2024) Integrated Care Systems Guidance. London: NHS England.</w:t>
      </w:r>
    </w:p>
    <w:p w14:paraId="5B85E608" w14:textId="77777777" w:rsidR="00B461C1" w:rsidRPr="00065E41" w:rsidRDefault="00B461C1" w:rsidP="00B461C1">
      <w:pPr>
        <w:rPr>
          <w:rFonts w:ascii="Arial" w:hAnsi="Arial" w:cs="Arial"/>
        </w:rPr>
      </w:pPr>
      <w:r w:rsidRPr="00065E41">
        <w:rPr>
          <w:rFonts w:ascii="Arial" w:hAnsi="Arial" w:cs="Arial"/>
        </w:rPr>
        <w:t>Nuffield Trust (2023) Integrated Care Systems Explained. London: Nuffield Trust.</w:t>
      </w:r>
    </w:p>
    <w:p w14:paraId="3AD6A5E9" w14:textId="77777777" w:rsidR="00B461C1" w:rsidRPr="00065E41" w:rsidRDefault="00B461C1" w:rsidP="00B461C1">
      <w:pPr>
        <w:rPr>
          <w:rFonts w:ascii="Arial" w:hAnsi="Arial" w:cs="Arial"/>
        </w:rPr>
      </w:pPr>
      <w:r w:rsidRPr="00065E41">
        <w:rPr>
          <w:rFonts w:ascii="Arial" w:hAnsi="Arial" w:cs="Arial"/>
        </w:rPr>
        <w:t>Skills for Care (2023) Person-Centred Care and Support. Leeds: Skills for Care.</w:t>
      </w:r>
    </w:p>
    <w:p w14:paraId="57A7AFCA" w14:textId="77777777" w:rsidR="00B461C1" w:rsidRPr="00065E41" w:rsidRDefault="00B461C1" w:rsidP="00B461C1">
      <w:pPr>
        <w:rPr>
          <w:rFonts w:ascii="Arial" w:hAnsi="Arial" w:cs="Arial"/>
        </w:rPr>
      </w:pPr>
      <w:r w:rsidRPr="00065E41">
        <w:rPr>
          <w:rFonts w:ascii="Arial" w:hAnsi="Arial" w:cs="Arial"/>
        </w:rPr>
        <w:t>The Health Foundation (2014) Helping Measure Person-Centred Care. London: The Health Foundation.</w:t>
      </w:r>
    </w:p>
    <w:p w14:paraId="7CC49E95" w14:textId="77777777" w:rsidR="00A81CD1" w:rsidRPr="00065E41" w:rsidRDefault="00A81CD1">
      <w:pPr>
        <w:rPr>
          <w:rFonts w:ascii="Arial" w:hAnsi="Arial" w:cs="Arial"/>
        </w:rPr>
      </w:pPr>
    </w:p>
    <w:sectPr w:rsidR="00A81CD1" w:rsidRPr="00065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C1"/>
    <w:rsid w:val="00065E41"/>
    <w:rsid w:val="0009059E"/>
    <w:rsid w:val="004E4DB9"/>
    <w:rsid w:val="00725FE5"/>
    <w:rsid w:val="00A81CD1"/>
    <w:rsid w:val="00B461C1"/>
    <w:rsid w:val="00C55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A254D"/>
  <w15:chartTrackingRefBased/>
  <w15:docId w15:val="{B2AF05F7-EC1E-4ADA-A420-9094B225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1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61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61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61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1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1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1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1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1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1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61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61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61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1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1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1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1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1C1"/>
    <w:rPr>
      <w:rFonts w:eastAsiaTheme="majorEastAsia" w:cstheme="majorBidi"/>
      <w:color w:val="272727" w:themeColor="text1" w:themeTint="D8"/>
    </w:rPr>
  </w:style>
  <w:style w:type="paragraph" w:styleId="Title">
    <w:name w:val="Title"/>
    <w:basedOn w:val="Normal"/>
    <w:next w:val="Normal"/>
    <w:link w:val="TitleChar"/>
    <w:uiPriority w:val="10"/>
    <w:qFormat/>
    <w:rsid w:val="00B461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1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1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1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1C1"/>
    <w:pPr>
      <w:spacing w:before="160"/>
      <w:jc w:val="center"/>
    </w:pPr>
    <w:rPr>
      <w:i/>
      <w:iCs/>
      <w:color w:val="404040" w:themeColor="text1" w:themeTint="BF"/>
    </w:rPr>
  </w:style>
  <w:style w:type="character" w:customStyle="1" w:styleId="QuoteChar">
    <w:name w:val="Quote Char"/>
    <w:basedOn w:val="DefaultParagraphFont"/>
    <w:link w:val="Quote"/>
    <w:uiPriority w:val="29"/>
    <w:rsid w:val="00B461C1"/>
    <w:rPr>
      <w:i/>
      <w:iCs/>
      <w:color w:val="404040" w:themeColor="text1" w:themeTint="BF"/>
    </w:rPr>
  </w:style>
  <w:style w:type="paragraph" w:styleId="ListParagraph">
    <w:name w:val="List Paragraph"/>
    <w:basedOn w:val="Normal"/>
    <w:uiPriority w:val="34"/>
    <w:qFormat/>
    <w:rsid w:val="00B461C1"/>
    <w:pPr>
      <w:ind w:left="720"/>
      <w:contextualSpacing/>
    </w:pPr>
  </w:style>
  <w:style w:type="character" w:styleId="IntenseEmphasis">
    <w:name w:val="Intense Emphasis"/>
    <w:basedOn w:val="DefaultParagraphFont"/>
    <w:uiPriority w:val="21"/>
    <w:qFormat/>
    <w:rsid w:val="00B461C1"/>
    <w:rPr>
      <w:i/>
      <w:iCs/>
      <w:color w:val="0F4761" w:themeColor="accent1" w:themeShade="BF"/>
    </w:rPr>
  </w:style>
  <w:style w:type="paragraph" w:styleId="IntenseQuote">
    <w:name w:val="Intense Quote"/>
    <w:basedOn w:val="Normal"/>
    <w:next w:val="Normal"/>
    <w:link w:val="IntenseQuoteChar"/>
    <w:uiPriority w:val="30"/>
    <w:qFormat/>
    <w:rsid w:val="00B461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1C1"/>
    <w:rPr>
      <w:i/>
      <w:iCs/>
      <w:color w:val="0F4761" w:themeColor="accent1" w:themeShade="BF"/>
    </w:rPr>
  </w:style>
  <w:style w:type="character" w:styleId="IntenseReference">
    <w:name w:val="Intense Reference"/>
    <w:basedOn w:val="DefaultParagraphFont"/>
    <w:uiPriority w:val="32"/>
    <w:qFormat/>
    <w:rsid w:val="00B461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2871</Words>
  <Characters>16367</Characters>
  <Application>Microsoft Office Word</Application>
  <DocSecurity>0</DocSecurity>
  <Lines>136</Lines>
  <Paragraphs>38</Paragraphs>
  <ScaleCrop>false</ScaleCrop>
  <Company/>
  <LinksUpToDate>false</LinksUpToDate>
  <CharactersWithSpaces>19200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Amreen Sarmad (2421320)</dc:creator>
  <cp:keywords/>
  <dc:description/>
  <cp:lastModifiedBy>Amreen Sarmad (2421320)</cp:lastModifiedBy>
  <cp:revision>4</cp:revision>
  <dcterms:created xsi:type="dcterms:W3CDTF">2026-10-18T20:12:00Z</dcterms:created>
  <dcterms:modified xsi:type="dcterms:W3CDTF">2026-10-23T21:48:00Z</dcterms:modified>
</cp:coreProperties>
</file>