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4391" w14:textId="77777777" w:rsidR="00A71C2D" w:rsidRPr="00A71C2D" w:rsidRDefault="00A71C2D" w:rsidP="00A71C2D">
      <w:pPr>
        <w:spacing w:after="0" w:line="360" w:lineRule="auto"/>
        <w:jc w:val="both"/>
        <w:rPr>
          <w:rFonts w:ascii="Times New Roman" w:eastAsia="Times New Roman" w:hAnsi="Times New Roman" w:cs="Times New Roman"/>
          <w:b/>
          <w:bCs/>
          <w:sz w:val="24"/>
          <w:szCs w:val="24"/>
        </w:rPr>
      </w:pPr>
      <w:r w:rsidRPr="00A71C2D">
        <w:rPr>
          <w:rFonts w:ascii="Times New Roman" w:eastAsia="Times New Roman" w:hAnsi="Times New Roman" w:cs="Times New Roman"/>
          <w:b/>
          <w:bCs/>
          <w:color w:val="000000"/>
          <w:sz w:val="28"/>
          <w:szCs w:val="28"/>
        </w:rPr>
        <w:t>The recent change of debate regarding women’s participation in politics - with case study in the UK</w:t>
      </w:r>
    </w:p>
    <w:p w14:paraId="3454B8F0"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3147AFEC" w14:textId="2ECF391B"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After swearing in as Canada’s 23rd prime minister, Justin Trudeau presented a cabinet comprising 15 women and 15 </w:t>
      </w:r>
      <w:r w:rsidRPr="00A71C2D">
        <w:rPr>
          <w:rFonts w:ascii="Times New Roman" w:eastAsia="Times New Roman" w:hAnsi="Times New Roman" w:cs="Times New Roman"/>
          <w:color w:val="000000"/>
          <w:sz w:val="28"/>
          <w:szCs w:val="28"/>
        </w:rPr>
        <w:t>men and</w:t>
      </w:r>
      <w:r w:rsidRPr="00A71C2D">
        <w:rPr>
          <w:rFonts w:ascii="Times New Roman" w:eastAsia="Times New Roman" w:hAnsi="Times New Roman" w:cs="Times New Roman"/>
          <w:color w:val="000000"/>
          <w:sz w:val="28"/>
          <w:szCs w:val="28"/>
        </w:rPr>
        <w:t xml:space="preserve"> explained amusingly “Because it’s 2015” (Murphy, 2015). By doing so, he fulfilled his promise on gender parity and that was the first time in Canada’s history to have an equal number of men and women in its ministerial team (Palmer and </w:t>
      </w:r>
      <w:proofErr w:type="spellStart"/>
      <w:r w:rsidRPr="00A71C2D">
        <w:rPr>
          <w:rFonts w:ascii="Times New Roman" w:eastAsia="Times New Roman" w:hAnsi="Times New Roman" w:cs="Times New Roman"/>
          <w:color w:val="000000"/>
          <w:sz w:val="28"/>
          <w:szCs w:val="28"/>
        </w:rPr>
        <w:t>Ljunggren</w:t>
      </w:r>
      <w:proofErr w:type="spellEnd"/>
      <w:r w:rsidRPr="00A71C2D">
        <w:rPr>
          <w:rFonts w:ascii="Times New Roman" w:eastAsia="Times New Roman" w:hAnsi="Times New Roman" w:cs="Times New Roman"/>
          <w:color w:val="000000"/>
          <w:sz w:val="28"/>
          <w:szCs w:val="28"/>
        </w:rPr>
        <w:t>, 2015). In addition, the then female ministers were assigned to major positions such as trade and reform (Murphy, 2015). </w:t>
      </w:r>
    </w:p>
    <w:p w14:paraId="2634B752"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4F697C4F"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Abrams et al (2005, p. 161) remarked that Western societies have been known historically to keep certain groups of people from being full-fledged members of the society and having legal rights. According to The Charity Commission (2001), the term ‘social inclusion’ is frequently used to define the opposite effect to ‘social exclusion’. Many people believe it stems from ‘positive action taken to change the circumstances and habits that lead, or have led, to social exclusion’ (The Charity Commission, 2001). The Commission stated that, in other words, social inclusion is about making it possible for individuals or groups to ‘fully participate in society’. Abrams et al (2005, p. 1) noted that ‘social life is developed on the grounds of connections with others, where people long for ‘inclusion and belongingness’, adding that in many cases, excluded parties may seek ways to reverse the situation, with an aim of creating ‘a positive outcome for themselves’ (2005, p. 3). </w:t>
      </w:r>
    </w:p>
    <w:p w14:paraId="1CD2D365"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5F04845C" w14:textId="53449266"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Meanwhile, ‘social exclusion’ describes the phenomenon where a group of people ‘have no recognition’ or are excluded by the society, for instance due to discrimination or disability (The Charity Commission, 2001). Abrams et al (2005) held that ‘being and feeling excluded’ takes a toll on people’s mind and material. </w:t>
      </w:r>
      <w:r w:rsidRPr="00A71C2D">
        <w:rPr>
          <w:rFonts w:ascii="Times New Roman" w:eastAsia="Times New Roman" w:hAnsi="Times New Roman" w:cs="Times New Roman"/>
          <w:color w:val="000000"/>
          <w:sz w:val="28"/>
          <w:szCs w:val="28"/>
        </w:rPr>
        <w:lastRenderedPageBreak/>
        <w:t xml:space="preserve">They warn that exclusion </w:t>
      </w:r>
      <w:r>
        <w:rPr>
          <w:rFonts w:ascii="Times New Roman" w:eastAsia="Times New Roman" w:hAnsi="Times New Roman" w:cs="Times New Roman"/>
          <w:color w:val="000000"/>
          <w:sz w:val="28"/>
          <w:szCs w:val="28"/>
        </w:rPr>
        <w:t>has an adverse impact</w:t>
      </w:r>
      <w:r w:rsidRPr="00A71C2D">
        <w:rPr>
          <w:rFonts w:ascii="Times New Roman" w:eastAsia="Times New Roman" w:hAnsi="Times New Roman" w:cs="Times New Roman"/>
          <w:color w:val="000000"/>
          <w:sz w:val="28"/>
          <w:szCs w:val="28"/>
        </w:rPr>
        <w:t xml:space="preserve"> to the communities as well as prompts conditions leading to ‘conflicts, increased inequality and mistrust’ (Abrams et al, 2005, p. 4). Furthermore, social exclusion is thought to keep stakeholders from earning necessary ‘resources for participation in social, economic and political activity’ and gaining ‘access for support and opportunity’ (Pierson, 2010, p. 23). Kendall (2016) held a view that inclusion </w:t>
      </w:r>
      <w:proofErr w:type="gramStart"/>
      <w:r w:rsidRPr="00A71C2D">
        <w:rPr>
          <w:rFonts w:ascii="Times New Roman" w:eastAsia="Times New Roman" w:hAnsi="Times New Roman" w:cs="Times New Roman"/>
          <w:color w:val="000000"/>
          <w:sz w:val="28"/>
          <w:szCs w:val="28"/>
        </w:rPr>
        <w:t>takes into account</w:t>
      </w:r>
      <w:proofErr w:type="gramEnd"/>
      <w:r w:rsidRPr="00A71C2D">
        <w:rPr>
          <w:rFonts w:ascii="Times New Roman" w:eastAsia="Times New Roman" w:hAnsi="Times New Roman" w:cs="Times New Roman"/>
          <w:color w:val="000000"/>
          <w:sz w:val="28"/>
          <w:szCs w:val="28"/>
        </w:rPr>
        <w:t xml:space="preserve"> ‘matters of identity and participation’, as well as ‘subject matter and scholarly approach’. It is projected to generate ‘a more informed and reflexive field of knowledge’, Kendall (2016) added, warning that a politics of inclusion ‘harbours its own risks’. </w:t>
      </w:r>
    </w:p>
    <w:p w14:paraId="4B569FE1"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55404823"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Some people hold a strong belief in ‘an appropriate gender balance’ in politics, arguing the situation that one sex </w:t>
      </w:r>
      <w:proofErr w:type="gramStart"/>
      <w:r w:rsidRPr="00A71C2D">
        <w:rPr>
          <w:rFonts w:ascii="Times New Roman" w:eastAsia="Times New Roman" w:hAnsi="Times New Roman" w:cs="Times New Roman"/>
          <w:color w:val="000000"/>
          <w:sz w:val="28"/>
          <w:szCs w:val="28"/>
        </w:rPr>
        <w:t>is able to</w:t>
      </w:r>
      <w:proofErr w:type="gramEnd"/>
      <w:r w:rsidRPr="00A71C2D">
        <w:rPr>
          <w:rFonts w:ascii="Times New Roman" w:eastAsia="Times New Roman" w:hAnsi="Times New Roman" w:cs="Times New Roman"/>
          <w:color w:val="000000"/>
          <w:sz w:val="28"/>
          <w:szCs w:val="28"/>
        </w:rPr>
        <w:t xml:space="preserve"> exert control over ‘the near-exclusion of the other’ would be unsettling (Bryson, 1999, p. 112). Similarly, many feminists reiterated that this exclusion is politically significant, for reflecting and maintaining ‘discrimination and oppression’. Women across the world were only given the right to vote in the 19th century. The first country to allow women to do so was New Zealand in 1894, followed by Australia, Finland and Norway in the next 20 years (Bryson, 1999). Since then, </w:t>
      </w:r>
      <w:proofErr w:type="gramStart"/>
      <w:r w:rsidRPr="00A71C2D">
        <w:rPr>
          <w:rFonts w:ascii="Times New Roman" w:eastAsia="Times New Roman" w:hAnsi="Times New Roman" w:cs="Times New Roman"/>
          <w:color w:val="000000"/>
          <w:sz w:val="28"/>
          <w:szCs w:val="28"/>
        </w:rPr>
        <w:t>a number of</w:t>
      </w:r>
      <w:proofErr w:type="gramEnd"/>
      <w:r w:rsidRPr="00A71C2D">
        <w:rPr>
          <w:rFonts w:ascii="Times New Roman" w:eastAsia="Times New Roman" w:hAnsi="Times New Roman" w:cs="Times New Roman"/>
          <w:color w:val="000000"/>
          <w:sz w:val="28"/>
          <w:szCs w:val="28"/>
        </w:rPr>
        <w:t xml:space="preserve"> women have become high-ranking leaders of their respective nations (Time, no date), namely Angela Merkel of Germany and Jacinda Ardern of New Zealand. However, it is pointed out by the UN Women that only 28 countries worldwide having 30 women served as ‘Heads of State and/or Government’ as of September 2022. In retrospect, the roads to foster women’s participation in politics have been littered with thorns in many countries, including the UK, where feminists struggled for over 50 years to obtain votes for women (Kent, 1986, p. 184).</w:t>
      </w:r>
    </w:p>
    <w:p w14:paraId="1E1C58E8"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408B8F3A"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Women in late 19th and early 20th century in Britain who formed part of the ‘campaign for women’s parliamentary enfranchisement’ were called ‘suffragist’, </w:t>
      </w:r>
      <w:r w:rsidRPr="00A71C2D">
        <w:rPr>
          <w:rFonts w:ascii="Times New Roman" w:eastAsia="Times New Roman" w:hAnsi="Times New Roman" w:cs="Times New Roman"/>
          <w:color w:val="000000"/>
          <w:sz w:val="28"/>
          <w:szCs w:val="28"/>
        </w:rPr>
        <w:lastRenderedPageBreak/>
        <w:t>while ‘suffragette’ included women holding the belief that the only legal method to overturn ‘women’s exclusion from the franchise’ was ‘resistance’ - or ‘use of militancy’ to existing government (</w:t>
      </w:r>
      <w:proofErr w:type="spellStart"/>
      <w:r w:rsidRPr="00A71C2D">
        <w:rPr>
          <w:rFonts w:ascii="Times New Roman" w:eastAsia="Times New Roman" w:hAnsi="Times New Roman" w:cs="Times New Roman"/>
          <w:color w:val="000000"/>
          <w:sz w:val="28"/>
          <w:szCs w:val="28"/>
        </w:rPr>
        <w:t>Nym</w:t>
      </w:r>
      <w:proofErr w:type="spellEnd"/>
      <w:r w:rsidRPr="00A71C2D">
        <w:rPr>
          <w:rFonts w:ascii="Times New Roman" w:eastAsia="Times New Roman" w:hAnsi="Times New Roman" w:cs="Times New Roman"/>
          <w:color w:val="000000"/>
          <w:sz w:val="28"/>
          <w:szCs w:val="28"/>
        </w:rPr>
        <w:t xml:space="preserve"> </w:t>
      </w:r>
      <w:proofErr w:type="spellStart"/>
      <w:r w:rsidRPr="00A71C2D">
        <w:rPr>
          <w:rFonts w:ascii="Times New Roman" w:eastAsia="Times New Roman" w:hAnsi="Times New Roman" w:cs="Times New Roman"/>
          <w:color w:val="000000"/>
          <w:sz w:val="28"/>
          <w:szCs w:val="28"/>
        </w:rPr>
        <w:t>Mayhall</w:t>
      </w:r>
      <w:proofErr w:type="spellEnd"/>
      <w:r w:rsidRPr="00A71C2D">
        <w:rPr>
          <w:rFonts w:ascii="Times New Roman" w:eastAsia="Times New Roman" w:hAnsi="Times New Roman" w:cs="Times New Roman"/>
          <w:color w:val="000000"/>
          <w:sz w:val="28"/>
          <w:szCs w:val="28"/>
        </w:rPr>
        <w:t>, 2001). Although they held different viewpoints on methods to obtain what they hoped for, both demanded votes for women ‘on the same terms as it was or should be granted for men’ (Kent, 1986, p. 207).</w:t>
      </w:r>
    </w:p>
    <w:p w14:paraId="450280D5"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0C154047" w14:textId="0F05EB06"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Bryson (1999) observed that only men can legislate to vote on issues related to ‘reproduction or sexual violence’ without consulting women’s opinions, was believed to be wrong. In the eyes of feminists, as ‘the primary carers’ of many, including children and senior citizens, and as workers who are underpaid and underappreciated, women have </w:t>
      </w:r>
      <w:r w:rsidRPr="00A71C2D">
        <w:rPr>
          <w:rFonts w:ascii="Times New Roman" w:eastAsia="Times New Roman" w:hAnsi="Times New Roman" w:cs="Times New Roman"/>
          <w:color w:val="000000"/>
          <w:sz w:val="28"/>
          <w:szCs w:val="28"/>
        </w:rPr>
        <w:t>concerns</w:t>
      </w:r>
      <w:r w:rsidRPr="00A71C2D">
        <w:rPr>
          <w:rFonts w:ascii="Times New Roman" w:eastAsia="Times New Roman" w:hAnsi="Times New Roman" w:cs="Times New Roman"/>
          <w:color w:val="000000"/>
          <w:sz w:val="28"/>
          <w:szCs w:val="28"/>
        </w:rPr>
        <w:t xml:space="preserve"> and interests in fields closely related to them, as well as other ‘gender-neutral’ sectors (Bryson, 1999, p. 113). In the 19th century, British suffragists were restricted by ‘a liberal political discourse’ that: </w:t>
      </w:r>
    </w:p>
    <w:p w14:paraId="264F8F8E" w14:textId="77777777" w:rsidR="00A71C2D" w:rsidRPr="00A71C2D" w:rsidRDefault="00A71C2D" w:rsidP="00A71C2D">
      <w:pPr>
        <w:spacing w:after="0" w:line="360" w:lineRule="auto"/>
        <w:ind w:left="720" w:right="540"/>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gave women no claim to political enfranchisement on the grounds of natural right, but their relation to their oppressors, as wives, mothers, daughters, of the (white) men to whom they appealed, offered them different possibilities for resolution (</w:t>
      </w:r>
      <w:proofErr w:type="spellStart"/>
      <w:r w:rsidRPr="00A71C2D">
        <w:rPr>
          <w:rFonts w:ascii="Times New Roman" w:eastAsia="Times New Roman" w:hAnsi="Times New Roman" w:cs="Times New Roman"/>
          <w:color w:val="000000"/>
          <w:sz w:val="28"/>
          <w:szCs w:val="28"/>
        </w:rPr>
        <w:t>Nym</w:t>
      </w:r>
      <w:proofErr w:type="spellEnd"/>
      <w:r w:rsidRPr="00A71C2D">
        <w:rPr>
          <w:rFonts w:ascii="Times New Roman" w:eastAsia="Times New Roman" w:hAnsi="Times New Roman" w:cs="Times New Roman"/>
          <w:color w:val="000000"/>
          <w:sz w:val="28"/>
          <w:szCs w:val="28"/>
        </w:rPr>
        <w:t xml:space="preserve"> </w:t>
      </w:r>
      <w:proofErr w:type="spellStart"/>
      <w:r w:rsidRPr="00A71C2D">
        <w:rPr>
          <w:rFonts w:ascii="Times New Roman" w:eastAsia="Times New Roman" w:hAnsi="Times New Roman" w:cs="Times New Roman"/>
          <w:color w:val="000000"/>
          <w:sz w:val="28"/>
          <w:szCs w:val="28"/>
        </w:rPr>
        <w:t>Mayhall</w:t>
      </w:r>
      <w:proofErr w:type="spellEnd"/>
      <w:r w:rsidRPr="00A71C2D">
        <w:rPr>
          <w:rFonts w:ascii="Times New Roman" w:eastAsia="Times New Roman" w:hAnsi="Times New Roman" w:cs="Times New Roman"/>
          <w:color w:val="000000"/>
          <w:sz w:val="28"/>
          <w:szCs w:val="28"/>
        </w:rPr>
        <w:t>, 2001).</w:t>
      </w:r>
    </w:p>
    <w:p w14:paraId="5542F10F"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0426A851" w14:textId="77777777" w:rsidR="00A71C2D" w:rsidRPr="00A71C2D" w:rsidRDefault="00A71C2D" w:rsidP="00A71C2D">
      <w:pPr>
        <w:spacing w:after="0" w:line="360" w:lineRule="auto"/>
        <w:ind w:right="540"/>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At that time, for middle-class women, the sole economic security source was to find a husband and reality was less important than beliefs about appropriate gender roles (Bryson, 1992, p. 51-52). This ideology set unmarried and working women aside, and even viewed them as failures.</w:t>
      </w:r>
    </w:p>
    <w:p w14:paraId="5A13D310"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4594EA06" w14:textId="77777777" w:rsidR="00A71C2D" w:rsidRPr="00A71C2D" w:rsidRDefault="00A71C2D" w:rsidP="00A71C2D">
      <w:pPr>
        <w:spacing w:after="0" w:line="360" w:lineRule="auto"/>
        <w:ind w:right="540"/>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British suffragettes were viewed, by the courts, as ‘political prisoners rather than common criminals’ (Kent, 1986, p. 198). </w:t>
      </w:r>
      <w:proofErr w:type="gramStart"/>
      <w:r w:rsidRPr="00A71C2D">
        <w:rPr>
          <w:rFonts w:ascii="Times New Roman" w:eastAsia="Times New Roman" w:hAnsi="Times New Roman" w:cs="Times New Roman"/>
          <w:color w:val="000000"/>
          <w:sz w:val="28"/>
          <w:szCs w:val="28"/>
        </w:rPr>
        <w:t>A number of</w:t>
      </w:r>
      <w:proofErr w:type="gramEnd"/>
      <w:r w:rsidRPr="00A71C2D">
        <w:rPr>
          <w:rFonts w:ascii="Times New Roman" w:eastAsia="Times New Roman" w:hAnsi="Times New Roman" w:cs="Times New Roman"/>
          <w:color w:val="000000"/>
          <w:sz w:val="28"/>
          <w:szCs w:val="28"/>
        </w:rPr>
        <w:t xml:space="preserve"> the suffragettes were attacked and sexually harassed by police and male bystanders. Furthermore, some people equated the women’s presence in public with prostitution and commented: </w:t>
      </w:r>
    </w:p>
    <w:p w14:paraId="7CE2C084" w14:textId="736F9103" w:rsidR="00A71C2D" w:rsidRPr="00A71C2D" w:rsidRDefault="00A71C2D" w:rsidP="00A71C2D">
      <w:pPr>
        <w:spacing w:after="0" w:line="360" w:lineRule="auto"/>
        <w:ind w:left="720" w:right="990"/>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lastRenderedPageBreak/>
        <w:t xml:space="preserve">Those who stepped out of the </w:t>
      </w:r>
      <w:r w:rsidRPr="00A71C2D">
        <w:rPr>
          <w:rFonts w:ascii="Times New Roman" w:eastAsia="Times New Roman" w:hAnsi="Times New Roman" w:cs="Times New Roman"/>
          <w:color w:val="000000"/>
          <w:sz w:val="28"/>
          <w:szCs w:val="28"/>
        </w:rPr>
        <w:t>God-given</w:t>
      </w:r>
      <w:r w:rsidRPr="00A71C2D">
        <w:rPr>
          <w:rFonts w:ascii="Times New Roman" w:eastAsia="Times New Roman" w:hAnsi="Times New Roman" w:cs="Times New Roman"/>
          <w:color w:val="000000"/>
          <w:sz w:val="28"/>
          <w:szCs w:val="28"/>
        </w:rPr>
        <w:t xml:space="preserve"> realm of their sexual and reproductive functions were regarded as sexual malaise or incompleteness (Kent, 1986, p. 200).</w:t>
      </w:r>
    </w:p>
    <w:p w14:paraId="22008E14"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0A574E24" w14:textId="41F112B7" w:rsidR="00A71C2D" w:rsidRPr="00A71C2D" w:rsidRDefault="00A71C2D" w:rsidP="00A71C2D">
      <w:pPr>
        <w:spacing w:after="0" w:line="360" w:lineRule="auto"/>
        <w:ind w:right="-90"/>
        <w:jc w:val="both"/>
        <w:rPr>
          <w:rFonts w:ascii="Times New Roman" w:eastAsia="Times New Roman" w:hAnsi="Times New Roman" w:cs="Times New Roman"/>
          <w:sz w:val="24"/>
          <w:szCs w:val="24"/>
        </w:rPr>
      </w:pPr>
      <w:proofErr w:type="spellStart"/>
      <w:r w:rsidRPr="00A71C2D">
        <w:rPr>
          <w:rFonts w:ascii="Times New Roman" w:eastAsia="Times New Roman" w:hAnsi="Times New Roman" w:cs="Times New Roman"/>
          <w:color w:val="000000"/>
          <w:sz w:val="28"/>
          <w:szCs w:val="28"/>
        </w:rPr>
        <w:t>Nym</w:t>
      </w:r>
      <w:proofErr w:type="spellEnd"/>
      <w:r w:rsidRPr="00A71C2D">
        <w:rPr>
          <w:rFonts w:ascii="Times New Roman" w:eastAsia="Times New Roman" w:hAnsi="Times New Roman" w:cs="Times New Roman"/>
          <w:color w:val="000000"/>
          <w:sz w:val="28"/>
          <w:szCs w:val="28"/>
        </w:rPr>
        <w:t xml:space="preserve"> </w:t>
      </w:r>
      <w:proofErr w:type="spellStart"/>
      <w:r w:rsidRPr="00A71C2D">
        <w:rPr>
          <w:rFonts w:ascii="Times New Roman" w:eastAsia="Times New Roman" w:hAnsi="Times New Roman" w:cs="Times New Roman"/>
          <w:color w:val="000000"/>
          <w:sz w:val="28"/>
          <w:szCs w:val="28"/>
        </w:rPr>
        <w:t>Mayhall</w:t>
      </w:r>
      <w:proofErr w:type="spellEnd"/>
      <w:r w:rsidRPr="00A71C2D">
        <w:rPr>
          <w:rFonts w:ascii="Times New Roman" w:eastAsia="Times New Roman" w:hAnsi="Times New Roman" w:cs="Times New Roman"/>
          <w:color w:val="000000"/>
          <w:sz w:val="28"/>
          <w:szCs w:val="28"/>
        </w:rPr>
        <w:t xml:space="preserve"> (2001) also underlined that </w:t>
      </w:r>
      <w:r>
        <w:rPr>
          <w:rFonts w:ascii="Times New Roman" w:eastAsia="Times New Roman" w:hAnsi="Times New Roman" w:cs="Times New Roman"/>
          <w:color w:val="000000"/>
          <w:sz w:val="28"/>
          <w:szCs w:val="28"/>
        </w:rPr>
        <w:t xml:space="preserve">the </w:t>
      </w:r>
      <w:r w:rsidRPr="00A71C2D">
        <w:rPr>
          <w:rFonts w:ascii="Times New Roman" w:eastAsia="Times New Roman" w:hAnsi="Times New Roman" w:cs="Times New Roman"/>
          <w:color w:val="000000"/>
          <w:sz w:val="28"/>
          <w:szCs w:val="28"/>
        </w:rPr>
        <w:t>suffragettes made a connection between ‘state and family</w:t>
      </w:r>
      <w:proofErr w:type="gramStart"/>
      <w:r w:rsidRPr="00A71C2D">
        <w:rPr>
          <w:rFonts w:ascii="Times New Roman" w:eastAsia="Times New Roman" w:hAnsi="Times New Roman" w:cs="Times New Roman"/>
          <w:color w:val="000000"/>
          <w:sz w:val="28"/>
          <w:szCs w:val="28"/>
        </w:rPr>
        <w:t>’, and</w:t>
      </w:r>
      <w:proofErr w:type="gramEnd"/>
      <w:r w:rsidRPr="00A71C2D">
        <w:rPr>
          <w:rFonts w:ascii="Times New Roman" w:eastAsia="Times New Roman" w:hAnsi="Times New Roman" w:cs="Times New Roman"/>
          <w:color w:val="000000"/>
          <w:sz w:val="28"/>
          <w:szCs w:val="28"/>
        </w:rPr>
        <w:t xml:space="preserve"> worked to change their ‘exclusion from the duties of citizenship’ in opposition to anti-suffragist opinions of keeping women out of political life.</w:t>
      </w:r>
    </w:p>
    <w:p w14:paraId="525D6962"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64A0B82E" w14:textId="77777777" w:rsidR="00A71C2D" w:rsidRPr="00A71C2D" w:rsidRDefault="00A71C2D" w:rsidP="00A71C2D">
      <w:pPr>
        <w:spacing w:after="0" w:line="360" w:lineRule="auto"/>
        <w:ind w:right="-90"/>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With the ‘Representation of the People Act’ being passed in 1918, women candidates in the UK could be elected to the parliament a year after the success of the suffragettes to ensure women’s right to vote (Pugh, 2000, p. 52; UK Parliament, no date). Nancy Ashton described the first five years in the House of Commons as ‘hell’ and ‘some members of the House, including previous friends’ showed signs of disapproval (gov.UK blogs, no date). </w:t>
      </w:r>
    </w:p>
    <w:p w14:paraId="04C6A5EA"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53D7B662"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In post-1918, Britain women gained a prominent role in the work of the Conservative Party, and appeared as speakers in conference debates (Pugh, 2000, p. 126), although the impacts on the party’s overall strategy was limited. Bryson (1999, p. 104) noted that the women’s committee has an important role to play in some Labour authorities, including influencing policy and linking the authority and the voluntary sector, together with progress in the fight against domestic violence. Nevertheless, there were criticisms regarding the failure of the female parliament members to create changes in the 1930s (Pugh, 2000, p. 199). Following the achievements of the suffragists and suffragettes and World War II, however, the percentage of women MPs in the House of Commons stayed low at 3-4 per cent and hovered around that figure in the late 1980s, making the UK earn the title of ‘unfriendly’ toward female politicians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2010). </w:t>
      </w:r>
    </w:p>
    <w:p w14:paraId="157CA62B"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69FF8DEB" w14:textId="06993BA8"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lastRenderedPageBreak/>
        <w:t>Margaret Thatcher’s emergence as leader of the Conservative Party in 1975 and as prime minister four years later represented the climax of female advance in Britain in the 20th century (Pugh, 2000, p. 335), while for some members of her party, her premiership was believed to cause difficulties (Clark, 2012, p. 60). Thatcher began her political career in the 1950s, at the time when hardly any women held ‘parliamentary or government posts in the UK or any other country in Western societies’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xml:space="preserve">, 2010). Furthermore, </w:t>
      </w:r>
      <w:proofErr w:type="gramStart"/>
      <w:r w:rsidRPr="00A71C2D">
        <w:rPr>
          <w:rFonts w:ascii="Times New Roman" w:eastAsia="Times New Roman" w:hAnsi="Times New Roman" w:cs="Times New Roman"/>
          <w:color w:val="000000"/>
          <w:sz w:val="28"/>
          <w:szCs w:val="28"/>
        </w:rPr>
        <w:t>a number of</w:t>
      </w:r>
      <w:proofErr w:type="gramEnd"/>
      <w:r w:rsidRPr="00A71C2D">
        <w:rPr>
          <w:rFonts w:ascii="Times New Roman" w:eastAsia="Times New Roman" w:hAnsi="Times New Roman" w:cs="Times New Roman"/>
          <w:color w:val="000000"/>
          <w:sz w:val="28"/>
          <w:szCs w:val="28"/>
        </w:rPr>
        <w:t xml:space="preserve"> studies showed that voters’ hospitality towards women candidates had become ‘limited’ (Pugh, 2000, p. 170). Apparently, upon her election, there were surprises, ‘mixed feelings and resistance’. In her Party, high-ranking members, all of them men, had difficulties dealing with ‘the thought of being led by a woman’ (Thatcher, 2008; </w:t>
      </w:r>
      <w:proofErr w:type="spellStart"/>
      <w:r w:rsidRPr="00A71C2D">
        <w:rPr>
          <w:rFonts w:ascii="Times New Roman" w:eastAsia="Times New Roman" w:hAnsi="Times New Roman" w:cs="Times New Roman"/>
          <w:color w:val="000000"/>
          <w:sz w:val="28"/>
          <w:szCs w:val="28"/>
        </w:rPr>
        <w:t>Ribbenrink</w:t>
      </w:r>
      <w:proofErr w:type="spellEnd"/>
      <w:r w:rsidRPr="00A71C2D">
        <w:rPr>
          <w:rFonts w:ascii="Times New Roman" w:eastAsia="Times New Roman" w:hAnsi="Times New Roman" w:cs="Times New Roman"/>
          <w:color w:val="000000"/>
          <w:sz w:val="28"/>
          <w:szCs w:val="28"/>
        </w:rPr>
        <w:t xml:space="preserve">, 2010). </w:t>
      </w:r>
      <w:r w:rsidRPr="00A71C2D">
        <w:rPr>
          <w:rFonts w:ascii="Times New Roman" w:eastAsia="Times New Roman" w:hAnsi="Times New Roman" w:cs="Times New Roman"/>
          <w:color w:val="000000"/>
          <w:sz w:val="28"/>
          <w:szCs w:val="28"/>
        </w:rPr>
        <w:t>Many</w:t>
      </w:r>
      <w:r w:rsidRPr="00A71C2D">
        <w:rPr>
          <w:rFonts w:ascii="Times New Roman" w:eastAsia="Times New Roman" w:hAnsi="Times New Roman" w:cs="Times New Roman"/>
          <w:color w:val="000000"/>
          <w:sz w:val="28"/>
          <w:szCs w:val="28"/>
        </w:rPr>
        <w:t xml:space="preserve"> people at this time believed that women could not fulfil the role of ‘competent politicians’ as they did not possess the required set of qualities, compared to their male counterparts, </w:t>
      </w:r>
      <w:proofErr w:type="spellStart"/>
      <w:r w:rsidRPr="00A71C2D">
        <w:rPr>
          <w:rFonts w:ascii="Times New Roman" w:eastAsia="Times New Roman" w:hAnsi="Times New Roman" w:cs="Times New Roman"/>
          <w:color w:val="000000"/>
          <w:sz w:val="28"/>
          <w:szCs w:val="28"/>
        </w:rPr>
        <w:t>Ribbenrink</w:t>
      </w:r>
      <w:proofErr w:type="spellEnd"/>
      <w:r w:rsidRPr="00A71C2D">
        <w:rPr>
          <w:rFonts w:ascii="Times New Roman" w:eastAsia="Times New Roman" w:hAnsi="Times New Roman" w:cs="Times New Roman"/>
          <w:color w:val="000000"/>
          <w:sz w:val="28"/>
          <w:szCs w:val="28"/>
        </w:rPr>
        <w:t xml:space="preserve"> (2010) stated. Thatcher appeared to be a controversial female politician among women and the country’s history as her government introduced some policies that ran counter to women’s benefits while others boosted employment for women, for instance (Pugh, 2000, p. 336;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xml:space="preserve">, 2010). She won elections in 1983 and 1987 and strengthened various women’s belief in the 1990s that women could take over leadership roles. And in the decade, a </w:t>
      </w:r>
      <w:r>
        <w:rPr>
          <w:rFonts w:ascii="Times New Roman" w:eastAsia="Times New Roman" w:hAnsi="Times New Roman" w:cs="Times New Roman"/>
          <w:color w:val="000000"/>
          <w:sz w:val="28"/>
          <w:szCs w:val="28"/>
        </w:rPr>
        <w:t xml:space="preserve">growing </w:t>
      </w:r>
      <w:r w:rsidRPr="00A71C2D">
        <w:rPr>
          <w:rFonts w:ascii="Times New Roman" w:eastAsia="Times New Roman" w:hAnsi="Times New Roman" w:cs="Times New Roman"/>
          <w:color w:val="000000"/>
          <w:sz w:val="28"/>
          <w:szCs w:val="28"/>
        </w:rPr>
        <w:t xml:space="preserve">number of women in the UK were appointed to high positions across various sectors and agencies (Pugh, 2000, p. 337;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2010). </w:t>
      </w:r>
    </w:p>
    <w:p w14:paraId="0BF46975" w14:textId="77777777" w:rsidR="00A71C2D" w:rsidRPr="00A71C2D" w:rsidRDefault="00A71C2D" w:rsidP="00A71C2D">
      <w:pPr>
        <w:spacing w:after="240" w:line="360" w:lineRule="auto"/>
        <w:jc w:val="both"/>
        <w:rPr>
          <w:rFonts w:ascii="Times New Roman" w:eastAsia="Times New Roman" w:hAnsi="Times New Roman" w:cs="Times New Roman"/>
          <w:sz w:val="24"/>
          <w:szCs w:val="24"/>
        </w:rPr>
      </w:pPr>
    </w:p>
    <w:p w14:paraId="3A7E755C"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roofErr w:type="spellStart"/>
      <w:r w:rsidRPr="00A71C2D">
        <w:rPr>
          <w:rFonts w:ascii="Times New Roman" w:eastAsia="Times New Roman" w:hAnsi="Times New Roman" w:cs="Times New Roman"/>
          <w:color w:val="000000"/>
          <w:sz w:val="28"/>
          <w:szCs w:val="28"/>
        </w:rPr>
        <w:t>Nym</w:t>
      </w:r>
      <w:proofErr w:type="spellEnd"/>
      <w:r w:rsidRPr="00A71C2D">
        <w:rPr>
          <w:rFonts w:ascii="Times New Roman" w:eastAsia="Times New Roman" w:hAnsi="Times New Roman" w:cs="Times New Roman"/>
          <w:color w:val="000000"/>
          <w:sz w:val="28"/>
          <w:szCs w:val="28"/>
        </w:rPr>
        <w:t xml:space="preserve"> Mayhem (2001) pointed out that since the early days of the suffrage campaign, some people have linked ‘the subordination of women to custom and a lack of education’. In addition, the low number of women in political activities could be attributable to their responsibility for ‘domestic work’, which usually puts them at a disadvantage in terms of employment and discrimination (Bryson, </w:t>
      </w:r>
      <w:r w:rsidRPr="00A71C2D">
        <w:rPr>
          <w:rFonts w:ascii="Times New Roman" w:eastAsia="Times New Roman" w:hAnsi="Times New Roman" w:cs="Times New Roman"/>
          <w:color w:val="000000"/>
          <w:sz w:val="28"/>
          <w:szCs w:val="28"/>
        </w:rPr>
        <w:lastRenderedPageBreak/>
        <w:t xml:space="preserve">1999). In his book </w:t>
      </w:r>
      <w:r w:rsidRPr="00A71C2D">
        <w:rPr>
          <w:rFonts w:ascii="Times New Roman" w:eastAsia="Times New Roman" w:hAnsi="Times New Roman" w:cs="Times New Roman"/>
          <w:i/>
          <w:iCs/>
          <w:color w:val="000000"/>
          <w:sz w:val="28"/>
          <w:szCs w:val="28"/>
        </w:rPr>
        <w:t>The Subjection of Women</w:t>
      </w:r>
      <w:r w:rsidRPr="00A71C2D">
        <w:rPr>
          <w:rFonts w:ascii="Times New Roman" w:eastAsia="Times New Roman" w:hAnsi="Times New Roman" w:cs="Times New Roman"/>
          <w:color w:val="000000"/>
          <w:sz w:val="28"/>
          <w:szCs w:val="28"/>
        </w:rPr>
        <w:t>, John Stuart Mill argued that ‘family is the nation’ and ‘tyranny exists in the state mirrors the tyranny enacted in the family’ (</w:t>
      </w:r>
      <w:proofErr w:type="spellStart"/>
      <w:r w:rsidRPr="00A71C2D">
        <w:rPr>
          <w:rFonts w:ascii="Times New Roman" w:eastAsia="Times New Roman" w:hAnsi="Times New Roman" w:cs="Times New Roman"/>
          <w:color w:val="000000"/>
          <w:sz w:val="28"/>
          <w:szCs w:val="28"/>
        </w:rPr>
        <w:t>Nym</w:t>
      </w:r>
      <w:proofErr w:type="spellEnd"/>
      <w:r w:rsidRPr="00A71C2D">
        <w:rPr>
          <w:rFonts w:ascii="Times New Roman" w:eastAsia="Times New Roman" w:hAnsi="Times New Roman" w:cs="Times New Roman"/>
          <w:color w:val="000000"/>
          <w:sz w:val="28"/>
          <w:szCs w:val="28"/>
        </w:rPr>
        <w:t xml:space="preserve"> Mayhem, 2001), seeking a way to help women engage in political activity. Echoing the views on the significance of education, Bryson (1992, p. 64) emphasised that education therefore has a major role to play in women’s liberalisation from old-fashioned ideology. This therefore gives them access to jobs and enables them to take suitable paths of their choice, rather than believing that they only have one option of finding a man to rely on (Bryson, 1992). At present, it is reported that female students in the UK ‘generally outperform’ their male schoolmates (West, 2022), showing women’s competency together with efforts being made in countering their subordination. More women have achieved economic independence and legislative assemblies have become a better environment for women, indicated by the increasing number of women representation (Bryson, 1999). Blumenau (2021) affirmed that findings have found the close-knit bond between female politicians and women’s representation. Even under ‘an underappreciated mechanism’, the presence of female political leaders matters as it ‘amplifies the voice of other women’, motivates girls to nurture their career ambitions and engages more women in the political discourse. Sarpong (2022) emphasised that in the diversity and inclusion agenda, endorsement from people from affluent backgrounds and high positions can help disrupt and counter inequality, giving people and women in particular the chance to prove their worth. She called for more:</w:t>
      </w:r>
    </w:p>
    <w:p w14:paraId="20692BAE" w14:textId="77777777" w:rsidR="00A71C2D" w:rsidRPr="00A71C2D" w:rsidRDefault="00A71C2D" w:rsidP="00A71C2D">
      <w:pPr>
        <w:spacing w:after="0" w:line="360" w:lineRule="auto"/>
        <w:ind w:left="720" w:right="630"/>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disruptors who are uncomfortable with the status quo, even if the status quo benefits them and in fact, especially if the status quo benefits them (Sarpong, 2022).</w:t>
      </w:r>
    </w:p>
    <w:p w14:paraId="7DBD8334"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6A5F6FA7"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In the world of politics, the pledge of Trudeau when being re-elected for the third term as Canadian PM in late 2021, that he ‘would stick to his practice of naming </w:t>
      </w:r>
      <w:r w:rsidRPr="00A71C2D">
        <w:rPr>
          <w:rFonts w:ascii="Times New Roman" w:eastAsia="Times New Roman" w:hAnsi="Times New Roman" w:cs="Times New Roman"/>
          <w:color w:val="000000"/>
          <w:sz w:val="28"/>
          <w:szCs w:val="28"/>
        </w:rPr>
        <w:lastRenderedPageBreak/>
        <w:t>an equal number of male and female cabinet members’, could serve as a striking example (</w:t>
      </w:r>
      <w:proofErr w:type="spellStart"/>
      <w:r w:rsidRPr="00A71C2D">
        <w:rPr>
          <w:rFonts w:ascii="Times New Roman" w:eastAsia="Times New Roman" w:hAnsi="Times New Roman" w:cs="Times New Roman"/>
          <w:color w:val="000000"/>
          <w:sz w:val="28"/>
          <w:szCs w:val="28"/>
        </w:rPr>
        <w:t>Ljunggren</w:t>
      </w:r>
      <w:proofErr w:type="spellEnd"/>
      <w:r w:rsidRPr="00A71C2D">
        <w:rPr>
          <w:rFonts w:ascii="Times New Roman" w:eastAsia="Times New Roman" w:hAnsi="Times New Roman" w:cs="Times New Roman"/>
          <w:color w:val="000000"/>
          <w:sz w:val="28"/>
          <w:szCs w:val="28"/>
        </w:rPr>
        <w:t>, 2021).</w:t>
      </w:r>
    </w:p>
    <w:p w14:paraId="6A4B4CFB"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65D527ED"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Although the presence of female politicians has been acknowledged over the recent past and </w:t>
      </w:r>
      <w:proofErr w:type="gramStart"/>
      <w:r w:rsidRPr="00A71C2D">
        <w:rPr>
          <w:rFonts w:ascii="Times New Roman" w:eastAsia="Times New Roman" w:hAnsi="Times New Roman" w:cs="Times New Roman"/>
          <w:color w:val="000000"/>
          <w:sz w:val="28"/>
          <w:szCs w:val="28"/>
        </w:rPr>
        <w:t>now</w:t>
      </w:r>
      <w:proofErr w:type="gramEnd"/>
      <w:r w:rsidRPr="00A71C2D">
        <w:rPr>
          <w:rFonts w:ascii="Times New Roman" w:eastAsia="Times New Roman" w:hAnsi="Times New Roman" w:cs="Times New Roman"/>
          <w:color w:val="000000"/>
          <w:sz w:val="28"/>
          <w:szCs w:val="28"/>
        </w:rPr>
        <w:t xml:space="preserve"> they can serve as active members in the parliament (Blumenau, 2021), ‘exclusion’ lingers and takes new form (Bryson, 1999, p. 111; de Simone et al, 2018). Women have been subjected to others’ expectation and assumption </w:t>
      </w:r>
      <w:proofErr w:type="gramStart"/>
      <w:r w:rsidRPr="00A71C2D">
        <w:rPr>
          <w:rFonts w:ascii="Times New Roman" w:eastAsia="Times New Roman" w:hAnsi="Times New Roman" w:cs="Times New Roman"/>
          <w:color w:val="000000"/>
          <w:sz w:val="28"/>
          <w:szCs w:val="28"/>
        </w:rPr>
        <w:t>so as to</w:t>
      </w:r>
      <w:proofErr w:type="gramEnd"/>
      <w:r w:rsidRPr="00A71C2D">
        <w:rPr>
          <w:rFonts w:ascii="Times New Roman" w:eastAsia="Times New Roman" w:hAnsi="Times New Roman" w:cs="Times New Roman"/>
          <w:color w:val="000000"/>
          <w:sz w:val="28"/>
          <w:szCs w:val="28"/>
        </w:rPr>
        <w:t xml:space="preserve"> conform to promote ‘women’s issues’ traditionally deemed suitable for them, while ‘more weighty and prestigious fields’ are left in the hands of men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xml:space="preserve">, 2010; </w:t>
      </w:r>
      <w:proofErr w:type="spellStart"/>
      <w:r w:rsidRPr="00A71C2D">
        <w:rPr>
          <w:rFonts w:ascii="Times New Roman" w:eastAsia="Times New Roman" w:hAnsi="Times New Roman" w:cs="Times New Roman"/>
          <w:color w:val="000000"/>
          <w:sz w:val="28"/>
          <w:szCs w:val="28"/>
        </w:rPr>
        <w:t>Politt</w:t>
      </w:r>
      <w:proofErr w:type="spellEnd"/>
      <w:r w:rsidRPr="00A71C2D">
        <w:rPr>
          <w:rFonts w:ascii="Times New Roman" w:eastAsia="Times New Roman" w:hAnsi="Times New Roman" w:cs="Times New Roman"/>
          <w:color w:val="000000"/>
          <w:sz w:val="28"/>
          <w:szCs w:val="28"/>
        </w:rPr>
        <w:t>, 2016; Blumenau, 2021; UN Women, no date). Additionally, women ‘disproportionately contribute’ to discussions even in the conventional feminine spheres, with their speaking time in parliamentary debate only making up one tenth of the total given period (Blumenau, 2021). Public discourse has long been familiar with seeing male politicians, but even now people may still be fazed at the introduction of high-ranking female officials (Harmer et al, 2017). The debate on this topic has been inclined to seek measures for a ‘more inclusive professional culture’ (</w:t>
      </w:r>
      <w:proofErr w:type="spellStart"/>
      <w:r w:rsidRPr="00A71C2D">
        <w:rPr>
          <w:rFonts w:ascii="Times New Roman" w:eastAsia="Times New Roman" w:hAnsi="Times New Roman" w:cs="Times New Roman"/>
          <w:color w:val="000000"/>
          <w:sz w:val="28"/>
          <w:szCs w:val="28"/>
        </w:rPr>
        <w:t>Awesti</w:t>
      </w:r>
      <w:proofErr w:type="spellEnd"/>
      <w:r w:rsidRPr="00A71C2D">
        <w:rPr>
          <w:rFonts w:ascii="Times New Roman" w:eastAsia="Times New Roman" w:hAnsi="Times New Roman" w:cs="Times New Roman"/>
          <w:color w:val="000000"/>
          <w:sz w:val="28"/>
          <w:szCs w:val="28"/>
        </w:rPr>
        <w:t xml:space="preserve"> et al, 2016). </w:t>
      </w:r>
    </w:p>
    <w:p w14:paraId="3D699AC5"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5850B34A" w14:textId="7B3EB97C"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For his part, Blumenau (2021) remarked the factors that determine the appointment of women to political leadership roles have been the subject of increasing study in recent years. It is projected that women will be able to contribute more to </w:t>
      </w:r>
      <w:r w:rsidRPr="00A71C2D">
        <w:rPr>
          <w:rFonts w:ascii="Times New Roman" w:eastAsia="Times New Roman" w:hAnsi="Times New Roman" w:cs="Times New Roman"/>
          <w:color w:val="000000"/>
          <w:sz w:val="28"/>
          <w:szCs w:val="28"/>
        </w:rPr>
        <w:t>debates with</w:t>
      </w:r>
      <w:r w:rsidRPr="00A71C2D">
        <w:rPr>
          <w:rFonts w:ascii="Times New Roman" w:eastAsia="Times New Roman" w:hAnsi="Times New Roman" w:cs="Times New Roman"/>
          <w:color w:val="000000"/>
          <w:sz w:val="28"/>
          <w:szCs w:val="28"/>
        </w:rPr>
        <w:t xml:space="preserve"> more female legislators in the </w:t>
      </w:r>
      <w:proofErr w:type="gramStart"/>
      <w:r w:rsidRPr="00A71C2D">
        <w:rPr>
          <w:rFonts w:ascii="Times New Roman" w:eastAsia="Times New Roman" w:hAnsi="Times New Roman" w:cs="Times New Roman"/>
          <w:color w:val="000000"/>
          <w:sz w:val="28"/>
          <w:szCs w:val="28"/>
        </w:rPr>
        <w:t>parliament, and</w:t>
      </w:r>
      <w:proofErr w:type="gramEnd"/>
      <w:r w:rsidRPr="00A71C2D">
        <w:rPr>
          <w:rFonts w:ascii="Times New Roman" w:eastAsia="Times New Roman" w:hAnsi="Times New Roman" w:cs="Times New Roman"/>
          <w:color w:val="000000"/>
          <w:sz w:val="28"/>
          <w:szCs w:val="28"/>
        </w:rPr>
        <w:t xml:space="preserve"> will have a better chance ‘to be selected for ministerial office’, his research (2011) showed. Bryson (1999, p. 114) believed that women can offer ‘special qualities as well as experiences to politics’, underlining that the sheer number of women in a government is not as important as their would-be contributions once in power. To illustrate, research on the elections showed that Thatcher continued to be in power implied that most people voted for her Conservative Party in the 1983 and 1987 general elections, for its ‘policy rather than personality’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xml:space="preserve">, </w:t>
      </w:r>
      <w:r w:rsidRPr="00A71C2D">
        <w:rPr>
          <w:rFonts w:ascii="Times New Roman" w:eastAsia="Times New Roman" w:hAnsi="Times New Roman" w:cs="Times New Roman"/>
          <w:color w:val="000000"/>
          <w:sz w:val="28"/>
          <w:szCs w:val="28"/>
        </w:rPr>
        <w:lastRenderedPageBreak/>
        <w:t xml:space="preserve">2010). </w:t>
      </w:r>
      <w:r w:rsidRPr="00A71C2D">
        <w:rPr>
          <w:rFonts w:ascii="Times New Roman" w:eastAsia="Times New Roman" w:hAnsi="Times New Roman" w:cs="Times New Roman"/>
          <w:color w:val="333333"/>
          <w:sz w:val="28"/>
          <w:szCs w:val="28"/>
          <w:shd w:val="clear" w:color="auto" w:fill="FFFF00"/>
        </w:rPr>
        <w:t xml:space="preserve"> However, increasing women's numbers in Parliament alone will not assure to turn ‘UK politics gentler or more deliberative’, Blumenau (2021) added. </w:t>
      </w:r>
      <w:r w:rsidRPr="00A71C2D">
        <w:rPr>
          <w:rFonts w:ascii="Times New Roman" w:eastAsia="Times New Roman" w:hAnsi="Times New Roman" w:cs="Times New Roman"/>
          <w:color w:val="000000"/>
          <w:sz w:val="28"/>
          <w:szCs w:val="28"/>
        </w:rPr>
        <w:t xml:space="preserve">As humankind has been living with results brought about by decisions of male leaders, stronger female leadership is hoped to bring changes for they may have different ways of thinking and approaches, also in ways that are conducive to the participation and influence of other women (Blumenau, 2021). The Green Party has demonstrated commitment to women's rights, and its membership comprises </w:t>
      </w:r>
      <w:proofErr w:type="gramStart"/>
      <w:r w:rsidRPr="00A71C2D">
        <w:rPr>
          <w:rFonts w:ascii="Times New Roman" w:eastAsia="Times New Roman" w:hAnsi="Times New Roman" w:cs="Times New Roman"/>
          <w:color w:val="000000"/>
          <w:sz w:val="28"/>
          <w:szCs w:val="28"/>
        </w:rPr>
        <w:t>a majority of</w:t>
      </w:r>
      <w:proofErr w:type="gramEnd"/>
      <w:r w:rsidRPr="00A71C2D">
        <w:rPr>
          <w:rFonts w:ascii="Times New Roman" w:eastAsia="Times New Roman" w:hAnsi="Times New Roman" w:cs="Times New Roman"/>
          <w:color w:val="000000"/>
          <w:sz w:val="28"/>
          <w:szCs w:val="28"/>
        </w:rPr>
        <w:t xml:space="preserve"> women (</w:t>
      </w:r>
      <w:proofErr w:type="spellStart"/>
      <w:r w:rsidRPr="00A71C2D">
        <w:rPr>
          <w:rFonts w:ascii="Times New Roman" w:eastAsia="Times New Roman" w:hAnsi="Times New Roman" w:cs="Times New Roman"/>
          <w:color w:val="000000"/>
          <w:sz w:val="28"/>
          <w:szCs w:val="28"/>
        </w:rPr>
        <w:t>OpenDemocracy</w:t>
      </w:r>
      <w:proofErr w:type="spellEnd"/>
      <w:r w:rsidRPr="00A71C2D">
        <w:rPr>
          <w:rFonts w:ascii="Times New Roman" w:eastAsia="Times New Roman" w:hAnsi="Times New Roman" w:cs="Times New Roman"/>
          <w:color w:val="000000"/>
          <w:sz w:val="28"/>
          <w:szCs w:val="28"/>
        </w:rPr>
        <w:t xml:space="preserve">, 2015). </w:t>
      </w:r>
      <w:proofErr w:type="spellStart"/>
      <w:r w:rsidRPr="00A71C2D">
        <w:rPr>
          <w:rFonts w:ascii="Times New Roman" w:eastAsia="Times New Roman" w:hAnsi="Times New Roman" w:cs="Times New Roman"/>
          <w:color w:val="000000"/>
          <w:sz w:val="28"/>
          <w:szCs w:val="28"/>
        </w:rPr>
        <w:t>Politt</w:t>
      </w:r>
      <w:proofErr w:type="spellEnd"/>
      <w:r w:rsidRPr="00A71C2D">
        <w:rPr>
          <w:rFonts w:ascii="Times New Roman" w:eastAsia="Times New Roman" w:hAnsi="Times New Roman" w:cs="Times New Roman"/>
          <w:color w:val="000000"/>
          <w:sz w:val="28"/>
          <w:szCs w:val="28"/>
        </w:rPr>
        <w:t xml:space="preserve"> (2016) reported that female politicians in Scandinavia nations have acted to help fulfil needs and interests which their male counterparts overlooked. In a way, female politicians can take advantage of and make a difference in their assignments to traditionally feminine posts that have received more public attention like welfare, climate change and multiculturalism following Brexit and the potential rise of nationalism (Ashcroft and </w:t>
      </w:r>
      <w:proofErr w:type="spellStart"/>
      <w:r w:rsidRPr="00A71C2D">
        <w:rPr>
          <w:rFonts w:ascii="Times New Roman" w:eastAsia="Times New Roman" w:hAnsi="Times New Roman" w:cs="Times New Roman"/>
          <w:color w:val="000000"/>
          <w:sz w:val="28"/>
          <w:szCs w:val="28"/>
        </w:rPr>
        <w:t>Bevir</w:t>
      </w:r>
      <w:proofErr w:type="spellEnd"/>
      <w:r w:rsidRPr="00A71C2D">
        <w:rPr>
          <w:rFonts w:ascii="Times New Roman" w:eastAsia="Times New Roman" w:hAnsi="Times New Roman" w:cs="Times New Roman"/>
          <w:color w:val="000000"/>
          <w:sz w:val="28"/>
          <w:szCs w:val="28"/>
        </w:rPr>
        <w:t xml:space="preserve">, 2016; Burgoon and </w:t>
      </w:r>
      <w:proofErr w:type="spellStart"/>
      <w:r w:rsidRPr="00A71C2D">
        <w:rPr>
          <w:rFonts w:ascii="Times New Roman" w:eastAsia="Times New Roman" w:hAnsi="Times New Roman" w:cs="Times New Roman"/>
          <w:color w:val="000000"/>
          <w:sz w:val="28"/>
          <w:szCs w:val="28"/>
        </w:rPr>
        <w:t>Schakel</w:t>
      </w:r>
      <w:proofErr w:type="spellEnd"/>
      <w:r w:rsidRPr="00A71C2D">
        <w:rPr>
          <w:rFonts w:ascii="Times New Roman" w:eastAsia="Times New Roman" w:hAnsi="Times New Roman" w:cs="Times New Roman"/>
          <w:color w:val="000000"/>
          <w:sz w:val="28"/>
          <w:szCs w:val="28"/>
        </w:rPr>
        <w:t xml:space="preserve">, 2022; Norgaard, 1998; Hepburn and </w:t>
      </w:r>
      <w:proofErr w:type="spellStart"/>
      <w:r w:rsidRPr="00A71C2D">
        <w:rPr>
          <w:rFonts w:ascii="Times New Roman" w:eastAsia="Times New Roman" w:hAnsi="Times New Roman" w:cs="Times New Roman"/>
          <w:color w:val="000000"/>
          <w:sz w:val="28"/>
          <w:szCs w:val="28"/>
        </w:rPr>
        <w:t>Teytelboym</w:t>
      </w:r>
      <w:proofErr w:type="spellEnd"/>
      <w:r w:rsidRPr="00A71C2D">
        <w:rPr>
          <w:rFonts w:ascii="Times New Roman" w:eastAsia="Times New Roman" w:hAnsi="Times New Roman" w:cs="Times New Roman"/>
          <w:color w:val="000000"/>
          <w:sz w:val="28"/>
          <w:szCs w:val="28"/>
        </w:rPr>
        <w:t>, 2017).</w:t>
      </w:r>
    </w:p>
    <w:p w14:paraId="2AFAF88C"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791DE474" w14:textId="2C3407A5"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On the other hand, individuals like Thatcher and Harriet Harman, who take over positions viewed as male-dominated territories and dare to make ‘powerful and central policy decisions’, tend to be labelled and criticised as ‘unfeminine’, with gendered means being used to soil women’s reputation (Bryson, 1999;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xml:space="preserve">, 2010; The Economist, 2017). Female politicians have usually been harassed by the focus on their private matters instead of contributions, as well as questioned for ‘their position as politicians’ (Southern et al, 2021; Harmer et al, 2017). Previously, voters </w:t>
      </w:r>
      <w:proofErr w:type="gramStart"/>
      <w:r w:rsidRPr="00A71C2D">
        <w:rPr>
          <w:rFonts w:ascii="Times New Roman" w:eastAsia="Times New Roman" w:hAnsi="Times New Roman" w:cs="Times New Roman"/>
          <w:color w:val="000000"/>
          <w:sz w:val="28"/>
          <w:szCs w:val="28"/>
        </w:rPr>
        <w:t>had a tendency to</w:t>
      </w:r>
      <w:proofErr w:type="gramEnd"/>
      <w:r w:rsidRPr="00A71C2D">
        <w:rPr>
          <w:rFonts w:ascii="Times New Roman" w:eastAsia="Times New Roman" w:hAnsi="Times New Roman" w:cs="Times New Roman"/>
          <w:color w:val="000000"/>
          <w:sz w:val="28"/>
          <w:szCs w:val="28"/>
        </w:rPr>
        <w:t xml:space="preserve"> sanction women who were not feminine and held women with ambition in low regard (Blumenau, 2021). Leadership stereotypes are closely linked with masculine stereotypes due to ‘men’s historical occupation’ of this domain (de Simone et al, 2018), and this also results in the belief that female politicians have </w:t>
      </w:r>
      <w:proofErr w:type="spellStart"/>
      <w:r w:rsidRPr="00A71C2D">
        <w:rPr>
          <w:rFonts w:ascii="Times New Roman" w:eastAsia="Times New Roman" w:hAnsi="Times New Roman" w:cs="Times New Roman"/>
          <w:color w:val="000000"/>
          <w:sz w:val="28"/>
          <w:szCs w:val="28"/>
        </w:rPr>
        <w:t>leaned</w:t>
      </w:r>
      <w:proofErr w:type="spellEnd"/>
      <w:r w:rsidRPr="00A71C2D">
        <w:rPr>
          <w:rFonts w:ascii="Times New Roman" w:eastAsia="Times New Roman" w:hAnsi="Times New Roman" w:cs="Times New Roman"/>
          <w:color w:val="000000"/>
          <w:sz w:val="28"/>
          <w:szCs w:val="28"/>
        </w:rPr>
        <w:t xml:space="preserve"> more into masculine characteristics (</w:t>
      </w:r>
      <w:proofErr w:type="spellStart"/>
      <w:r w:rsidRPr="00A71C2D">
        <w:rPr>
          <w:rFonts w:ascii="Times New Roman" w:eastAsia="Times New Roman" w:hAnsi="Times New Roman" w:cs="Times New Roman"/>
          <w:color w:val="000000"/>
          <w:sz w:val="28"/>
          <w:szCs w:val="28"/>
        </w:rPr>
        <w:t>Diekman</w:t>
      </w:r>
      <w:proofErr w:type="spellEnd"/>
      <w:r w:rsidRPr="00A71C2D">
        <w:rPr>
          <w:rFonts w:ascii="Times New Roman" w:eastAsia="Times New Roman" w:hAnsi="Times New Roman" w:cs="Times New Roman"/>
          <w:color w:val="000000"/>
          <w:sz w:val="28"/>
          <w:szCs w:val="28"/>
        </w:rPr>
        <w:t xml:space="preserve"> et al 2005; Koenig et al 2011; Hargrave and Blumenau, 2022). In </w:t>
      </w:r>
      <w:r w:rsidRPr="00A71C2D">
        <w:rPr>
          <w:rFonts w:ascii="Times New Roman" w:eastAsia="Times New Roman" w:hAnsi="Times New Roman" w:cs="Times New Roman"/>
          <w:color w:val="000000"/>
          <w:sz w:val="28"/>
          <w:szCs w:val="28"/>
        </w:rPr>
        <w:lastRenderedPageBreak/>
        <w:t xml:space="preserve">particular, the format of general election debate shows favour to masculine behaviour, and the debate itself is described as a form of combat, much suitable to agentic quality and masculine characteristics (Harmer et al, 2017). </w:t>
      </w:r>
      <w:r w:rsidRPr="00A71C2D">
        <w:rPr>
          <w:rFonts w:ascii="Times New Roman" w:eastAsia="Times New Roman" w:hAnsi="Times New Roman" w:cs="Times New Roman"/>
          <w:color w:val="000000"/>
          <w:sz w:val="28"/>
          <w:szCs w:val="28"/>
          <w:shd w:val="clear" w:color="auto" w:fill="FFFF00"/>
        </w:rPr>
        <w:t xml:space="preserve">The gender stereotypes in politics </w:t>
      </w:r>
      <w:r w:rsidRPr="00A71C2D">
        <w:rPr>
          <w:rFonts w:ascii="Times New Roman" w:eastAsia="Times New Roman" w:hAnsi="Times New Roman" w:cs="Times New Roman"/>
          <w:color w:val="000000"/>
          <w:sz w:val="28"/>
          <w:szCs w:val="28"/>
          <w:shd w:val="clear" w:color="auto" w:fill="FFFF00"/>
        </w:rPr>
        <w:t>have</w:t>
      </w:r>
      <w:r w:rsidRPr="00A71C2D">
        <w:rPr>
          <w:rFonts w:ascii="Times New Roman" w:eastAsia="Times New Roman" w:hAnsi="Times New Roman" w:cs="Times New Roman"/>
          <w:color w:val="000000"/>
          <w:sz w:val="28"/>
          <w:szCs w:val="28"/>
          <w:shd w:val="clear" w:color="auto" w:fill="FFFF00"/>
        </w:rPr>
        <w:t xml:space="preserve"> been gradually blurred with the emergence of prominent female leaders in diverse styles, backed by the constant efforts in the fight for women’s rights throughout history, particularly the suffragettes who resorted to unexpected and militant methods deemed ‘unfeminine’, with determination for the cause. </w:t>
      </w:r>
      <w:r w:rsidRPr="00A71C2D">
        <w:rPr>
          <w:rFonts w:ascii="Times New Roman" w:eastAsia="Times New Roman" w:hAnsi="Times New Roman" w:cs="Times New Roman"/>
          <w:color w:val="000000"/>
          <w:sz w:val="28"/>
          <w:szCs w:val="28"/>
        </w:rPr>
        <w:t xml:space="preserve">In their research, Hargrave and Blumenau (2022) observed that although gender stereotypes are still significant in current UK politics, especially in voters’ responses, pressures for female politicians to act in accordance with such stereotypes have diminished. The increasing number of female leaders has helped reduce prejudices stating women must have communal qualities, Hargrave and Blumenau (2022) cited Dasgupta and </w:t>
      </w:r>
      <w:proofErr w:type="spellStart"/>
      <w:r w:rsidRPr="00A71C2D">
        <w:rPr>
          <w:rFonts w:ascii="Times New Roman" w:eastAsia="Times New Roman" w:hAnsi="Times New Roman" w:cs="Times New Roman"/>
          <w:color w:val="000000"/>
          <w:sz w:val="28"/>
          <w:szCs w:val="28"/>
        </w:rPr>
        <w:t>Asgari</w:t>
      </w:r>
      <w:proofErr w:type="spellEnd"/>
      <w:r w:rsidRPr="00A71C2D">
        <w:rPr>
          <w:rFonts w:ascii="Times New Roman" w:eastAsia="Times New Roman" w:hAnsi="Times New Roman" w:cs="Times New Roman"/>
          <w:color w:val="000000"/>
          <w:sz w:val="28"/>
          <w:szCs w:val="28"/>
        </w:rPr>
        <w:t xml:space="preserve"> (2004). The percentage of seats occupied by women in the House of Commons surged to 32 per cent in 2019 from a mere 18 per cent in 1997 (Inter-Parliamentary Union, 2020). Researchers believed this will pave the way for female politicians to ‘diverge from stereotypical </w:t>
      </w:r>
      <w:proofErr w:type="gramStart"/>
      <w:r w:rsidRPr="00A71C2D">
        <w:rPr>
          <w:rFonts w:ascii="Times New Roman" w:eastAsia="Times New Roman" w:hAnsi="Times New Roman" w:cs="Times New Roman"/>
          <w:color w:val="000000"/>
          <w:sz w:val="28"/>
          <w:szCs w:val="28"/>
        </w:rPr>
        <w:t>behaviours’</w:t>
      </w:r>
      <w:proofErr w:type="gramEnd"/>
      <w:r w:rsidRPr="00A71C2D">
        <w:rPr>
          <w:rFonts w:ascii="Times New Roman" w:eastAsia="Times New Roman" w:hAnsi="Times New Roman" w:cs="Times New Roman"/>
          <w:color w:val="000000"/>
          <w:sz w:val="28"/>
          <w:szCs w:val="28"/>
        </w:rPr>
        <w:t xml:space="preserve"> and change ‘perceptions of what is commonly thought appropriate of women’s behaviour’ (Hargrave and Blumenau, 2022). </w:t>
      </w:r>
    </w:p>
    <w:p w14:paraId="0AD22EEE"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p>
    <w:p w14:paraId="3C5F0C72" w14:textId="77777777" w:rsidR="00A71C2D" w:rsidRPr="00A71C2D" w:rsidRDefault="00A71C2D" w:rsidP="00A71C2D">
      <w:pPr>
        <w:spacing w:after="0" w:line="360" w:lineRule="auto"/>
        <w:jc w:val="both"/>
        <w:rPr>
          <w:rFonts w:ascii="Times New Roman" w:eastAsia="Times New Roman" w:hAnsi="Times New Roman" w:cs="Times New Roman"/>
          <w:sz w:val="24"/>
          <w:szCs w:val="24"/>
        </w:rPr>
      </w:pPr>
      <w:r w:rsidRPr="00A71C2D">
        <w:rPr>
          <w:rFonts w:ascii="Times New Roman" w:eastAsia="Times New Roman" w:hAnsi="Times New Roman" w:cs="Times New Roman"/>
          <w:color w:val="000000"/>
          <w:sz w:val="28"/>
          <w:szCs w:val="28"/>
        </w:rPr>
        <w:t xml:space="preserve">As efforts have been made in UK politics throughout the country’s history to narrow the gender gap, women’s participation in politics have significantly improved (Blumenau, 2021; Inter-Parliamentary Union, 2020). However, the discourse on ‘exclusion’ shifts to their posts and issues under their jurisdiction, rather than just numbers of women in leadership (Bryson, 1999, p114; </w:t>
      </w:r>
      <w:r w:rsidRPr="00A71C2D">
        <w:rPr>
          <w:rFonts w:ascii="Times New Roman" w:eastAsia="Times New Roman" w:hAnsi="Times New Roman" w:cs="Times New Roman"/>
          <w:color w:val="333333"/>
          <w:sz w:val="28"/>
          <w:szCs w:val="28"/>
          <w:shd w:val="clear" w:color="auto" w:fill="FFFF00"/>
        </w:rPr>
        <w:t>Blumenau 2021</w:t>
      </w:r>
      <w:r w:rsidRPr="00A71C2D">
        <w:rPr>
          <w:rFonts w:ascii="Times New Roman" w:eastAsia="Times New Roman" w:hAnsi="Times New Roman" w:cs="Times New Roman"/>
          <w:color w:val="000000"/>
          <w:sz w:val="28"/>
          <w:szCs w:val="28"/>
        </w:rPr>
        <w:t xml:space="preserve">). In addition, female politicians have been more than often the target of criticism and humiliation on the ground of gender stereotypes rather than their male colleagues (Southern et al, 2021; </w:t>
      </w:r>
      <w:proofErr w:type="spellStart"/>
      <w:r w:rsidRPr="00A71C2D">
        <w:rPr>
          <w:rFonts w:ascii="Times New Roman" w:eastAsia="Times New Roman" w:hAnsi="Times New Roman" w:cs="Times New Roman"/>
          <w:color w:val="000000"/>
          <w:sz w:val="28"/>
          <w:szCs w:val="28"/>
        </w:rPr>
        <w:t>Ribberink</w:t>
      </w:r>
      <w:proofErr w:type="spellEnd"/>
      <w:r w:rsidRPr="00A71C2D">
        <w:rPr>
          <w:rFonts w:ascii="Times New Roman" w:eastAsia="Times New Roman" w:hAnsi="Times New Roman" w:cs="Times New Roman"/>
          <w:color w:val="000000"/>
          <w:sz w:val="28"/>
          <w:szCs w:val="28"/>
        </w:rPr>
        <w:t xml:space="preserve">, 2010). The suffrage campaign in the 19th century, Thatcher’s premiership and studies can be referred to prove </w:t>
      </w:r>
      <w:r w:rsidRPr="00A71C2D">
        <w:rPr>
          <w:rFonts w:ascii="Times New Roman" w:eastAsia="Times New Roman" w:hAnsi="Times New Roman" w:cs="Times New Roman"/>
          <w:color w:val="000000"/>
          <w:sz w:val="28"/>
          <w:szCs w:val="28"/>
        </w:rPr>
        <w:lastRenderedPageBreak/>
        <w:t xml:space="preserve">that gender-based assumptions and expectations are neither applicable nor used to constraint individuals based on their gender, and the gender pressure on female leaders has declined over the years (Hargrave and Blumenau, 2022). Priority should be given to aptitude and contributions of the people in power, rather than their gender and which styles of leadership they adopt (Bryson, 1999, p114; Harmer et al, 2017). Support from affluent people who are willing to </w:t>
      </w:r>
      <w:proofErr w:type="gramStart"/>
      <w:r w:rsidRPr="00A71C2D">
        <w:rPr>
          <w:rFonts w:ascii="Times New Roman" w:eastAsia="Times New Roman" w:hAnsi="Times New Roman" w:cs="Times New Roman"/>
          <w:color w:val="000000"/>
          <w:sz w:val="28"/>
          <w:szCs w:val="28"/>
        </w:rPr>
        <w:t>take action</w:t>
      </w:r>
      <w:proofErr w:type="gramEnd"/>
      <w:r w:rsidRPr="00A71C2D">
        <w:rPr>
          <w:rFonts w:ascii="Times New Roman" w:eastAsia="Times New Roman" w:hAnsi="Times New Roman" w:cs="Times New Roman"/>
          <w:color w:val="000000"/>
          <w:sz w:val="28"/>
          <w:szCs w:val="28"/>
        </w:rPr>
        <w:t xml:space="preserve"> even if the current situation benefits them, is also essential for inclusion efforts (Sarpong, 2022)./.</w:t>
      </w:r>
    </w:p>
    <w:p w14:paraId="04882799" w14:textId="77777777" w:rsidR="00A71C2D" w:rsidRPr="00A71C2D" w:rsidRDefault="00A71C2D" w:rsidP="00A71C2D">
      <w:pPr>
        <w:spacing w:line="360" w:lineRule="auto"/>
        <w:jc w:val="both"/>
        <w:rPr>
          <w:rFonts w:ascii="Times New Roman" w:hAnsi="Times New Roman" w:cs="Times New Roman"/>
        </w:rPr>
      </w:pPr>
    </w:p>
    <w:sectPr w:rsidR="00A71C2D" w:rsidRPr="00A71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C2D"/>
    <w:rsid w:val="00A71C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AA7A"/>
  <w15:chartTrackingRefBased/>
  <w15:docId w15:val="{5AD3F5CE-92AF-4320-B8F8-59F1443E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1C2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00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2767</Words>
  <Characters>15777</Characters>
  <Application>Microsoft Office Word</Application>
  <DocSecurity>0</DocSecurity>
  <Lines>131</Lines>
  <Paragraphs>37</Paragraphs>
  <ScaleCrop>false</ScaleCrop>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 Nguyen (2208575)</dc:creator>
  <cp:keywords/>
  <dc:description/>
  <cp:lastModifiedBy>Mi Nguyen (2208575)</cp:lastModifiedBy>
  <cp:revision>1</cp:revision>
  <dcterms:created xsi:type="dcterms:W3CDTF">2023-01-12T23:26:00Z</dcterms:created>
  <dcterms:modified xsi:type="dcterms:W3CDTF">2023-01-12T23:32:00Z</dcterms:modified>
</cp:coreProperties>
</file>