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B3D0F9" w14:textId="77777777" w:rsidR="00631BD3" w:rsidRDefault="00631BD3">
      <w:pPr>
        <w:pStyle w:val="Titlu1"/>
        <w:jc w:val="center"/>
        <w:rPr>
          <w:sz w:val="36"/>
          <w:szCs w:val="36"/>
        </w:rPr>
      </w:pPr>
      <w:bookmarkStart w:id="0" w:name="_30bptkmnkung" w:colFirst="0" w:colLast="0"/>
      <w:bookmarkEnd w:id="0"/>
    </w:p>
    <w:p w14:paraId="14B3D0FA" w14:textId="77777777" w:rsidR="00631BD3" w:rsidRDefault="00631BD3">
      <w:pPr>
        <w:pStyle w:val="Titlu1"/>
        <w:jc w:val="center"/>
        <w:rPr>
          <w:sz w:val="36"/>
          <w:szCs w:val="36"/>
        </w:rPr>
      </w:pPr>
      <w:bookmarkStart w:id="1" w:name="_8abshriu8pe0" w:colFirst="0" w:colLast="0"/>
      <w:bookmarkEnd w:id="1"/>
    </w:p>
    <w:p w14:paraId="14B3D0FB" w14:textId="19350E66" w:rsidR="00631BD3" w:rsidRDefault="00255CEA">
      <w:pPr>
        <w:pStyle w:val="Titlu1"/>
        <w:jc w:val="center"/>
        <w:rPr>
          <w:sz w:val="36"/>
          <w:szCs w:val="36"/>
        </w:rPr>
      </w:pPr>
      <w:bookmarkStart w:id="2" w:name="_j761ihr95mmh" w:colFirst="0" w:colLast="0"/>
      <w:bookmarkEnd w:id="2"/>
      <w:r w:rsidRPr="00255CEA">
        <w:rPr>
          <w:bCs/>
          <w:sz w:val="36"/>
          <w:szCs w:val="36"/>
        </w:rPr>
        <w:t xml:space="preserve">International Meetings Management for the Hotel Industry </w:t>
      </w:r>
      <w:r w:rsidRPr="00255CEA">
        <w:rPr>
          <w:bCs/>
          <w:sz w:val="36"/>
          <w:szCs w:val="36"/>
          <w:lang w:val="ro-RO"/>
        </w:rPr>
        <w:br/>
        <w:t>BMIH6007</w:t>
      </w:r>
    </w:p>
    <w:p w14:paraId="14B3D0FC" w14:textId="6D788ED1" w:rsidR="00631BD3" w:rsidRDefault="00255CEA">
      <w:pPr>
        <w:pStyle w:val="Titlu1"/>
        <w:jc w:val="center"/>
        <w:rPr>
          <w:sz w:val="36"/>
          <w:szCs w:val="36"/>
        </w:rPr>
      </w:pPr>
      <w:bookmarkStart w:id="3" w:name="_4hgi9zgtzhr7" w:colFirst="0" w:colLast="0"/>
      <w:bookmarkEnd w:id="3"/>
      <w:r>
        <w:rPr>
          <w:sz w:val="36"/>
          <w:szCs w:val="36"/>
        </w:rPr>
        <w:t>Assignment 1: Feasibility Plan for an International Meeting</w:t>
      </w:r>
    </w:p>
    <w:p w14:paraId="14B3D0FD" w14:textId="5CED7E00" w:rsidR="00631BD3" w:rsidRDefault="00CB0325">
      <w:pPr>
        <w:pStyle w:val="Titlu1"/>
        <w:jc w:val="center"/>
        <w:rPr>
          <w:sz w:val="36"/>
          <w:szCs w:val="36"/>
        </w:rPr>
      </w:pPr>
      <w:bookmarkStart w:id="4" w:name="_ptpeaelsinc6" w:colFirst="0" w:colLast="0"/>
      <w:bookmarkEnd w:id="4"/>
      <w:r>
        <w:rPr>
          <w:sz w:val="36"/>
          <w:szCs w:val="36"/>
        </w:rPr>
        <w:t>Student name- Valeria Nistor.</w:t>
      </w:r>
      <w:r w:rsidR="00197761">
        <w:rPr>
          <w:sz w:val="36"/>
          <w:szCs w:val="36"/>
        </w:rPr>
        <w:t>(2206486</w:t>
      </w:r>
      <w:r w:rsidR="00B61680">
        <w:rPr>
          <w:sz w:val="36"/>
          <w:szCs w:val="36"/>
        </w:rPr>
        <w:t>)</w:t>
      </w:r>
    </w:p>
    <w:p w14:paraId="768F8C33" w14:textId="77777777" w:rsidR="00CB0325" w:rsidRPr="00CB0325" w:rsidRDefault="00CB0325" w:rsidP="00CB0325"/>
    <w:p w14:paraId="14B3D0FE" w14:textId="04E47768" w:rsidR="00631BD3" w:rsidRDefault="00A1674F">
      <w:pPr>
        <w:pStyle w:val="Titlu1"/>
        <w:jc w:val="center"/>
        <w:rPr>
          <w:sz w:val="36"/>
          <w:szCs w:val="36"/>
        </w:rPr>
      </w:pPr>
      <w:bookmarkStart w:id="5" w:name="_120rs162yq01" w:colFirst="0" w:colLast="0"/>
      <w:bookmarkEnd w:id="5"/>
      <w:r>
        <w:rPr>
          <w:sz w:val="36"/>
          <w:szCs w:val="36"/>
        </w:rPr>
        <w:t>Lecture</w:t>
      </w:r>
      <w:r w:rsidR="00447C30">
        <w:rPr>
          <w:sz w:val="36"/>
          <w:szCs w:val="36"/>
        </w:rPr>
        <w:t>r</w:t>
      </w:r>
      <w:r w:rsidR="006A3F35">
        <w:rPr>
          <w:sz w:val="36"/>
          <w:szCs w:val="36"/>
        </w:rPr>
        <w:t>-</w:t>
      </w:r>
      <w:r w:rsidR="006A3F35" w:rsidRPr="006A3F35">
        <w:rPr>
          <w:sz w:val="36"/>
          <w:szCs w:val="36"/>
        </w:rPr>
        <w:t>Kathryn Flynn</w:t>
      </w:r>
    </w:p>
    <w:p w14:paraId="14B3D0FF" w14:textId="77777777" w:rsidR="00631BD3" w:rsidRDefault="00631BD3">
      <w:pPr>
        <w:pStyle w:val="Titlu1"/>
        <w:jc w:val="center"/>
        <w:rPr>
          <w:sz w:val="36"/>
          <w:szCs w:val="36"/>
        </w:rPr>
      </w:pPr>
      <w:bookmarkStart w:id="6" w:name="_nnyclrcbpz2i" w:colFirst="0" w:colLast="0"/>
      <w:bookmarkEnd w:id="6"/>
    </w:p>
    <w:p w14:paraId="14B3D100" w14:textId="77777777" w:rsidR="00631BD3" w:rsidRDefault="00631BD3">
      <w:pPr>
        <w:pStyle w:val="Titlu1"/>
        <w:jc w:val="center"/>
        <w:rPr>
          <w:sz w:val="36"/>
          <w:szCs w:val="36"/>
        </w:rPr>
      </w:pPr>
      <w:bookmarkStart w:id="7" w:name="_1aluw8zbzlu5" w:colFirst="0" w:colLast="0"/>
      <w:bookmarkEnd w:id="7"/>
    </w:p>
    <w:p w14:paraId="14B3D101" w14:textId="363D6C82" w:rsidR="00631BD3" w:rsidRDefault="00000000">
      <w:pPr>
        <w:jc w:val="center"/>
      </w:pPr>
      <w:r>
        <w:br w:type="page"/>
      </w:r>
    </w:p>
    <w:p w14:paraId="14B3D102" w14:textId="77777777" w:rsidR="00631BD3" w:rsidRDefault="00000000">
      <w:pPr>
        <w:jc w:val="center"/>
        <w:rPr>
          <w:b/>
          <w:sz w:val="28"/>
          <w:szCs w:val="28"/>
        </w:rPr>
      </w:pPr>
      <w:r>
        <w:rPr>
          <w:b/>
          <w:sz w:val="28"/>
          <w:szCs w:val="28"/>
        </w:rPr>
        <w:lastRenderedPageBreak/>
        <w:t>Table of Content</w:t>
      </w:r>
    </w:p>
    <w:sdt>
      <w:sdtPr>
        <w:id w:val="917751245"/>
        <w:docPartObj>
          <w:docPartGallery w:val="Table of Contents"/>
          <w:docPartUnique/>
        </w:docPartObj>
      </w:sdtPr>
      <w:sdtContent>
        <w:p w14:paraId="14B3D103" w14:textId="77777777" w:rsidR="00631BD3" w:rsidRDefault="00631BD3">
          <w:pPr>
            <w:widowControl w:val="0"/>
            <w:tabs>
              <w:tab w:val="right" w:pos="12000"/>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ys8dsngcbktz">
            <w:r>
              <w:rPr>
                <w:color w:val="000000"/>
              </w:rPr>
              <w:t>Slide 1: Title Slide</w:t>
            </w:r>
            <w:r>
              <w:rPr>
                <w:color w:val="000000"/>
              </w:rPr>
              <w:tab/>
              <w:t>3</w:t>
            </w:r>
          </w:hyperlink>
        </w:p>
        <w:p w14:paraId="14B3D104" w14:textId="77777777" w:rsidR="00631BD3" w:rsidRDefault="00631BD3">
          <w:pPr>
            <w:widowControl w:val="0"/>
            <w:tabs>
              <w:tab w:val="right" w:pos="12000"/>
            </w:tabs>
            <w:spacing w:before="60" w:after="200"/>
            <w:jc w:val="left"/>
            <w:rPr>
              <w:color w:val="000000"/>
            </w:rPr>
          </w:pPr>
          <w:hyperlink w:anchor="_3ny78bler6uk">
            <w:r>
              <w:rPr>
                <w:color w:val="000000"/>
              </w:rPr>
              <w:t>Slide 2: Introduction</w:t>
            </w:r>
            <w:r>
              <w:rPr>
                <w:color w:val="000000"/>
              </w:rPr>
              <w:tab/>
              <w:t>3</w:t>
            </w:r>
          </w:hyperlink>
        </w:p>
        <w:p w14:paraId="14B3D105" w14:textId="77777777" w:rsidR="00631BD3" w:rsidRDefault="00631BD3">
          <w:pPr>
            <w:widowControl w:val="0"/>
            <w:tabs>
              <w:tab w:val="right" w:pos="12000"/>
            </w:tabs>
            <w:spacing w:before="60" w:after="200"/>
            <w:jc w:val="left"/>
            <w:rPr>
              <w:color w:val="000000"/>
            </w:rPr>
          </w:pPr>
          <w:hyperlink w:anchor="_ymi6yn6nhb8i">
            <w:r>
              <w:rPr>
                <w:color w:val="000000"/>
              </w:rPr>
              <w:t>Slide 3: The content and context of the events</w:t>
            </w:r>
            <w:r>
              <w:rPr>
                <w:color w:val="000000"/>
              </w:rPr>
              <w:tab/>
              <w:t>3</w:t>
            </w:r>
          </w:hyperlink>
        </w:p>
        <w:p w14:paraId="14B3D106" w14:textId="77777777" w:rsidR="00631BD3" w:rsidRDefault="00631BD3">
          <w:pPr>
            <w:widowControl w:val="0"/>
            <w:tabs>
              <w:tab w:val="right" w:pos="12000"/>
            </w:tabs>
            <w:spacing w:before="60" w:after="200"/>
            <w:jc w:val="left"/>
            <w:rPr>
              <w:color w:val="000000"/>
            </w:rPr>
          </w:pPr>
          <w:hyperlink w:anchor="_7jt0hmutbc4a">
            <w:r>
              <w:rPr>
                <w:color w:val="000000"/>
              </w:rPr>
              <w:t>Slide 4: Market Analysis</w:t>
            </w:r>
            <w:r>
              <w:rPr>
                <w:color w:val="000000"/>
              </w:rPr>
              <w:tab/>
              <w:t>4</w:t>
            </w:r>
          </w:hyperlink>
        </w:p>
        <w:p w14:paraId="14B3D107" w14:textId="77777777" w:rsidR="00631BD3" w:rsidRDefault="00631BD3">
          <w:pPr>
            <w:widowControl w:val="0"/>
            <w:tabs>
              <w:tab w:val="right" w:pos="12000"/>
            </w:tabs>
            <w:spacing w:before="60" w:after="200"/>
            <w:jc w:val="left"/>
            <w:rPr>
              <w:color w:val="000000"/>
            </w:rPr>
          </w:pPr>
          <w:hyperlink w:anchor="_82rrolqdv4oq">
            <w:r>
              <w:rPr>
                <w:color w:val="000000"/>
              </w:rPr>
              <w:t>Slide 5: Operational Factors</w:t>
            </w:r>
            <w:r>
              <w:rPr>
                <w:color w:val="000000"/>
              </w:rPr>
              <w:tab/>
              <w:t>4</w:t>
            </w:r>
          </w:hyperlink>
        </w:p>
        <w:p w14:paraId="14B3D108" w14:textId="77777777" w:rsidR="00631BD3" w:rsidRDefault="00631BD3">
          <w:pPr>
            <w:widowControl w:val="0"/>
            <w:tabs>
              <w:tab w:val="right" w:pos="12000"/>
            </w:tabs>
            <w:spacing w:before="60" w:after="200"/>
            <w:jc w:val="left"/>
            <w:rPr>
              <w:color w:val="000000"/>
            </w:rPr>
          </w:pPr>
          <w:hyperlink w:anchor="_gh3ru4qmxmhi">
            <w:r>
              <w:rPr>
                <w:color w:val="000000"/>
              </w:rPr>
              <w:t>Slide 6: Financial Feasibility</w:t>
            </w:r>
            <w:r>
              <w:rPr>
                <w:color w:val="000000"/>
              </w:rPr>
              <w:tab/>
              <w:t>5</w:t>
            </w:r>
          </w:hyperlink>
        </w:p>
        <w:p w14:paraId="14B3D109" w14:textId="77777777" w:rsidR="00631BD3" w:rsidRDefault="00631BD3">
          <w:pPr>
            <w:widowControl w:val="0"/>
            <w:tabs>
              <w:tab w:val="right" w:pos="12000"/>
            </w:tabs>
            <w:spacing w:before="60" w:after="200"/>
            <w:jc w:val="left"/>
            <w:rPr>
              <w:color w:val="000000"/>
            </w:rPr>
          </w:pPr>
          <w:hyperlink w:anchor="_fc357hw59mjf">
            <w:r>
              <w:rPr>
                <w:color w:val="000000"/>
              </w:rPr>
              <w:t>Slide 7: SWOT Analysis</w:t>
            </w:r>
            <w:r>
              <w:rPr>
                <w:color w:val="000000"/>
              </w:rPr>
              <w:tab/>
              <w:t>5</w:t>
            </w:r>
          </w:hyperlink>
        </w:p>
        <w:p w14:paraId="14B3D10A" w14:textId="77777777" w:rsidR="00631BD3" w:rsidRDefault="00631BD3">
          <w:pPr>
            <w:widowControl w:val="0"/>
            <w:tabs>
              <w:tab w:val="right" w:pos="12000"/>
            </w:tabs>
            <w:spacing w:before="60" w:after="200"/>
            <w:jc w:val="left"/>
            <w:rPr>
              <w:color w:val="000000"/>
            </w:rPr>
          </w:pPr>
          <w:hyperlink w:anchor="_pydz9jhdws4f">
            <w:r>
              <w:rPr>
                <w:color w:val="000000"/>
              </w:rPr>
              <w:t>Slide 8: Strategic Pre-Planning Considerations</w:t>
            </w:r>
            <w:r>
              <w:rPr>
                <w:color w:val="000000"/>
              </w:rPr>
              <w:tab/>
              <w:t>6</w:t>
            </w:r>
          </w:hyperlink>
        </w:p>
        <w:p w14:paraId="14B3D10B" w14:textId="77777777" w:rsidR="00631BD3" w:rsidRDefault="00631BD3">
          <w:pPr>
            <w:widowControl w:val="0"/>
            <w:tabs>
              <w:tab w:val="right" w:pos="12000"/>
            </w:tabs>
            <w:spacing w:before="60" w:after="200"/>
            <w:jc w:val="left"/>
            <w:rPr>
              <w:color w:val="000000"/>
            </w:rPr>
          </w:pPr>
          <w:hyperlink w:anchor="_ddxjmifr352m">
            <w:r>
              <w:rPr>
                <w:color w:val="000000"/>
              </w:rPr>
              <w:t>Slide 9: Conclusion</w:t>
            </w:r>
            <w:r>
              <w:rPr>
                <w:color w:val="000000"/>
              </w:rPr>
              <w:tab/>
              <w:t>6</w:t>
            </w:r>
          </w:hyperlink>
        </w:p>
        <w:p w14:paraId="14B3D10C" w14:textId="77777777" w:rsidR="00631BD3" w:rsidRDefault="00631BD3">
          <w:pPr>
            <w:widowControl w:val="0"/>
            <w:tabs>
              <w:tab w:val="right" w:pos="12000"/>
            </w:tabs>
            <w:spacing w:before="60" w:after="200"/>
            <w:jc w:val="left"/>
            <w:rPr>
              <w:color w:val="000000"/>
            </w:rPr>
          </w:pPr>
          <w:hyperlink w:anchor="_gg8n6wlawdgt">
            <w:r>
              <w:rPr>
                <w:color w:val="000000"/>
              </w:rPr>
              <w:t>Slide 10: References</w:t>
            </w:r>
            <w:r>
              <w:rPr>
                <w:color w:val="000000"/>
              </w:rPr>
              <w:tab/>
              <w:t>7</w:t>
            </w:r>
          </w:hyperlink>
          <w:r>
            <w:fldChar w:fldCharType="end"/>
          </w:r>
        </w:p>
      </w:sdtContent>
    </w:sdt>
    <w:p w14:paraId="14B3D10D" w14:textId="77777777" w:rsidR="00631BD3" w:rsidRDefault="00000000">
      <w:pPr>
        <w:pStyle w:val="Titlu1"/>
        <w:jc w:val="left"/>
      </w:pPr>
      <w:bookmarkStart w:id="8" w:name="_omgnqpq9d13r" w:colFirst="0" w:colLast="0"/>
      <w:bookmarkEnd w:id="8"/>
      <w:r>
        <w:br w:type="page"/>
      </w:r>
    </w:p>
    <w:p w14:paraId="14B3D10E" w14:textId="77777777" w:rsidR="00631BD3" w:rsidRDefault="00000000">
      <w:pPr>
        <w:pStyle w:val="Titlu1"/>
      </w:pPr>
      <w:bookmarkStart w:id="9" w:name="_ys8dsngcbktz" w:colFirst="0" w:colLast="0"/>
      <w:bookmarkEnd w:id="9"/>
      <w:r>
        <w:lastRenderedPageBreak/>
        <w:t>Slide 1: Title Slide</w:t>
      </w:r>
    </w:p>
    <w:p w14:paraId="14B3D10F" w14:textId="77777777" w:rsidR="00631BD3" w:rsidRDefault="00631BD3"/>
    <w:p w14:paraId="14B3D110" w14:textId="77777777" w:rsidR="00631BD3" w:rsidRDefault="00000000">
      <w:pPr>
        <w:pStyle w:val="Titlu1"/>
      </w:pPr>
      <w:bookmarkStart w:id="10" w:name="_3ny78bler6uk" w:colFirst="0" w:colLast="0"/>
      <w:bookmarkEnd w:id="10"/>
      <w:r>
        <w:t>Slide 2: Introduction</w:t>
      </w:r>
    </w:p>
    <w:p w14:paraId="14B3D111" w14:textId="77777777" w:rsidR="00631BD3" w:rsidRDefault="00000000">
      <w:r>
        <w:t>The main concern of this presentation is that it seeks to present the feasibility study on the Mother Christmas Show community event. This event is based on a festive family oriented and content rich with holiday spirit. Fit for all ages, the Mother Christmas show shall incorporate both performance and non-performance elements such as games, food stands, and interactive creations celebrating Mother Christmas filled with love and care. The goal of the event is that it wants to foster unity by bringing all community members together in a friendly way during the holiday time. The Mother Christmas Show aspires to be a supporting event within the local community by reinstating the focus on the values of kindness, unity and holiday spirit through a community centred initiative that is fun for the whole family and encourages residents to patronise local businesses and community activities.</w:t>
      </w:r>
    </w:p>
    <w:p w14:paraId="14B3D112" w14:textId="77777777" w:rsidR="00631BD3" w:rsidRDefault="00631BD3"/>
    <w:p w14:paraId="14B3D113" w14:textId="77777777" w:rsidR="00631BD3" w:rsidRDefault="00000000">
      <w:pPr>
        <w:pStyle w:val="Titlu1"/>
      </w:pPr>
      <w:bookmarkStart w:id="11" w:name="_ymi6yn6nhb8i" w:colFirst="0" w:colLast="0"/>
      <w:bookmarkEnd w:id="11"/>
      <w:r>
        <w:t>Slide 3: The content and context of the events</w:t>
      </w:r>
    </w:p>
    <w:p w14:paraId="14B3D114" w14:textId="77777777" w:rsidR="00631BD3" w:rsidRDefault="00000000">
      <w:r>
        <w:t>“Mother Christmas Show” is a family oriented event from the local community and addresses people of all walks of life irrespective of their ages, by celebrating the holiday season. It is expected that there will be a number of interesting activities that would take place including performances, holiday related stalls, games and entertainments that would fit the whole audience. There will be a clear cut aimed at enhancing a festive mood to showcase the season and its spirit while inviting people to partake of it.</w:t>
      </w:r>
    </w:p>
    <w:p w14:paraId="14B3D115" w14:textId="77777777" w:rsidR="00631BD3" w:rsidRDefault="00000000">
      <w:r>
        <w:t>The main theme of the event is the novel idea of ‘Mother Christmas’ which fosters the spirit of care and nurturing during the festive season. “Mother Christmas” in this narrative, the emphasis is celebration, resolve, compassion, and most importantly togetherness. This theme will be evident in all corners of the events activities from decor, activities to performances and interactions.</w:t>
      </w:r>
    </w:p>
    <w:p w14:paraId="14B3D116" w14:textId="50F1741B" w:rsidR="00631BD3" w:rsidRDefault="00000000">
      <w:r>
        <w:t>The concept of the “Mother Christmas Show” focuses on fostering community spirit, bringing people together, and spreading the joy of the season. Simultaneously, with the</w:t>
      </w:r>
      <w:r w:rsidR="00F623A8">
        <w:t xml:space="preserve"> char</w:t>
      </w:r>
      <w:r w:rsidR="00C27597">
        <w:t xml:space="preserve">m </w:t>
      </w:r>
      <w:r>
        <w:t xml:space="preserve">elements of family-orientation and relationship-building activities, the event seeks to instil </w:t>
      </w:r>
      <w:r w:rsidRPr="00C27597">
        <w:t xml:space="preserve">inclusion </w:t>
      </w:r>
      <w:r>
        <w:t>and collective celebration within the community. It will be an opportunity for local businesses, artists, and performers to participate in and assist in making the winter festival a worthwhile experience.</w:t>
      </w:r>
    </w:p>
    <w:p w14:paraId="14B3D117" w14:textId="77777777" w:rsidR="00631BD3" w:rsidRDefault="00631BD3"/>
    <w:p w14:paraId="14B3D118" w14:textId="77777777" w:rsidR="00631BD3" w:rsidRDefault="00000000">
      <w:pPr>
        <w:pStyle w:val="Titlu1"/>
      </w:pPr>
      <w:bookmarkStart w:id="12" w:name="_7jt0hmutbc4a" w:colFirst="0" w:colLast="0"/>
      <w:bookmarkEnd w:id="12"/>
      <w:r>
        <w:lastRenderedPageBreak/>
        <w:t>Slide 4: Market Analysis</w:t>
      </w:r>
    </w:p>
    <w:p w14:paraId="14B3D119" w14:textId="77777777" w:rsidR="00631BD3" w:rsidRDefault="00000000">
      <w:r>
        <w:t xml:space="preserve">The "Mother Christmas Show" is directed to local children, families and community members of all ages who want an enjoyable, fun and accommodating environment over the holiday season. Because of this, the broad focus on the audience enables the event to meet the various areas of interests and age brackets, especially activities for both the old and young in the societies (Pospíšil </w:t>
      </w:r>
      <w:r>
        <w:rPr>
          <w:i/>
        </w:rPr>
        <w:t>et al.,</w:t>
      </w:r>
      <w:r>
        <w:t xml:space="preserve"> 2022). The event is designed in such a way that families consisting of parents and their children and even individuals who embrace communal celebrations are welcomed.</w:t>
      </w:r>
    </w:p>
    <w:p w14:paraId="14B3D11A" w14:textId="77777777" w:rsidR="00631BD3" w:rsidRDefault="00000000">
      <w:r>
        <w:t xml:space="preserve">A glance at the demand analysis points out that there is a significant expectation of community involvement in programs designed for families during winter, particularly those that have an interesting approach to the festive season (Cox </w:t>
      </w:r>
      <w:r>
        <w:rPr>
          <w:i/>
        </w:rPr>
        <w:t>et al.,</w:t>
      </w:r>
      <w:r>
        <w:t xml:space="preserve"> 2022). Visitors would also prefer joining similar events which are coherent in nature but offer fun as well as engagement and socialisation. “Mother Christmas Show” comes in handy and fulfils this demand by offering a new dimension to the conventional holiday themed celebration with ‘Mother Christmas’ as the main, related, but different feature.</w:t>
      </w:r>
    </w:p>
    <w:p w14:paraId="14B3D11B" w14:textId="77777777" w:rsidR="00631BD3" w:rsidRDefault="00000000">
      <w:r>
        <w:t>As for the competition, there are various holiday initiatives and honky-tonk shows in the city during the period; nevertheless, the “Mother Christmas Show” stands out in forward looking people orientation and brings people together in the ways of depicting Mother Christmas (Geall, 2023). This opens up new horizons for celebrating holidays, which is not focused on Santa, and brings new meaning into the holidays.</w:t>
      </w:r>
    </w:p>
    <w:p w14:paraId="14B3D11C" w14:textId="77777777" w:rsidR="00631BD3" w:rsidRDefault="00631BD3"/>
    <w:p w14:paraId="14B3D11D" w14:textId="77777777" w:rsidR="00631BD3" w:rsidRDefault="00000000">
      <w:pPr>
        <w:pStyle w:val="Titlu1"/>
      </w:pPr>
      <w:bookmarkStart w:id="13" w:name="_82rrolqdv4oq" w:colFirst="0" w:colLast="0"/>
      <w:bookmarkEnd w:id="13"/>
      <w:r>
        <w:t>Slide 5: Operational Factors</w:t>
      </w:r>
    </w:p>
    <w:p w14:paraId="14B3D11E" w14:textId="77777777" w:rsidR="00631BD3" w:rsidRDefault="00000000">
      <w:r>
        <w:t xml:space="preserve">The place options are adequate for performing activities of the “Mother Christmas Show" and this includes the local library, town hall or park which are appropriate to carry out family participation activities. These venues have sufficient space for varied activities such as acting, playing, and creating stalls while ensuring that people of all ages and movements Old and young are not cramped (Allen </w:t>
      </w:r>
      <w:r>
        <w:rPr>
          <w:i/>
        </w:rPr>
        <w:t>et al.,</w:t>
      </w:r>
      <w:r>
        <w:t xml:space="preserve"> 2022).</w:t>
      </w:r>
    </w:p>
    <w:p w14:paraId="14B3D11F" w14:textId="77777777" w:rsidR="00631BD3" w:rsidRDefault="00000000">
      <w:r>
        <w:t>Strategic planning regarding the peak winter holiday availability must be undertaken well in advance to allow for securing the venue and the fitting of community calendars (Tzeng</w:t>
      </w:r>
      <w:r>
        <w:rPr>
          <w:i/>
        </w:rPr>
        <w:t>et al.,</w:t>
      </w:r>
      <w:r>
        <w:t xml:space="preserve"> 2021). Making a booking early is also intended to reduce the chances of a stand-off against other events in the area that may be competing for patronage during the festive period: the “Mother Christmas Show” that has to be the festive period highlight.</w:t>
      </w:r>
    </w:p>
    <w:p w14:paraId="14B3D120" w14:textId="77777777" w:rsidR="00631BD3" w:rsidRDefault="00000000">
      <w:r>
        <w:t xml:space="preserve">The allocation of the resources will therefore require other aspects such as festive items and decoration to provide a warm air, the food and drinks of particular seasons that will be known </w:t>
      </w:r>
      <w:r>
        <w:lastRenderedPageBreak/>
        <w:t>to aim, the performers and activities within the season (Goulding and Pomfret, 2022). Enough seating and enough parking space are basic Essentials in regard to users satisfaction.</w:t>
      </w:r>
    </w:p>
    <w:p w14:paraId="14B3D121" w14:textId="77777777" w:rsidR="00631BD3" w:rsidRDefault="00000000">
      <w:r>
        <w:t>The human resource requirement will include, event posts and management, performance acts, set, and customer surface attendants and volunteers, security of the premises, including patrons of the event, and sound and lighting technicians (Simorangkir, 2021). Adequate staff will be recommendable in as far as the smooth running of the event as well as ensuring that all the guests have a worthwhile experience.</w:t>
      </w:r>
    </w:p>
    <w:p w14:paraId="14B3D122" w14:textId="77777777" w:rsidR="00631BD3" w:rsidRDefault="00631BD3"/>
    <w:p w14:paraId="14B3D123" w14:textId="77777777" w:rsidR="00631BD3" w:rsidRDefault="00000000">
      <w:pPr>
        <w:pStyle w:val="Titlu1"/>
      </w:pPr>
      <w:bookmarkStart w:id="14" w:name="_gh3ru4qmxmhi" w:colFirst="0" w:colLast="0"/>
      <w:bookmarkEnd w:id="14"/>
      <w:r>
        <w:t>Slide 6: Financial Feasibility</w:t>
      </w:r>
    </w:p>
    <w:p w14:paraId="14B3D124" w14:textId="77777777" w:rsidR="00631BD3" w:rsidRDefault="00000000">
      <w:r>
        <w:t xml:space="preserve">The financial feasibility of stage Incorporating ‘Mother Christmas Show’ chooses a step-by-step approach in estimating costs relevant to the predicted expenses such as venue rental, acquisition, decorations, marketing, and salary or voluntary expenses (Bladen </w:t>
      </w:r>
      <w:r>
        <w:rPr>
          <w:i/>
        </w:rPr>
        <w:t>et al.,</w:t>
      </w:r>
      <w:r>
        <w:t xml:space="preserve"> 2022). Estimated expenses may total approximately £5,000. Multiple income-generating sources will be deployed including selling tickets, engaging local sponsors, food selling, merchandising and community contribution looking towards a revenue of about £8000. This budget consideration points out the aspect of cost efficiency which is aimed at making sure that the event is not a loss-making activity and that the remaining funds can be used in organising other events within the target areas and supporting other local activities in the next level of the process.</w:t>
      </w:r>
    </w:p>
    <w:p w14:paraId="14B3D125" w14:textId="77777777" w:rsidR="00631BD3" w:rsidRDefault="00631BD3"/>
    <w:p w14:paraId="14B3D126" w14:textId="77777777" w:rsidR="00631BD3" w:rsidRDefault="00000000">
      <w:pPr>
        <w:pStyle w:val="Titlu1"/>
      </w:pPr>
      <w:bookmarkStart w:id="15" w:name="_fc357hw59mjf" w:colFirst="0" w:colLast="0"/>
      <w:bookmarkEnd w:id="15"/>
      <w:r>
        <w:t>Slide 7: SWOT Analysis</w:t>
      </w:r>
    </w:p>
    <w:p w14:paraId="14B3D127" w14:textId="77777777" w:rsidR="00631BD3" w:rsidRDefault="00000000">
      <w:r>
        <w:rPr>
          <w:b/>
        </w:rPr>
        <w:t>Strengths:</w:t>
      </w:r>
      <w:r>
        <w:t xml:space="preserve"> The event is extremely novel in the aspect that the theme of “Mother Christmas” is the main concept, which is a shift from typical celebrations of Christmas that are mostly on Santa Claus and his gifts to children. This nurturing theme of parenting brings a great sense of community that clearly knows the ideal family settings. There will also be a significant amount of patronage in the community as attention will be given towards family Kanda activities thereby creating more interaction in the community.</w:t>
      </w:r>
    </w:p>
    <w:p w14:paraId="14B3D128" w14:textId="77777777" w:rsidR="00631BD3" w:rsidRDefault="00000000">
      <w:r>
        <w:rPr>
          <w:b/>
        </w:rPr>
        <w:t>Weaknesses:</w:t>
      </w:r>
      <w:r>
        <w:t xml:space="preserve"> Weather or temperature changes, the problem of unpredictable weather may be one of the hazards as an outdoor activity may have a lot of attendees. Negotiating for volunteers may also present challenges for instance in recruiting volunteers and ensuring their proper job training.</w:t>
      </w:r>
    </w:p>
    <w:p w14:paraId="14B3D129" w14:textId="77777777" w:rsidR="00631BD3" w:rsidRDefault="00000000">
      <w:r>
        <w:rPr>
          <w:b/>
        </w:rPr>
        <w:t>Opportunities:</w:t>
      </w:r>
      <w:r>
        <w:t xml:space="preserve"> In recent years, more and more companies have started to develop family-type leisure holidays, which makes it possible to engage the communities in all the functions (Wang and Li, 2021). The businesses may consider it to be a merit as a sponsorship for the event, thereby creating joint ventures on resources and finances.</w:t>
      </w:r>
    </w:p>
    <w:p w14:paraId="14B3D12A" w14:textId="77777777" w:rsidR="00631BD3" w:rsidRDefault="00000000">
      <w:r>
        <w:rPr>
          <w:b/>
        </w:rPr>
        <w:lastRenderedPageBreak/>
        <w:t>Threats:</w:t>
      </w:r>
      <w:r>
        <w:t xml:space="preserve"> Potential participants may be turned away by other competing events in the locality, and other external economical conditions, like lack of funds among families during festive seasons, can also affect the attendance to the events (Greenwell </w:t>
      </w:r>
      <w:r>
        <w:rPr>
          <w:i/>
        </w:rPr>
        <w:t>et al.,</w:t>
      </w:r>
      <w:r>
        <w:t xml:space="preserve"> 2024). It will be fundamental to address those threats in order to ensure the success of the event.</w:t>
      </w:r>
    </w:p>
    <w:p w14:paraId="14B3D12B" w14:textId="77777777" w:rsidR="00631BD3" w:rsidRDefault="00631BD3"/>
    <w:p w14:paraId="14B3D12C" w14:textId="77777777" w:rsidR="00631BD3" w:rsidRDefault="00000000">
      <w:pPr>
        <w:pStyle w:val="Titlu1"/>
      </w:pPr>
      <w:bookmarkStart w:id="16" w:name="_pydz9jhdws4f" w:colFirst="0" w:colLast="0"/>
      <w:bookmarkEnd w:id="16"/>
      <w:r>
        <w:t>Slide 8: Strategic Pre-Planning Considerations</w:t>
      </w:r>
    </w:p>
    <w:p w14:paraId="14B3D12D" w14:textId="77777777" w:rsidR="00631BD3" w:rsidRDefault="00000000">
      <w:r>
        <w:t>Marketing Strategy: A full blown strategy will be applied for the event’s publicity via social networking, print media, postings in community centres, school boards, and business centres including schools and other institutions (Silvers and O'Toole, 2020). Provision of interactive activities and focused communication will be important for families and members of the community who will be targeted.</w:t>
      </w:r>
    </w:p>
    <w:p w14:paraId="14B3D12E" w14:textId="77777777" w:rsidR="00631BD3" w:rsidRDefault="00000000">
      <w:r>
        <w:t>Risk Management: Risks that are likely to manifest such as poor attendance or operational difficulties will be handled in advance. For instance, alternative arrangements will be made for use when the weather starts to be unfriendly, and attendance will be sought through organisations within the area (Mair and Smith, 2022). Work Plans which involve the timing of such communications and the order in which the logistical matters will need to be done so that they make sense and practical will involve both staff and volunteers in the events.</w:t>
      </w:r>
    </w:p>
    <w:p w14:paraId="14B3D12F" w14:textId="77777777" w:rsidR="00631BD3" w:rsidRDefault="00000000">
      <w:r>
        <w:t xml:space="preserve">Timeline: The Jones planning toolkit will help create a form of a detailed timeline indicating the planning phase, the planning and executing promotional strategies, the deadline for ticket sales, and the execution day of the event (Jones </w:t>
      </w:r>
      <w:r>
        <w:rPr>
          <w:i/>
        </w:rPr>
        <w:t>et al, 2020</w:t>
      </w:r>
      <w:r>
        <w:t>). Such a well-structured model will be helpful in coordinating all the parties involved and most importantly, making sure the event is executed as planned.</w:t>
      </w:r>
    </w:p>
    <w:p w14:paraId="14B3D130" w14:textId="77777777" w:rsidR="00631BD3" w:rsidRDefault="00631BD3">
      <w:pPr>
        <w:pStyle w:val="Titlu1"/>
      </w:pPr>
      <w:bookmarkStart w:id="17" w:name="_4fbeamu5sbi" w:colFirst="0" w:colLast="0"/>
      <w:bookmarkEnd w:id="17"/>
    </w:p>
    <w:p w14:paraId="14B3D131" w14:textId="77777777" w:rsidR="00631BD3" w:rsidRDefault="00000000">
      <w:pPr>
        <w:pStyle w:val="Titlu1"/>
      </w:pPr>
      <w:bookmarkStart w:id="18" w:name="_ddxjmifr352m" w:colFirst="0" w:colLast="0"/>
      <w:bookmarkEnd w:id="18"/>
      <w:r>
        <w:t>Slide 9: Conclusion</w:t>
      </w:r>
    </w:p>
    <w:p w14:paraId="14B3D132" w14:textId="77777777" w:rsidR="00631BD3" w:rsidRDefault="00000000">
      <w:r>
        <w:t>In conclusion, the “Mother Christmas Show’ is simply a practical and effective type of event which seeks to enhance the sense of belonging in the community during the off season. With such an interesting and caring concept, this event provides wonderful holiday activities for families and also meets the need for modern festive ideas. The expected benefits to the society include promoting unity and togetherness, encouraging the purchase of local products and services and creating wonderful experiences for families.</w:t>
      </w:r>
    </w:p>
    <w:p w14:paraId="14B3D133" w14:textId="77777777" w:rsidR="00631BD3" w:rsidRDefault="00000000">
      <w:r>
        <w:t>The next steps include planning logistics but also obtaining the event permit from the relevant local authorities and sourcing possible sponsorship to garner material and financial support. Building relations with schools and local community organisations will improve coverage and engagement.</w:t>
      </w:r>
    </w:p>
    <w:p w14:paraId="14B3D134" w14:textId="77777777" w:rsidR="00631BD3" w:rsidRDefault="00000000">
      <w:r>
        <w:lastRenderedPageBreak/>
        <w:t>This event that has been conceptualised is not only ‘out of the box’ but is also able to resonate with the needs of the community at large. It creates an avenue to rejoice in the season of the holidays whilst upholding the values of community, interdependence and togetherness. This bi cultural approach makes the project one that is worth implementing.</w:t>
      </w:r>
    </w:p>
    <w:p w14:paraId="14B3D135" w14:textId="77777777" w:rsidR="00631BD3" w:rsidRDefault="00631BD3"/>
    <w:p w14:paraId="14B3D136" w14:textId="77777777" w:rsidR="00631BD3" w:rsidRDefault="00000000">
      <w:pPr>
        <w:pStyle w:val="Titlu1"/>
      </w:pPr>
      <w:bookmarkStart w:id="19" w:name="_gg8n6wlawdgt" w:colFirst="0" w:colLast="0"/>
      <w:bookmarkEnd w:id="19"/>
      <w:r>
        <w:t>Slide 10: References</w:t>
      </w:r>
    </w:p>
    <w:p w14:paraId="14B3D137" w14:textId="77777777" w:rsidR="00631BD3" w:rsidRDefault="00000000">
      <w:pPr>
        <w:spacing w:after="200"/>
        <w:rPr>
          <w:color w:val="222222"/>
          <w:highlight w:val="white"/>
        </w:rPr>
      </w:pPr>
      <w:r>
        <w:rPr>
          <w:color w:val="222222"/>
          <w:highlight w:val="white"/>
        </w:rPr>
        <w:t xml:space="preserve">Allen, J., Harris, R. and Jago, L., 2022. </w:t>
      </w:r>
      <w:r>
        <w:rPr>
          <w:i/>
          <w:color w:val="222222"/>
          <w:highlight w:val="white"/>
        </w:rPr>
        <w:t>Festival &amp; special event management</w:t>
      </w:r>
      <w:r>
        <w:rPr>
          <w:color w:val="222222"/>
          <w:highlight w:val="white"/>
        </w:rPr>
        <w:t>. John Wiley &amp; Sons.</w:t>
      </w:r>
    </w:p>
    <w:p w14:paraId="14B3D138" w14:textId="77777777" w:rsidR="00631BD3" w:rsidRDefault="00000000">
      <w:pPr>
        <w:spacing w:after="200"/>
        <w:rPr>
          <w:color w:val="222222"/>
          <w:highlight w:val="white"/>
        </w:rPr>
      </w:pPr>
      <w:r>
        <w:rPr>
          <w:color w:val="222222"/>
          <w:highlight w:val="white"/>
        </w:rPr>
        <w:t xml:space="preserve">Bladen, C., Kennell, J., Abson, E. and Wilde, N., 2022. </w:t>
      </w:r>
      <w:r>
        <w:rPr>
          <w:i/>
          <w:color w:val="222222"/>
          <w:highlight w:val="white"/>
        </w:rPr>
        <w:t>Events management: An introduction</w:t>
      </w:r>
      <w:r>
        <w:rPr>
          <w:color w:val="222222"/>
          <w:highlight w:val="white"/>
        </w:rPr>
        <w:t>. Routledge.</w:t>
      </w:r>
    </w:p>
    <w:p w14:paraId="14B3D139" w14:textId="77777777" w:rsidR="00631BD3" w:rsidRDefault="00000000">
      <w:pPr>
        <w:spacing w:after="200"/>
        <w:rPr>
          <w:color w:val="222222"/>
          <w:highlight w:val="white"/>
        </w:rPr>
      </w:pPr>
      <w:r>
        <w:rPr>
          <w:color w:val="222222"/>
          <w:highlight w:val="white"/>
        </w:rPr>
        <w:t xml:space="preserve">Cox, K., Campbell-Jack, D. and Blades, R., 2022. Evaluation of the 2021 holiday activities and food programme. </w:t>
      </w:r>
      <w:r>
        <w:rPr>
          <w:i/>
          <w:color w:val="222222"/>
          <w:highlight w:val="white"/>
        </w:rPr>
        <w:t>Department for Education, Accessed</w:t>
      </w:r>
      <w:r>
        <w:rPr>
          <w:color w:val="222222"/>
          <w:highlight w:val="white"/>
        </w:rPr>
        <w:t xml:space="preserve">, </w:t>
      </w:r>
      <w:r>
        <w:rPr>
          <w:i/>
          <w:color w:val="222222"/>
          <w:highlight w:val="white"/>
        </w:rPr>
        <w:t>23</w:t>
      </w:r>
      <w:r>
        <w:rPr>
          <w:color w:val="222222"/>
          <w:highlight w:val="white"/>
        </w:rPr>
        <w:t>.</w:t>
      </w:r>
    </w:p>
    <w:p w14:paraId="14B3D13A" w14:textId="77777777" w:rsidR="00631BD3" w:rsidRDefault="00000000">
      <w:pPr>
        <w:spacing w:after="200"/>
        <w:rPr>
          <w:color w:val="222222"/>
          <w:highlight w:val="white"/>
        </w:rPr>
      </w:pPr>
      <w:r>
        <w:rPr>
          <w:color w:val="222222"/>
          <w:highlight w:val="white"/>
        </w:rPr>
        <w:t>Fox, D. et al., 2014 Doing events research: from theory to practice. Routledge: Oxford.</w:t>
      </w:r>
    </w:p>
    <w:p w14:paraId="14B3D13B" w14:textId="77777777" w:rsidR="00631BD3" w:rsidRDefault="00000000">
      <w:pPr>
        <w:spacing w:after="200"/>
        <w:rPr>
          <w:color w:val="222222"/>
          <w:highlight w:val="white"/>
        </w:rPr>
      </w:pPr>
      <w:r>
        <w:rPr>
          <w:color w:val="222222"/>
          <w:highlight w:val="white"/>
        </w:rPr>
        <w:t xml:space="preserve">Geall, M., 2023 </w:t>
      </w:r>
      <w:r>
        <w:rPr>
          <w:i/>
          <w:color w:val="222222"/>
          <w:highlight w:val="white"/>
        </w:rPr>
        <w:t>The 12 best Christmas events &amp; attractions in the UK – from markets to ice skating</w:t>
      </w:r>
      <w:r>
        <w:rPr>
          <w:color w:val="222222"/>
          <w:highlight w:val="white"/>
        </w:rPr>
        <w:t>. https://www.timeout.com/uk/things-to-do/best-christmas-events-attractions.</w:t>
      </w:r>
    </w:p>
    <w:p w14:paraId="14B3D13C" w14:textId="77777777" w:rsidR="00631BD3" w:rsidRDefault="00000000">
      <w:pPr>
        <w:spacing w:after="200"/>
        <w:rPr>
          <w:color w:val="222222"/>
          <w:highlight w:val="white"/>
        </w:rPr>
      </w:pPr>
      <w:r>
        <w:rPr>
          <w:color w:val="222222"/>
          <w:highlight w:val="white"/>
        </w:rPr>
        <w:t>Getz, D. and Page, S., 2019 Event studies: theory, research and policy for planned events. 3rd Edition. Routledge: Oxford.</w:t>
      </w:r>
    </w:p>
    <w:p w14:paraId="14B3D13D" w14:textId="77777777" w:rsidR="00631BD3" w:rsidRDefault="00000000">
      <w:pPr>
        <w:spacing w:after="200"/>
        <w:rPr>
          <w:color w:val="222222"/>
          <w:highlight w:val="white"/>
        </w:rPr>
      </w:pPr>
      <w:r>
        <w:rPr>
          <w:color w:val="222222"/>
          <w:highlight w:val="white"/>
        </w:rPr>
        <w:t xml:space="preserve">Goulding, P. and Pomfret, G., 2022. Managing temporal variation at visitor attractions. In </w:t>
      </w:r>
      <w:r>
        <w:rPr>
          <w:i/>
          <w:color w:val="222222"/>
          <w:highlight w:val="white"/>
        </w:rPr>
        <w:t>Managing visitor attractions</w:t>
      </w:r>
      <w:r>
        <w:rPr>
          <w:color w:val="222222"/>
          <w:highlight w:val="white"/>
        </w:rPr>
        <w:t xml:space="preserve"> (pp. 213-233). Routledge.</w:t>
      </w:r>
    </w:p>
    <w:p w14:paraId="14B3D13E" w14:textId="77777777" w:rsidR="00631BD3" w:rsidRDefault="00000000">
      <w:pPr>
        <w:spacing w:after="200"/>
        <w:rPr>
          <w:color w:val="222222"/>
          <w:highlight w:val="white"/>
        </w:rPr>
      </w:pPr>
      <w:r>
        <w:rPr>
          <w:color w:val="222222"/>
          <w:highlight w:val="white"/>
        </w:rPr>
        <w:t xml:space="preserve">Greenwell, T.C., Danzey-Bussell, L.A. and Shonk, D.J., 2024. </w:t>
      </w:r>
      <w:r>
        <w:rPr>
          <w:i/>
          <w:color w:val="222222"/>
          <w:highlight w:val="white"/>
        </w:rPr>
        <w:t>Managing sport events</w:t>
      </w:r>
      <w:r>
        <w:rPr>
          <w:color w:val="222222"/>
          <w:highlight w:val="white"/>
        </w:rPr>
        <w:t>. Human Kinetics.</w:t>
      </w:r>
    </w:p>
    <w:p w14:paraId="14B3D13F" w14:textId="77777777" w:rsidR="00631BD3" w:rsidRDefault="00000000">
      <w:pPr>
        <w:spacing w:after="200"/>
        <w:rPr>
          <w:color w:val="222222"/>
          <w:highlight w:val="white"/>
        </w:rPr>
      </w:pPr>
      <w:r>
        <w:rPr>
          <w:color w:val="222222"/>
          <w:highlight w:val="white"/>
        </w:rPr>
        <w:t xml:space="preserve">Jones, L.J., 2020. </w:t>
      </w:r>
      <w:r>
        <w:rPr>
          <w:i/>
          <w:color w:val="222222"/>
          <w:highlight w:val="white"/>
        </w:rPr>
        <w:t>The Event Planning Toolkit: Your Guide to Organizing Extraordinary Meetings and Events</w:t>
      </w:r>
      <w:r>
        <w:rPr>
          <w:color w:val="222222"/>
          <w:highlight w:val="white"/>
        </w:rPr>
        <w:t>. Rowman &amp; Littlefield Publishers.</w:t>
      </w:r>
    </w:p>
    <w:p w14:paraId="14B3D140" w14:textId="77777777" w:rsidR="00631BD3" w:rsidRDefault="00000000">
      <w:pPr>
        <w:spacing w:after="200"/>
        <w:rPr>
          <w:color w:val="222222"/>
          <w:highlight w:val="white"/>
        </w:rPr>
      </w:pPr>
      <w:r>
        <w:rPr>
          <w:color w:val="222222"/>
          <w:highlight w:val="white"/>
        </w:rPr>
        <w:t xml:space="preserve">Mair, J. and Smith, A., 2022. Events and sustainability: why making events more sustainable is not enough. In </w:t>
      </w:r>
      <w:r>
        <w:rPr>
          <w:i/>
          <w:color w:val="222222"/>
          <w:highlight w:val="white"/>
        </w:rPr>
        <w:t>Events and sustainability</w:t>
      </w:r>
      <w:r>
        <w:rPr>
          <w:color w:val="222222"/>
          <w:highlight w:val="white"/>
        </w:rPr>
        <w:t xml:space="preserve"> (pp. 1-17). Routledge.</w:t>
      </w:r>
    </w:p>
    <w:p w14:paraId="14B3D141" w14:textId="77777777" w:rsidR="00631BD3" w:rsidRDefault="00000000">
      <w:pPr>
        <w:spacing w:after="200"/>
        <w:rPr>
          <w:color w:val="222222"/>
          <w:highlight w:val="white"/>
        </w:rPr>
      </w:pPr>
      <w:r>
        <w:rPr>
          <w:color w:val="222222"/>
          <w:highlight w:val="white"/>
        </w:rPr>
        <w:t>Meredith, J., 2022 Project management: a managerial approach.</w:t>
      </w:r>
    </w:p>
    <w:p w14:paraId="14B3D142" w14:textId="77777777" w:rsidR="00631BD3" w:rsidRDefault="00000000">
      <w:pPr>
        <w:spacing w:after="200"/>
        <w:rPr>
          <w:color w:val="222222"/>
          <w:highlight w:val="white"/>
        </w:rPr>
      </w:pPr>
      <w:r>
        <w:rPr>
          <w:color w:val="222222"/>
          <w:highlight w:val="white"/>
        </w:rPr>
        <w:t>O’Toole, W., 2011 Events feasibility and development: from strategy to operations. Elsevier: Oxford.</w:t>
      </w:r>
    </w:p>
    <w:p w14:paraId="14B3D143" w14:textId="77777777" w:rsidR="00631BD3" w:rsidRDefault="00000000">
      <w:pPr>
        <w:spacing w:after="200"/>
      </w:pPr>
      <w:r>
        <w:rPr>
          <w:color w:val="222222"/>
          <w:highlight w:val="white"/>
        </w:rPr>
        <w:lastRenderedPageBreak/>
        <w:t xml:space="preserve">Pospíšil, J., Pospíšilová, H. and Trochtová, L., 2022. The catalogue of leisure activities: A new structured values and content based instrument for leisure research usable for social development and community planning.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(5), p.2657.</w:t>
      </w:r>
    </w:p>
    <w:p w14:paraId="14B3D144" w14:textId="77777777" w:rsidR="00631BD3" w:rsidRDefault="00000000">
      <w:pPr>
        <w:spacing w:after="200"/>
        <w:rPr>
          <w:color w:val="222222"/>
          <w:highlight w:val="white"/>
        </w:rPr>
      </w:pPr>
      <w:r>
        <w:rPr>
          <w:color w:val="222222"/>
          <w:highlight w:val="white"/>
        </w:rPr>
        <w:t>Rogers, T. Wynn-Moylan, P, 2022 Conferences and conventions: a global industry. 4th Edition. Routledge: Oxford.</w:t>
      </w:r>
    </w:p>
    <w:p w14:paraId="14B3D145" w14:textId="77777777" w:rsidR="00631BD3" w:rsidRDefault="00000000">
      <w:pPr>
        <w:spacing w:after="200"/>
        <w:rPr>
          <w:color w:val="222222"/>
          <w:highlight w:val="white"/>
        </w:rPr>
      </w:pPr>
      <w:r>
        <w:rPr>
          <w:color w:val="222222"/>
          <w:highlight w:val="white"/>
        </w:rPr>
        <w:t xml:space="preserve">Shipway, R., Jago, L. and Deery, M., 2020. Quantitative and qualitative research tools in events. In </w:t>
      </w:r>
      <w:r>
        <w:rPr>
          <w:i/>
          <w:color w:val="222222"/>
          <w:highlight w:val="white"/>
        </w:rPr>
        <w:t>The Routledge Handbook of Events</w:t>
      </w:r>
      <w:r>
        <w:rPr>
          <w:color w:val="222222"/>
          <w:highlight w:val="white"/>
        </w:rPr>
        <w:t xml:space="preserve"> (pp. 306-327). Routledge.</w:t>
      </w:r>
    </w:p>
    <w:p w14:paraId="14B3D146" w14:textId="77777777" w:rsidR="00631BD3" w:rsidRDefault="00000000">
      <w:pPr>
        <w:spacing w:after="200"/>
        <w:rPr>
          <w:color w:val="222222"/>
          <w:highlight w:val="white"/>
        </w:rPr>
      </w:pPr>
      <w:r>
        <w:rPr>
          <w:color w:val="222222"/>
          <w:highlight w:val="white"/>
        </w:rPr>
        <w:t xml:space="preserve">Silvers, J.R. and O'Toole, W., 2020. </w:t>
      </w:r>
      <w:r>
        <w:rPr>
          <w:i/>
          <w:color w:val="222222"/>
          <w:highlight w:val="white"/>
        </w:rPr>
        <w:t>Risk management for events</w:t>
      </w:r>
      <w:r>
        <w:rPr>
          <w:color w:val="222222"/>
          <w:highlight w:val="white"/>
        </w:rPr>
        <w:t>. Routledge.</w:t>
      </w:r>
    </w:p>
    <w:p w14:paraId="14B3D147" w14:textId="77777777" w:rsidR="00631BD3" w:rsidRDefault="00000000">
      <w:pPr>
        <w:spacing w:after="200"/>
        <w:rPr>
          <w:color w:val="222222"/>
          <w:highlight w:val="white"/>
        </w:rPr>
      </w:pPr>
      <w:r>
        <w:rPr>
          <w:color w:val="222222"/>
          <w:highlight w:val="white"/>
        </w:rPr>
        <w:t>Simorangkir, D.N., 2021. Event Management course module.</w:t>
      </w:r>
    </w:p>
    <w:p w14:paraId="14B3D148" w14:textId="77777777" w:rsidR="00631BD3" w:rsidRDefault="00000000">
      <w:pPr>
        <w:spacing w:after="200"/>
        <w:rPr>
          <w:color w:val="222222"/>
          <w:highlight w:val="white"/>
        </w:rPr>
      </w:pPr>
      <w:r>
        <w:rPr>
          <w:color w:val="222222"/>
          <w:highlight w:val="white"/>
        </w:rPr>
        <w:t>Smith, A., 2012 Events and urban regeneration: the strategic use of events to revitalise cities. Routledge: Oxford.</w:t>
      </w:r>
    </w:p>
    <w:p w14:paraId="14B3D149" w14:textId="77777777" w:rsidR="00631BD3" w:rsidRDefault="00000000">
      <w:pPr>
        <w:spacing w:after="200"/>
        <w:rPr>
          <w:color w:val="222222"/>
          <w:highlight w:val="white"/>
        </w:rPr>
      </w:pPr>
      <w:r>
        <w:rPr>
          <w:color w:val="222222"/>
          <w:highlight w:val="white"/>
        </w:rPr>
        <w:t xml:space="preserve">Tzeng, S.Y., Ertz, M., Jo, M.S. and Sarigöllü, E., 2021. Factors affecting customer satisfaction on online shopping holiday. </w:t>
      </w:r>
      <w:r>
        <w:rPr>
          <w:i/>
          <w:color w:val="222222"/>
          <w:highlight w:val="white"/>
        </w:rPr>
        <w:t>Marketing Intelligence &amp; Planning</w:t>
      </w:r>
      <w:r>
        <w:rPr>
          <w:color w:val="222222"/>
          <w:highlight w:val="white"/>
        </w:rPr>
        <w:t xml:space="preserve">, </w:t>
      </w:r>
      <w:r>
        <w:rPr>
          <w:i/>
          <w:color w:val="222222"/>
          <w:highlight w:val="white"/>
        </w:rPr>
        <w:t>39</w:t>
      </w:r>
      <w:r>
        <w:rPr>
          <w:color w:val="222222"/>
          <w:highlight w:val="white"/>
        </w:rPr>
        <w:t>(4), pp.516-532.</w:t>
      </w:r>
    </w:p>
    <w:p w14:paraId="14B3D14A" w14:textId="77777777" w:rsidR="00631BD3" w:rsidRDefault="00000000">
      <w:pPr>
        <w:spacing w:after="200"/>
        <w:rPr>
          <w:color w:val="222222"/>
          <w:highlight w:val="white"/>
        </w:rPr>
      </w:pPr>
      <w:r>
        <w:rPr>
          <w:color w:val="222222"/>
          <w:highlight w:val="white"/>
        </w:rPr>
        <w:t xml:space="preserve">Wang, Y. and Li, M., 2021. Family identity bundles and holiday decision making. </w:t>
      </w:r>
      <w:r>
        <w:rPr>
          <w:i/>
          <w:color w:val="222222"/>
          <w:highlight w:val="white"/>
        </w:rPr>
        <w:t>Journal of Travel Research</w:t>
      </w:r>
      <w:r>
        <w:rPr>
          <w:color w:val="222222"/>
          <w:highlight w:val="white"/>
        </w:rPr>
        <w:t xml:space="preserve">, </w:t>
      </w:r>
      <w:r>
        <w:rPr>
          <w:i/>
          <w:color w:val="222222"/>
          <w:highlight w:val="white"/>
        </w:rPr>
        <w:t>60</w:t>
      </w:r>
      <w:r>
        <w:rPr>
          <w:color w:val="222222"/>
          <w:highlight w:val="white"/>
        </w:rPr>
        <w:t>(3), pp.486-502.</w:t>
      </w:r>
    </w:p>
    <w:p w14:paraId="7D12C529" w14:textId="4450433F" w:rsidR="00A21CA0" w:rsidRDefault="00A21CA0">
      <w:pPr>
        <w:spacing w:after="200"/>
        <w:rPr>
          <w:color w:val="222222"/>
          <w:highlight w:val="white"/>
        </w:rPr>
      </w:pPr>
    </w:p>
    <w:p w14:paraId="5630A2D9" w14:textId="77777777" w:rsidR="00A21CA0" w:rsidRDefault="00A21CA0">
      <w:pPr>
        <w:rPr>
          <w:color w:val="222222"/>
          <w:highlight w:val="white"/>
        </w:rPr>
      </w:pPr>
      <w:r>
        <w:rPr>
          <w:color w:val="222222"/>
          <w:highlight w:val="white"/>
        </w:rPr>
        <w:br w:type="page"/>
      </w:r>
    </w:p>
    <w:p w14:paraId="143B5C4A" w14:textId="69FB3BCC" w:rsidR="00C42A47" w:rsidRDefault="00C42A47">
      <w:pPr>
        <w:spacing w:after="200"/>
        <w:rPr>
          <w:color w:val="222222"/>
          <w:highlight w:val="white"/>
        </w:rPr>
      </w:pPr>
    </w:p>
    <w:p w14:paraId="2E8036CF" w14:textId="77777777" w:rsidR="00C42A47" w:rsidRDefault="00C42A47">
      <w:pPr>
        <w:rPr>
          <w:color w:val="222222"/>
          <w:highlight w:val="white"/>
        </w:rPr>
      </w:pPr>
      <w:r>
        <w:rPr>
          <w:color w:val="222222"/>
          <w:highlight w:val="white"/>
        </w:rPr>
        <w:br w:type="page"/>
      </w:r>
    </w:p>
    <w:p w14:paraId="59E6E234" w14:textId="2BF68FE2" w:rsidR="00856522" w:rsidRDefault="00C34216">
      <w:pPr>
        <w:spacing w:after="200"/>
        <w:rPr>
          <w:color w:val="222222"/>
          <w:highlight w:val="white"/>
        </w:rPr>
      </w:pPr>
      <w:r w:rsidRPr="00C34216">
        <w:rPr>
          <w:color w:val="222222"/>
        </w:rPr>
        <w:lastRenderedPageBreak/>
        <w:drawing>
          <wp:inline distT="0" distB="0" distL="0" distR="0" wp14:anchorId="2CFA8CBF" wp14:editId="7EC7DED2">
            <wp:extent cx="5733415" cy="2639695"/>
            <wp:effectExtent l="0" t="0" r="635" b="8255"/>
            <wp:docPr id="337195686"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95686" name=""/>
                    <pic:cNvPicPr/>
                  </pic:nvPicPr>
                  <pic:blipFill>
                    <a:blip r:embed="rId6"/>
                    <a:stretch>
                      <a:fillRect/>
                    </a:stretch>
                  </pic:blipFill>
                  <pic:spPr>
                    <a:xfrm>
                      <a:off x="0" y="0"/>
                      <a:ext cx="5733415" cy="2639695"/>
                    </a:xfrm>
                    <a:prstGeom prst="rect">
                      <a:avLst/>
                    </a:prstGeom>
                  </pic:spPr>
                </pic:pic>
              </a:graphicData>
            </a:graphic>
          </wp:inline>
        </w:drawing>
      </w:r>
    </w:p>
    <w:p w14:paraId="4D135A50" w14:textId="2012E379" w:rsidR="00C34216" w:rsidRDefault="00C34216">
      <w:pPr>
        <w:spacing w:after="200"/>
        <w:rPr>
          <w:color w:val="222222"/>
          <w:highlight w:val="white"/>
        </w:rPr>
      </w:pPr>
      <w:r w:rsidRPr="00C34216">
        <w:rPr>
          <w:color w:val="222222"/>
        </w:rPr>
        <w:drawing>
          <wp:inline distT="0" distB="0" distL="0" distR="0" wp14:anchorId="0FAD6B4E" wp14:editId="4BF2E938">
            <wp:extent cx="5733415" cy="2578735"/>
            <wp:effectExtent l="0" t="0" r="635" b="0"/>
            <wp:docPr id="1536013"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13" name=""/>
                    <pic:cNvPicPr/>
                  </pic:nvPicPr>
                  <pic:blipFill>
                    <a:blip r:embed="rId7"/>
                    <a:stretch>
                      <a:fillRect/>
                    </a:stretch>
                  </pic:blipFill>
                  <pic:spPr>
                    <a:xfrm>
                      <a:off x="0" y="0"/>
                      <a:ext cx="5733415" cy="2578735"/>
                    </a:xfrm>
                    <a:prstGeom prst="rect">
                      <a:avLst/>
                    </a:prstGeom>
                  </pic:spPr>
                </pic:pic>
              </a:graphicData>
            </a:graphic>
          </wp:inline>
        </w:drawing>
      </w:r>
    </w:p>
    <w:p w14:paraId="697DBF92" w14:textId="7CF0D47F" w:rsidR="00C34216" w:rsidRDefault="00C34216">
      <w:pPr>
        <w:spacing w:after="200"/>
        <w:rPr>
          <w:color w:val="222222"/>
          <w:highlight w:val="white"/>
        </w:rPr>
      </w:pPr>
      <w:r w:rsidRPr="00C34216">
        <w:rPr>
          <w:color w:val="222222"/>
        </w:rPr>
        <w:drawing>
          <wp:inline distT="0" distB="0" distL="0" distR="0" wp14:anchorId="3E15122F" wp14:editId="5BD3BBB2">
            <wp:extent cx="5733415" cy="2558415"/>
            <wp:effectExtent l="0" t="0" r="635" b="0"/>
            <wp:docPr id="717439756" name="Imagine 1" descr="O imagine care conține text, persoană, captură de ecran, Site web&#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39756" name="Imagine 1" descr="O imagine care conține text, persoană, captură de ecran, Site web&#10;&#10;Descriere generată automat"/>
                    <pic:cNvPicPr/>
                  </pic:nvPicPr>
                  <pic:blipFill>
                    <a:blip r:embed="rId8"/>
                    <a:stretch>
                      <a:fillRect/>
                    </a:stretch>
                  </pic:blipFill>
                  <pic:spPr>
                    <a:xfrm>
                      <a:off x="0" y="0"/>
                      <a:ext cx="5733415" cy="2558415"/>
                    </a:xfrm>
                    <a:prstGeom prst="rect">
                      <a:avLst/>
                    </a:prstGeom>
                  </pic:spPr>
                </pic:pic>
              </a:graphicData>
            </a:graphic>
          </wp:inline>
        </w:drawing>
      </w:r>
    </w:p>
    <w:p w14:paraId="464DA04B" w14:textId="2B79FA2F" w:rsidR="00C34216" w:rsidRDefault="00C34216">
      <w:pPr>
        <w:spacing w:after="200"/>
        <w:rPr>
          <w:color w:val="222222"/>
          <w:highlight w:val="white"/>
        </w:rPr>
      </w:pPr>
      <w:r w:rsidRPr="00C34216">
        <w:rPr>
          <w:color w:val="222222"/>
        </w:rPr>
        <w:lastRenderedPageBreak/>
        <w:drawing>
          <wp:inline distT="0" distB="0" distL="0" distR="0" wp14:anchorId="017FB9C4" wp14:editId="5DAF6D38">
            <wp:extent cx="5733415" cy="2590800"/>
            <wp:effectExtent l="0" t="0" r="635" b="0"/>
            <wp:docPr id="1170440035" name="Imagine 1" descr="O imagine care conține text, captură de ecran, Pagină web, softwar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440035" name="Imagine 1" descr="O imagine care conține text, captură de ecran, Pagină web, software&#10;&#10;Descriere generată automat"/>
                    <pic:cNvPicPr/>
                  </pic:nvPicPr>
                  <pic:blipFill>
                    <a:blip r:embed="rId9"/>
                    <a:stretch>
                      <a:fillRect/>
                    </a:stretch>
                  </pic:blipFill>
                  <pic:spPr>
                    <a:xfrm>
                      <a:off x="0" y="0"/>
                      <a:ext cx="5733415" cy="2590800"/>
                    </a:xfrm>
                    <a:prstGeom prst="rect">
                      <a:avLst/>
                    </a:prstGeom>
                  </pic:spPr>
                </pic:pic>
              </a:graphicData>
            </a:graphic>
          </wp:inline>
        </w:drawing>
      </w:r>
    </w:p>
    <w:p w14:paraId="5BC25977" w14:textId="5FC4538B" w:rsidR="008522E4" w:rsidRDefault="00A453EF">
      <w:pPr>
        <w:spacing w:after="200"/>
        <w:rPr>
          <w:color w:val="222222"/>
          <w:highlight w:val="white"/>
        </w:rPr>
      </w:pPr>
      <w:r w:rsidRPr="00A453EF">
        <w:rPr>
          <w:color w:val="222222"/>
        </w:rPr>
        <w:drawing>
          <wp:inline distT="0" distB="0" distL="0" distR="0" wp14:anchorId="09C5F4CF" wp14:editId="50676254">
            <wp:extent cx="5733415" cy="2575560"/>
            <wp:effectExtent l="0" t="0" r="635" b="0"/>
            <wp:docPr id="140503265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032658" name=""/>
                    <pic:cNvPicPr/>
                  </pic:nvPicPr>
                  <pic:blipFill>
                    <a:blip r:embed="rId10"/>
                    <a:stretch>
                      <a:fillRect/>
                    </a:stretch>
                  </pic:blipFill>
                  <pic:spPr>
                    <a:xfrm>
                      <a:off x="0" y="0"/>
                      <a:ext cx="5733415" cy="2575560"/>
                    </a:xfrm>
                    <a:prstGeom prst="rect">
                      <a:avLst/>
                    </a:prstGeom>
                  </pic:spPr>
                </pic:pic>
              </a:graphicData>
            </a:graphic>
          </wp:inline>
        </w:drawing>
      </w:r>
    </w:p>
    <w:p w14:paraId="4ABDAAE8" w14:textId="1AEC9F01" w:rsidR="00A453EF" w:rsidRDefault="006B3DBC">
      <w:pPr>
        <w:spacing w:after="200"/>
        <w:rPr>
          <w:color w:val="222222"/>
          <w:highlight w:val="white"/>
        </w:rPr>
      </w:pPr>
      <w:r w:rsidRPr="006B3DBC">
        <w:rPr>
          <w:color w:val="222222"/>
        </w:rPr>
        <w:drawing>
          <wp:inline distT="0" distB="0" distL="0" distR="0" wp14:anchorId="029C9C52" wp14:editId="1335D649">
            <wp:extent cx="5733415" cy="2576195"/>
            <wp:effectExtent l="0" t="0" r="635" b="0"/>
            <wp:docPr id="1738639483" name="Imagine 1" descr="O imagine care conține text, captură de ecran, software, Pagină web&#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39483" name="Imagine 1" descr="O imagine care conține text, captură de ecran, software, Pagină web&#10;&#10;Descriere generată automat"/>
                    <pic:cNvPicPr/>
                  </pic:nvPicPr>
                  <pic:blipFill>
                    <a:blip r:embed="rId11"/>
                    <a:stretch>
                      <a:fillRect/>
                    </a:stretch>
                  </pic:blipFill>
                  <pic:spPr>
                    <a:xfrm>
                      <a:off x="0" y="0"/>
                      <a:ext cx="5733415" cy="2576195"/>
                    </a:xfrm>
                    <a:prstGeom prst="rect">
                      <a:avLst/>
                    </a:prstGeom>
                  </pic:spPr>
                </pic:pic>
              </a:graphicData>
            </a:graphic>
          </wp:inline>
        </w:drawing>
      </w:r>
    </w:p>
    <w:p w14:paraId="45753ADE" w14:textId="477F2E16" w:rsidR="00FC00CF" w:rsidRDefault="00FC00CF">
      <w:pPr>
        <w:spacing w:after="200"/>
        <w:rPr>
          <w:color w:val="222222"/>
          <w:highlight w:val="white"/>
        </w:rPr>
      </w:pPr>
      <w:r w:rsidRPr="00FC00CF">
        <w:rPr>
          <w:color w:val="222222"/>
        </w:rPr>
        <w:lastRenderedPageBreak/>
        <w:drawing>
          <wp:inline distT="0" distB="0" distL="0" distR="0" wp14:anchorId="7517CA4C" wp14:editId="1C2FBD2B">
            <wp:extent cx="5733415" cy="2570480"/>
            <wp:effectExtent l="0" t="0" r="635" b="1270"/>
            <wp:docPr id="177509486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094867" name=""/>
                    <pic:cNvPicPr/>
                  </pic:nvPicPr>
                  <pic:blipFill>
                    <a:blip r:embed="rId12"/>
                    <a:stretch>
                      <a:fillRect/>
                    </a:stretch>
                  </pic:blipFill>
                  <pic:spPr>
                    <a:xfrm>
                      <a:off x="0" y="0"/>
                      <a:ext cx="5733415" cy="2570480"/>
                    </a:xfrm>
                    <a:prstGeom prst="rect">
                      <a:avLst/>
                    </a:prstGeom>
                  </pic:spPr>
                </pic:pic>
              </a:graphicData>
            </a:graphic>
          </wp:inline>
        </w:drawing>
      </w:r>
    </w:p>
    <w:p w14:paraId="4F1D5E71" w14:textId="6A2586AB" w:rsidR="00D4381D" w:rsidRDefault="00E21BD2">
      <w:pPr>
        <w:spacing w:after="200"/>
        <w:rPr>
          <w:color w:val="222222"/>
          <w:highlight w:val="white"/>
        </w:rPr>
      </w:pPr>
      <w:r w:rsidRPr="00E21BD2">
        <w:rPr>
          <w:color w:val="222222"/>
        </w:rPr>
        <w:drawing>
          <wp:inline distT="0" distB="0" distL="0" distR="0" wp14:anchorId="3CAC422F" wp14:editId="111ED4D2">
            <wp:extent cx="5733415" cy="2598420"/>
            <wp:effectExtent l="0" t="0" r="635" b="0"/>
            <wp:docPr id="162090560"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90560" name=""/>
                    <pic:cNvPicPr/>
                  </pic:nvPicPr>
                  <pic:blipFill>
                    <a:blip r:embed="rId13"/>
                    <a:stretch>
                      <a:fillRect/>
                    </a:stretch>
                  </pic:blipFill>
                  <pic:spPr>
                    <a:xfrm>
                      <a:off x="0" y="0"/>
                      <a:ext cx="5733415" cy="2598420"/>
                    </a:xfrm>
                    <a:prstGeom prst="rect">
                      <a:avLst/>
                    </a:prstGeom>
                  </pic:spPr>
                </pic:pic>
              </a:graphicData>
            </a:graphic>
          </wp:inline>
        </w:drawing>
      </w:r>
    </w:p>
    <w:p w14:paraId="50883776" w14:textId="0A6D6A42" w:rsidR="00ED2DDA" w:rsidRDefault="00ED2DDA">
      <w:pPr>
        <w:spacing w:after="200"/>
        <w:rPr>
          <w:color w:val="222222"/>
          <w:highlight w:val="white"/>
        </w:rPr>
      </w:pPr>
      <w:r w:rsidRPr="00ED2DDA">
        <w:rPr>
          <w:color w:val="222222"/>
        </w:rPr>
        <w:drawing>
          <wp:inline distT="0" distB="0" distL="0" distR="0" wp14:anchorId="229216D5" wp14:editId="16337F2C">
            <wp:extent cx="5733415" cy="2512695"/>
            <wp:effectExtent l="0" t="0" r="635" b="1905"/>
            <wp:docPr id="1890169490" name="Imagine 1" descr="O imagine care conține text, software, Pictogramă computer, Pagină web&#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69490" name="Imagine 1" descr="O imagine care conține text, software, Pictogramă computer, Pagină web&#10;&#10;Descriere generată automat"/>
                    <pic:cNvPicPr/>
                  </pic:nvPicPr>
                  <pic:blipFill>
                    <a:blip r:embed="rId14"/>
                    <a:stretch>
                      <a:fillRect/>
                    </a:stretch>
                  </pic:blipFill>
                  <pic:spPr>
                    <a:xfrm>
                      <a:off x="0" y="0"/>
                      <a:ext cx="5733415" cy="2512695"/>
                    </a:xfrm>
                    <a:prstGeom prst="rect">
                      <a:avLst/>
                    </a:prstGeom>
                  </pic:spPr>
                </pic:pic>
              </a:graphicData>
            </a:graphic>
          </wp:inline>
        </w:drawing>
      </w:r>
    </w:p>
    <w:p w14:paraId="76992138" w14:textId="36EDDBB3" w:rsidR="006A6B6E" w:rsidRDefault="006A6B6E">
      <w:pPr>
        <w:spacing w:after="200"/>
        <w:rPr>
          <w:color w:val="222222"/>
          <w:highlight w:val="white"/>
        </w:rPr>
      </w:pPr>
      <w:r w:rsidRPr="006A6B6E">
        <w:rPr>
          <w:color w:val="222222"/>
        </w:rPr>
        <w:lastRenderedPageBreak/>
        <w:drawing>
          <wp:inline distT="0" distB="0" distL="0" distR="0" wp14:anchorId="5E122397" wp14:editId="6B9E5F15">
            <wp:extent cx="5733415" cy="2599690"/>
            <wp:effectExtent l="0" t="0" r="635" b="0"/>
            <wp:docPr id="463675653" name="Imagine 1" descr="O imagine care conține text, captură de ecran, Font, Site web&#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75653" name="Imagine 1" descr="O imagine care conține text, captură de ecran, Font, Site web&#10;&#10;Descriere generată automat"/>
                    <pic:cNvPicPr/>
                  </pic:nvPicPr>
                  <pic:blipFill>
                    <a:blip r:embed="rId15"/>
                    <a:stretch>
                      <a:fillRect/>
                    </a:stretch>
                  </pic:blipFill>
                  <pic:spPr>
                    <a:xfrm>
                      <a:off x="0" y="0"/>
                      <a:ext cx="5733415" cy="2599690"/>
                    </a:xfrm>
                    <a:prstGeom prst="rect">
                      <a:avLst/>
                    </a:prstGeom>
                  </pic:spPr>
                </pic:pic>
              </a:graphicData>
            </a:graphic>
          </wp:inline>
        </w:drawing>
      </w:r>
    </w:p>
    <w:sectPr w:rsidR="006A6B6E">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7F58CD" w14:textId="77777777" w:rsidR="006969E6" w:rsidRDefault="006969E6">
      <w:pPr>
        <w:spacing w:line="240" w:lineRule="auto"/>
      </w:pPr>
      <w:r>
        <w:separator/>
      </w:r>
    </w:p>
  </w:endnote>
  <w:endnote w:type="continuationSeparator" w:id="0">
    <w:p w14:paraId="0A412F1E" w14:textId="77777777" w:rsidR="006969E6" w:rsidRDefault="006969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B3D14B" w14:textId="44539707" w:rsidR="00631BD3" w:rsidRDefault="00000000">
    <w:pPr>
      <w:jc w:val="right"/>
    </w:pPr>
    <w:r>
      <w:fldChar w:fldCharType="begin"/>
    </w:r>
    <w:r>
      <w:instrText>PAGE</w:instrText>
    </w:r>
    <w:r>
      <w:fldChar w:fldCharType="separate"/>
    </w:r>
    <w:r w:rsidR="00255CE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3898E8" w14:textId="77777777" w:rsidR="006969E6" w:rsidRDefault="006969E6">
      <w:pPr>
        <w:spacing w:line="240" w:lineRule="auto"/>
      </w:pPr>
      <w:r>
        <w:separator/>
      </w:r>
    </w:p>
  </w:footnote>
  <w:footnote w:type="continuationSeparator" w:id="0">
    <w:p w14:paraId="4C9E3C3B" w14:textId="77777777" w:rsidR="006969E6" w:rsidRDefault="006969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BD3"/>
    <w:rsid w:val="00197761"/>
    <w:rsid w:val="00255CEA"/>
    <w:rsid w:val="00447C30"/>
    <w:rsid w:val="004740D9"/>
    <w:rsid w:val="004E3DEE"/>
    <w:rsid w:val="00585220"/>
    <w:rsid w:val="005E4BD5"/>
    <w:rsid w:val="00631BD3"/>
    <w:rsid w:val="006650D9"/>
    <w:rsid w:val="006969E6"/>
    <w:rsid w:val="006A3F35"/>
    <w:rsid w:val="006A6B6E"/>
    <w:rsid w:val="006B3DBC"/>
    <w:rsid w:val="008522E4"/>
    <w:rsid w:val="00856522"/>
    <w:rsid w:val="00886CF1"/>
    <w:rsid w:val="008F0DD3"/>
    <w:rsid w:val="00A1674F"/>
    <w:rsid w:val="00A21CA0"/>
    <w:rsid w:val="00A453EF"/>
    <w:rsid w:val="00A53204"/>
    <w:rsid w:val="00B61680"/>
    <w:rsid w:val="00C27597"/>
    <w:rsid w:val="00C34216"/>
    <w:rsid w:val="00C42A47"/>
    <w:rsid w:val="00CB0325"/>
    <w:rsid w:val="00D30831"/>
    <w:rsid w:val="00D4381D"/>
    <w:rsid w:val="00D63142"/>
    <w:rsid w:val="00E21BD2"/>
    <w:rsid w:val="00ED2DDA"/>
    <w:rsid w:val="00F623A8"/>
    <w:rsid w:val="00FC00CF"/>
    <w:rsid w:val="00FF3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3D0F9"/>
  <w15:docId w15:val="{2EEBCF59-3F80-47E9-9CB2-F1DB13FBF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13</Pages>
  <Words>2114</Words>
  <Characters>12052</Characters>
  <Application>Microsoft Office Word</Application>
  <DocSecurity>0</DocSecurity>
  <Lines>100</Lines>
  <Paragraphs>28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24</cp:revision>
  <dcterms:created xsi:type="dcterms:W3CDTF">2024-10-13T11:54:00Z</dcterms:created>
  <dcterms:modified xsi:type="dcterms:W3CDTF">2024-10-15T22:55:00Z</dcterms:modified>
</cp:coreProperties>
</file>