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xmlns:a14="http://schemas.microsoft.com/office/drawing/2010/main" mc:Ignorable="w14 w15 w16se w16cid w16 w16cex w16sdtdh w16sdtfl w16du wp14">
  <w:background w:color="FFFFFF"/>
  <w:body>
    <w:p w:rsidR="000279B6" w:rsidP="000279B6" w:rsidRDefault="000279B6" w14:paraId="31BC798D" w14:textId="77777777">
      <w:pPr>
        <w:jc w:val="center"/>
        <w:rPr>
          <w:b/>
          <w:bCs/>
          <w:lang w:val="en-IN"/>
        </w:rPr>
      </w:pPr>
    </w:p>
    <w:p w:rsidR="000279B6" w:rsidP="7719F11E" w:rsidRDefault="000279B6" w14:paraId="78AC21FE" w14:textId="45BFC904">
      <w:pPr>
        <w:jc w:val="center"/>
        <w:rPr>
          <w:b w:val="1"/>
          <w:bCs w:val="1"/>
          <w:sz w:val="36"/>
          <w:szCs w:val="36"/>
          <w:lang w:val="en-IN"/>
        </w:rPr>
      </w:pPr>
      <w:r w:rsidRPr="7719F11E" w:rsidR="6E9808D5">
        <w:rPr>
          <w:b w:val="1"/>
          <w:bCs w:val="1"/>
          <w:sz w:val="36"/>
          <w:szCs w:val="36"/>
          <w:lang w:val="en-IN"/>
        </w:rPr>
        <w:t xml:space="preserve">University of Wales Trinity Saint David </w:t>
      </w:r>
    </w:p>
    <w:p w:rsidRPr="000279B6" w:rsidR="000279B6" w:rsidP="7719F11E" w:rsidRDefault="000279B6" w14:paraId="0EC279F9" w14:textId="268FE0B4">
      <w:pPr>
        <w:jc w:val="center"/>
        <w:rPr>
          <w:b w:val="1"/>
          <w:bCs w:val="1"/>
          <w:sz w:val="36"/>
          <w:szCs w:val="36"/>
          <w:lang w:val="en-IN"/>
        </w:rPr>
      </w:pPr>
      <w:r w:rsidRPr="7719F11E" w:rsidR="000279B6">
        <w:rPr>
          <w:b w:val="1"/>
          <w:bCs w:val="1"/>
          <w:sz w:val="36"/>
          <w:szCs w:val="36"/>
          <w:lang w:val="en-IN"/>
        </w:rPr>
        <w:t>BMHP5014 – Changemakers: Creativity and Value Creation</w:t>
      </w:r>
    </w:p>
    <w:p w:rsidRPr="000279B6" w:rsidR="000279B6" w:rsidP="7719F11E" w:rsidRDefault="000279B6" w14:paraId="78960F6D" w14:textId="49F70361">
      <w:pPr>
        <w:jc w:val="center"/>
        <w:rPr>
          <w:b w:val="1"/>
          <w:bCs w:val="1"/>
          <w:sz w:val="36"/>
          <w:szCs w:val="36"/>
          <w:lang w:val="en-IN"/>
        </w:rPr>
      </w:pPr>
      <w:r w:rsidRPr="7719F11E" w:rsidR="000279B6">
        <w:rPr>
          <w:b w:val="1"/>
          <w:bCs w:val="1"/>
          <w:sz w:val="36"/>
          <w:szCs w:val="36"/>
          <w:lang w:val="en-IN"/>
        </w:rPr>
        <w:t>Component</w:t>
      </w:r>
      <w:r w:rsidRPr="7719F11E" w:rsidR="000279B6">
        <w:rPr>
          <w:b w:val="1"/>
          <w:bCs w:val="1"/>
          <w:sz w:val="36"/>
          <w:szCs w:val="36"/>
          <w:lang w:val="en-IN"/>
        </w:rPr>
        <w:t xml:space="preserve"> 2: Innovation Poster and Written P</w:t>
      </w:r>
      <w:r w:rsidRPr="7719F11E" w:rsidR="64C9D5F1">
        <w:rPr>
          <w:b w:val="1"/>
          <w:bCs w:val="1"/>
          <w:sz w:val="36"/>
          <w:szCs w:val="36"/>
          <w:lang w:val="en-IN"/>
        </w:rPr>
        <w:t>itch</w:t>
      </w:r>
    </w:p>
    <w:p w:rsidR="64C9D5F1" w:rsidP="7719F11E" w:rsidRDefault="64C9D5F1" w14:paraId="7C9FF621" w14:textId="2AFDFFA9">
      <w:pPr>
        <w:jc w:val="center"/>
        <w:rPr>
          <w:b w:val="1"/>
          <w:bCs w:val="1"/>
          <w:sz w:val="36"/>
          <w:szCs w:val="36"/>
          <w:lang w:val="en-IN"/>
        </w:rPr>
      </w:pPr>
      <w:r w:rsidRPr="7719F11E" w:rsidR="64C9D5F1">
        <w:rPr>
          <w:b w:val="1"/>
          <w:bCs w:val="1"/>
          <w:sz w:val="36"/>
          <w:szCs w:val="36"/>
          <w:lang w:val="en-IN"/>
        </w:rPr>
        <w:t>Student name: Svetlana Spinu</w:t>
      </w:r>
    </w:p>
    <w:p w:rsidR="64C9D5F1" w:rsidP="7719F11E" w:rsidRDefault="64C9D5F1" w14:paraId="311201BB" w14:textId="1E4A33A1">
      <w:pPr>
        <w:jc w:val="center"/>
        <w:rPr>
          <w:b w:val="1"/>
          <w:bCs w:val="1"/>
          <w:sz w:val="36"/>
          <w:szCs w:val="36"/>
          <w:lang w:val="en-IN"/>
        </w:rPr>
      </w:pPr>
      <w:r w:rsidRPr="7719F11E" w:rsidR="64C9D5F1">
        <w:rPr>
          <w:b w:val="1"/>
          <w:bCs w:val="1"/>
          <w:sz w:val="36"/>
          <w:szCs w:val="36"/>
          <w:lang w:val="en-IN"/>
        </w:rPr>
        <w:t>Student ID: 2419396</w:t>
      </w:r>
    </w:p>
    <w:p w:rsidR="64C9D5F1" w:rsidP="7719F11E" w:rsidRDefault="64C9D5F1" w14:paraId="28C0110B" w14:textId="7DBC1A88">
      <w:pPr>
        <w:jc w:val="center"/>
        <w:rPr>
          <w:b w:val="1"/>
          <w:bCs w:val="1"/>
          <w:sz w:val="36"/>
          <w:szCs w:val="36"/>
          <w:lang w:val="en-IN"/>
        </w:rPr>
      </w:pPr>
      <w:r w:rsidRPr="7719F11E" w:rsidR="64C9D5F1">
        <w:rPr>
          <w:b w:val="1"/>
          <w:bCs w:val="1"/>
          <w:sz w:val="36"/>
          <w:szCs w:val="36"/>
          <w:lang w:val="en-IN"/>
        </w:rPr>
        <w:t>Lecture Name: Zarah Ahmed</w:t>
      </w:r>
    </w:p>
    <w:p w:rsidRPr="000279B6" w:rsidR="000279B6" w:rsidP="7719F11E" w:rsidRDefault="000279B6" w14:paraId="785326D6" w14:textId="20D5B79C">
      <w:pPr>
        <w:rPr>
          <w:b w:val="1"/>
          <w:bCs w:val="1"/>
          <w:lang w:val="en-IN"/>
        </w:rPr>
      </w:pPr>
    </w:p>
    <w:p w:rsidR="000279B6" w:rsidRDefault="000279B6" w14:paraId="256230CF" w14:textId="77777777">
      <w:pPr>
        <w:rPr>
          <w:b/>
          <w:bCs/>
          <w:sz w:val="28"/>
          <w:szCs w:val="28"/>
        </w:rPr>
      </w:pPr>
      <w:r>
        <w:br w:type="page"/>
      </w:r>
    </w:p>
    <w:sdt>
      <w:sdtPr>
        <w:rPr>
          <w:rFonts w:ascii="Arial" w:hAnsi="Arial" w:eastAsia="Times New Roman" w:cs="Arial"/>
          <w:b/>
          <w:bCs/>
          <w:color w:val="auto"/>
          <w:sz w:val="28"/>
          <w:szCs w:val="28"/>
          <w:lang w:val="en-GB" w:eastAsia="en-IN"/>
        </w:rPr>
        <w:id w:val="-2048209603"/>
        <w:docPartObj>
          <w:docPartGallery w:val="Table of Contents"/>
          <w:docPartUnique/>
        </w:docPartObj>
      </w:sdtPr>
      <w:sdtEndPr>
        <w:rPr>
          <w:rFonts w:ascii="Arial" w:hAnsi="Arial" w:eastAsia="Times New Roman" w:cs="Arial"/>
          <w:b w:val="1"/>
          <w:bCs w:val="1"/>
          <w:noProof/>
          <w:color w:val="auto"/>
          <w:sz w:val="22"/>
          <w:szCs w:val="22"/>
          <w:lang w:val="en-GB" w:eastAsia="en-IN"/>
        </w:rPr>
      </w:sdtEndPr>
      <w:sdtContent>
        <w:p w:rsidRPr="000279B6" w:rsidR="000279B6" w:rsidRDefault="000279B6" w14:paraId="6A15890C" w14:textId="02EFC217">
          <w:pPr>
            <w:pStyle w:val="TOCHeading"/>
            <w:rPr>
              <w:rFonts w:ascii="Arial" w:hAnsi="Arial" w:cs="Arial"/>
              <w:b/>
              <w:bCs/>
              <w:color w:val="auto"/>
              <w:sz w:val="28"/>
              <w:szCs w:val="28"/>
            </w:rPr>
          </w:pPr>
          <w:r w:rsidRPr="000279B6">
            <w:rPr>
              <w:rFonts w:ascii="Arial" w:hAnsi="Arial" w:cs="Arial"/>
              <w:b/>
              <w:bCs/>
              <w:color w:val="auto"/>
              <w:sz w:val="28"/>
              <w:szCs w:val="28"/>
            </w:rPr>
            <w:t>Table of Contents</w:t>
          </w:r>
        </w:p>
        <w:p w:rsidR="000279B6" w:rsidRDefault="000279B6" w14:paraId="3575D8C9" w14:textId="56DB0AA7">
          <w:pPr>
            <w:pStyle w:val="TOC1"/>
            <w:tabs>
              <w:tab w:val="right" w:leader="dot" w:pos="9016"/>
            </w:tabs>
            <w:rPr>
              <w:noProof/>
            </w:rPr>
          </w:pPr>
          <w:r>
            <w:fldChar w:fldCharType="begin"/>
          </w:r>
          <w:r>
            <w:instrText xml:space="preserve"> TOC \o "1-3" \h \z \u </w:instrText>
          </w:r>
          <w:r>
            <w:fldChar w:fldCharType="separate"/>
          </w:r>
          <w:hyperlink w:history="1" w:anchor="_Toc232716303">
            <w:r w:rsidRPr="005C3C82">
              <w:rPr>
                <w:rStyle w:val="Hyperlink"/>
                <w:noProof/>
              </w:rPr>
              <w:t>Poster</w:t>
            </w:r>
            <w:r>
              <w:rPr>
                <w:noProof/>
                <w:webHidden/>
              </w:rPr>
              <w:tab/>
            </w:r>
            <w:r>
              <w:rPr>
                <w:noProof/>
                <w:webHidden/>
              </w:rPr>
              <w:fldChar w:fldCharType="begin"/>
            </w:r>
            <w:r>
              <w:rPr>
                <w:noProof/>
                <w:webHidden/>
              </w:rPr>
              <w:instrText xml:space="preserve"> PAGEREF _Toc232716303 \h </w:instrText>
            </w:r>
            <w:r>
              <w:rPr>
                <w:noProof/>
                <w:webHidden/>
              </w:rPr>
            </w:r>
            <w:r>
              <w:rPr>
                <w:noProof/>
                <w:webHidden/>
              </w:rPr>
              <w:fldChar w:fldCharType="separate"/>
            </w:r>
            <w:r>
              <w:rPr>
                <w:noProof/>
                <w:webHidden/>
              </w:rPr>
              <w:t>2</w:t>
            </w:r>
            <w:r>
              <w:rPr>
                <w:noProof/>
                <w:webHidden/>
              </w:rPr>
              <w:fldChar w:fldCharType="end"/>
            </w:r>
          </w:hyperlink>
        </w:p>
        <w:p w:rsidR="000279B6" w:rsidRDefault="000279B6" w14:paraId="050A78F4" w14:textId="76401E3B">
          <w:pPr>
            <w:pStyle w:val="TOC1"/>
            <w:tabs>
              <w:tab w:val="right" w:leader="dot" w:pos="9016"/>
            </w:tabs>
            <w:rPr>
              <w:noProof/>
            </w:rPr>
          </w:pPr>
          <w:hyperlink w:history="1" w:anchor="_Toc232716304">
            <w:r w:rsidRPr="005C3C82">
              <w:rPr>
                <w:rStyle w:val="Hyperlink"/>
                <w:noProof/>
              </w:rPr>
              <w:t>Pitch</w:t>
            </w:r>
            <w:r>
              <w:rPr>
                <w:noProof/>
                <w:webHidden/>
              </w:rPr>
              <w:tab/>
            </w:r>
            <w:r>
              <w:rPr>
                <w:noProof/>
                <w:webHidden/>
              </w:rPr>
              <w:fldChar w:fldCharType="begin"/>
            </w:r>
            <w:r>
              <w:rPr>
                <w:noProof/>
                <w:webHidden/>
              </w:rPr>
              <w:instrText xml:space="preserve"> PAGEREF _Toc232716304 \h </w:instrText>
            </w:r>
            <w:r>
              <w:rPr>
                <w:noProof/>
                <w:webHidden/>
              </w:rPr>
            </w:r>
            <w:r>
              <w:rPr>
                <w:noProof/>
                <w:webHidden/>
              </w:rPr>
              <w:fldChar w:fldCharType="separate"/>
            </w:r>
            <w:r>
              <w:rPr>
                <w:noProof/>
                <w:webHidden/>
              </w:rPr>
              <w:t>3</w:t>
            </w:r>
            <w:r>
              <w:rPr>
                <w:noProof/>
                <w:webHidden/>
              </w:rPr>
              <w:fldChar w:fldCharType="end"/>
            </w:r>
          </w:hyperlink>
        </w:p>
        <w:p w:rsidR="000279B6" w:rsidRDefault="000279B6" w14:paraId="7DCEEBA0" w14:textId="3F4855BA">
          <w:pPr>
            <w:pStyle w:val="TOC1"/>
            <w:tabs>
              <w:tab w:val="right" w:leader="dot" w:pos="9016"/>
            </w:tabs>
            <w:rPr>
              <w:noProof/>
            </w:rPr>
          </w:pPr>
          <w:hyperlink w:history="1" w:anchor="_Toc232716305">
            <w:r w:rsidRPr="005C3C82">
              <w:rPr>
                <w:rStyle w:val="Hyperlink"/>
                <w:noProof/>
              </w:rPr>
              <w:t>Reference list</w:t>
            </w:r>
            <w:r>
              <w:rPr>
                <w:noProof/>
                <w:webHidden/>
              </w:rPr>
              <w:tab/>
            </w:r>
            <w:r>
              <w:rPr>
                <w:noProof/>
                <w:webHidden/>
              </w:rPr>
              <w:fldChar w:fldCharType="begin"/>
            </w:r>
            <w:r>
              <w:rPr>
                <w:noProof/>
                <w:webHidden/>
              </w:rPr>
              <w:instrText xml:space="preserve"> PAGEREF _Toc232716305 \h </w:instrText>
            </w:r>
            <w:r>
              <w:rPr>
                <w:noProof/>
                <w:webHidden/>
              </w:rPr>
            </w:r>
            <w:r>
              <w:rPr>
                <w:noProof/>
                <w:webHidden/>
              </w:rPr>
              <w:fldChar w:fldCharType="separate"/>
            </w:r>
            <w:r>
              <w:rPr>
                <w:noProof/>
                <w:webHidden/>
              </w:rPr>
              <w:t>6</w:t>
            </w:r>
            <w:r>
              <w:rPr>
                <w:noProof/>
                <w:webHidden/>
              </w:rPr>
              <w:fldChar w:fldCharType="end"/>
            </w:r>
          </w:hyperlink>
        </w:p>
        <w:p w:rsidR="000279B6" w:rsidRDefault="000279B6" w14:paraId="5737795C" w14:textId="550D868D">
          <w:r w:rsidRPr="5C988779">
            <w:rPr>
              <w:b w:val="1"/>
              <w:bCs w:val="1"/>
              <w:noProof/>
            </w:rPr>
            <w:fldChar w:fldCharType="end"/>
          </w:r>
        </w:p>
      </w:sdtContent>
    </w:sdt>
    <w:p w:rsidR="00712AC6" w:rsidP="5C988779" w:rsidRDefault="00000000" w14:paraId="10FB8C2B" w14:textId="6959CF43">
      <w:pPr>
        <w:pStyle w:val="Normal"/>
      </w:pPr>
    </w:p>
    <w:p w:rsidR="00712AC6" w:rsidP="5C988779" w:rsidRDefault="00000000" w14:paraId="07BBF6EB" w14:textId="7C7FA353">
      <w:pPr>
        <w:pStyle w:val="Normal"/>
      </w:pPr>
    </w:p>
    <w:p w:rsidR="00712AC6" w:rsidP="5C988779" w:rsidRDefault="00000000" w14:paraId="1998CDD3" w14:textId="10589940">
      <w:pPr>
        <w:pStyle w:val="Normal"/>
      </w:pPr>
    </w:p>
    <w:p w:rsidR="00712AC6" w:rsidP="5C988779" w:rsidRDefault="00000000" w14:paraId="47578ECD" w14:textId="494A4C3B">
      <w:pPr>
        <w:pStyle w:val="Normal"/>
      </w:pPr>
    </w:p>
    <w:p w:rsidR="00712AC6" w:rsidP="000279B6" w:rsidRDefault="00000000" w14:paraId="0448A097" w14:textId="3C9B6855">
      <w:pPr>
        <w:pStyle w:val="Heading1"/>
      </w:pPr>
      <w:r w:rsidR="7CE0330B">
        <w:rPr/>
        <w:t>Poster</w:t>
      </w:r>
    </w:p>
    <w:p w:rsidR="00712AC6" w:rsidP="5C988779" w:rsidRDefault="00000000" w14:paraId="6AAC1576" w14:textId="275E909B">
      <w:pPr>
        <w:pStyle w:val="Normal"/>
      </w:pPr>
      <w:r w:rsidR="1CCE59AE">
        <w:drawing>
          <wp:inline wp14:editId="512E0473" wp14:anchorId="23282AB9">
            <wp:extent cx="5664234" cy="8340051"/>
            <wp:effectExtent l="0" t="0" r="0" b="0"/>
            <wp:docPr id="10776272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7627272" name="Picture 1077627272"/>
                    <pic:cNvPicPr/>
                  </pic:nvPicPr>
                  <pic:blipFill>
                    <a:blip xmlns:r="http://schemas.openxmlformats.org/officeDocument/2006/relationships" r:embed="rId1586375384">
                      <a:extLst>
                        <a:ext uri="{28A0092B-C50C-407E-A947-70E740481C1C}">
                          <a14:useLocalDpi xmlns:a14="http://schemas.microsoft.com/office/drawing/2010/main"/>
                        </a:ext>
                      </a:extLst>
                    </a:blip>
                    <a:stretch>
                      <a:fillRect/>
                    </a:stretch>
                  </pic:blipFill>
                  <pic:spPr>
                    <a:xfrm rot="0">
                      <a:off x="0" y="0"/>
                      <a:ext cx="5664234" cy="8340051"/>
                    </a:xfrm>
                    <a:prstGeom prst="rect">
                      <a:avLst/>
                    </a:prstGeom>
                  </pic:spPr>
                </pic:pic>
              </a:graphicData>
            </a:graphic>
          </wp:inline>
        </w:drawing>
      </w:r>
    </w:p>
    <w:p w:rsidR="00712AC6" w:rsidP="000279B6" w:rsidRDefault="00000000" w14:paraId="0DC83E58" w14:textId="43E9532A">
      <w:pPr>
        <w:pStyle w:val="Heading1"/>
      </w:pPr>
      <w:bookmarkStart w:name="_Toc232716304" w:id="2"/>
      <w:r w:rsidR="66DE2DB7">
        <w:rPr/>
        <w:t>Pitch</w:t>
      </w:r>
      <w:bookmarkEnd w:id="2"/>
    </w:p>
    <w:p w:rsidR="00712AC6" w:rsidP="000279B6" w:rsidRDefault="00000000" w14:paraId="560C6745" w14:textId="44CB1E76">
      <w:r>
        <w:t xml:space="preserve">Older people in the UK suffer from loneliness and social isolation in particular, which is recognised as a public health issue. Services are need-driven with a significant focus on the physical well-being needs. There is a lack of consideration of social well-being, and this </w:t>
      </w:r>
      <w:r w:rsidR="00990B10">
        <w:t>has</w:t>
      </w:r>
      <w:r>
        <w:t xml:space="preserve"> a deep impact on quality of life, mental well-being, and uptake of health services. ConnectCare UK is an innovative health and social care campaign </w:t>
      </w:r>
      <w:r w:rsidR="00990B10">
        <w:t>that</w:t>
      </w:r>
      <w:r>
        <w:t xml:space="preserve"> aims to tackle this challenge using digital technology, community engagement, volunteer support</w:t>
      </w:r>
      <w:r w:rsidR="00990B10">
        <w:t>,</w:t>
      </w:r>
      <w:r>
        <w:t xml:space="preserve"> and NHS social prescribing pathways. The campaign aims to create social networks that will have a positive impact on the social and health care of </w:t>
      </w:r>
      <w:r w:rsidR="00990B10">
        <w:t>the elderly</w:t>
      </w:r>
      <w:r>
        <w:t xml:space="preserve"> as a whole.</w:t>
      </w:r>
    </w:p>
    <w:p w:rsidR="00712AC6" w:rsidP="000279B6" w:rsidRDefault="00000000" w14:paraId="34E2AFD6" w14:textId="77777777">
      <w:r>
        <w:t>Evidence for the need for this innovation is the extent of loneliness among older adults. Age UK estimates that there are approximately 940,000 older people (aged 65+)who often feel lonely, and that a large proportion of older adults have limited or no face-to-face contact with family and friends (Age UK, 2024). In addition, there are over two million (2,246,048) people over 75 years living in isolation in England (NHS, 2022; COPNI, 2025). In the UK, there will likely be more people who are vulnerable to loneliness as a result of population ageing (Centre for Ageing Better, 2024). Loneliness has been consistently correlated with depression, anxiety, and a decrease in cognitive abilities, as well as a higher risk of cardiovascular disease and hospitalisation (Donovan and Blazer, 2020; Percival et al., 2022; Salari et al., 2025). Thus, loneliness is not a social issue per se, but rather an important health care and social care issue and a new intervention.</w:t>
      </w:r>
    </w:p>
    <w:p w:rsidR="00712AC6" w:rsidP="000279B6" w:rsidRDefault="00000000" w14:paraId="7780828D" w14:textId="3D6482A6">
      <w:r>
        <w:rPr/>
        <w:t>All of</w:t>
      </w:r>
      <w:r>
        <w:rPr/>
        <w:t xml:space="preserve"> the above are issues, </w:t>
      </w:r>
      <w:r>
        <w:rPr/>
        <w:t>ConnectCare</w:t>
      </w:r>
      <w:r>
        <w:rPr/>
        <w:t xml:space="preserve"> UK </w:t>
      </w:r>
      <w:r w:rsidR="00990B10">
        <w:rPr/>
        <w:t>believes</w:t>
      </w:r>
      <w:r>
        <w:rPr/>
        <w:t xml:space="preserve"> can be overcome with their person-centred approach to health, social care, community</w:t>
      </w:r>
      <w:r w:rsidR="00990B10">
        <w:rPr/>
        <w:t>,</w:t>
      </w:r>
      <w:r>
        <w:rPr/>
        <w:t xml:space="preserve"> and digital technology. At the centre of the campaign will be</w:t>
      </w:r>
      <w:r w:rsidR="5037BC0E">
        <w:rPr/>
        <w:t xml:space="preserve"> on</w:t>
      </w:r>
      <w:r>
        <w:rPr/>
        <w:t xml:space="preserve"> </w:t>
      </w:r>
      <w:r>
        <w:rPr/>
        <w:t xml:space="preserve">a mobile phone app, </w:t>
      </w:r>
      <w:r w:rsidR="32E70C47">
        <w:rPr/>
        <w:t>tele</w:t>
      </w:r>
      <w:r>
        <w:rPr/>
        <w:t xml:space="preserve">phone help, information </w:t>
      </w:r>
      <w:r w:rsidR="3BBE6DAF">
        <w:rPr/>
        <w:t>about local</w:t>
      </w:r>
      <w:r>
        <w:rPr/>
        <w:t xml:space="preserve"> community activities, </w:t>
      </w:r>
      <w:r w:rsidR="723AB7EE">
        <w:rPr/>
        <w:t>v</w:t>
      </w:r>
      <w:r>
        <w:rPr/>
        <w:t>irtual social engagement programmes</w:t>
      </w:r>
      <w:r w:rsidR="00990B10">
        <w:rPr/>
        <w:t>,</w:t>
      </w:r>
      <w:r>
        <w:rPr/>
        <w:t xml:space="preserve"> and Volunteer Befriending programmes. Digital technology will be accessible and inclusive </w:t>
      </w:r>
      <w:r w:rsidR="1E984961">
        <w:rPr/>
        <w:t>for</w:t>
      </w:r>
      <w:r>
        <w:rPr/>
        <w:t xml:space="preserve"> everyone, supported by community </w:t>
      </w:r>
      <w:r w:rsidR="714583B6">
        <w:rPr/>
        <w:t>assistance</w:t>
      </w:r>
      <w:r>
        <w:rPr/>
        <w:t xml:space="preserve"> (</w:t>
      </w:r>
      <w:r w:rsidR="00990B10">
        <w:rPr/>
        <w:t>face-to-face</w:t>
      </w:r>
      <w:r>
        <w:rPr/>
        <w:t xml:space="preserve">) or telephone </w:t>
      </w:r>
      <w:r w:rsidR="61BE640A">
        <w:rPr/>
        <w:t>guidance</w:t>
      </w:r>
      <w:r>
        <w:rPr/>
        <w:t>.</w:t>
      </w:r>
    </w:p>
    <w:p w:rsidR="00712AC6" w:rsidP="000279B6" w:rsidRDefault="00000000" w14:paraId="181D44F3" w14:textId="77777777">
      <w:r>
        <w:t>ConnectCare UK can be a force for good and is an answer to the NHS Long Term Plan and NHS Personalised Care Model calls. Social prescribing is an approach where health care professionals refer clients to the services available in the community that will improve wellbeing and health; one of the central approaches of the NHS. ConnectCare UK will help the GP, Social Prescribing Link Workers, community nurses and social workers to understand when someone is socially isolated, and link them up with other care and support services. The campaign is about preventing older people from becoming lonely before it develops into a health issue, and represents healthcare that is focused on prevention and relieves the NHS.</w:t>
      </w:r>
    </w:p>
    <w:p w:rsidR="00712AC6" w:rsidP="000279B6" w:rsidRDefault="00000000" w14:paraId="35EADD25" w14:textId="77777777">
      <w:r>
        <w:t>One of the significant elements in the planning of the campaign is technology creation. The users will get recommendations tailored to their interests and needs. ConnectCare UK will be able to provide well-being check-ins, notifications of events, area and interest meet-ups and video calls. AI can be used to detect through user behaviours which users might need additional support, and allow for earlier AI support interventions. However, the use of technology should be used in conjunction with, not instead of, interaction with humans. The campaign recognises that there are still meaningful social connections, a natural antidote to loneliness, and that technology is a way to help make these connections.</w:t>
      </w:r>
    </w:p>
    <w:p w:rsidR="00712AC6" w:rsidP="000279B6" w:rsidRDefault="00000000" w14:paraId="0E329722" w14:textId="77777777">
      <w:r>
        <w:t>ConnectCare UK is an example of how a complex health and social care problem can be tackled from an innovation and value creation perspective, through creativity. The campaign represents a coordinated service as a fusion of already existing voluntary organisations and data-driven solutions, community resources and health care pathways. It's an integrated model with several stakeholders' values. For better social relationships and well-being, community organisations are better mediators as they are able to engage with older people more easily and effectively.</w:t>
      </w:r>
    </w:p>
    <w:p w:rsidR="00712AC6" w:rsidP="000279B6" w:rsidRDefault="00000000" w14:paraId="45DC99CA" w14:textId="67426713">
      <w:r>
        <w:rPr/>
        <w:t xml:space="preserve">Working together with several stakeholders will be vital to the implementation of </w:t>
      </w:r>
      <w:r>
        <w:rPr/>
        <w:t>ConnectCare</w:t>
      </w:r>
      <w:r>
        <w:rPr/>
        <w:t xml:space="preserve"> UK, such as NHS England, ICSs, local authorities, Age UK, voluntary sector organisations, healthcare professionals, technology developers, carers</w:t>
      </w:r>
      <w:r w:rsidR="00990B10">
        <w:rPr/>
        <w:t>,</w:t>
      </w:r>
      <w:r>
        <w:rPr/>
        <w:t xml:space="preserve"> and community volunteers. Collaborations a</w:t>
      </w:r>
      <w:r w:rsidR="7A3AFF01">
        <w:rPr/>
        <w:t xml:space="preserve">re crucial </w:t>
      </w:r>
      <w:r>
        <w:rPr/>
        <w:t xml:space="preserve">in achieving sustainability and scale at a </w:t>
      </w:r>
      <w:r>
        <w:rPr/>
        <w:t>Regional</w:t>
      </w:r>
      <w:r>
        <w:rPr/>
        <w:t xml:space="preserve"> level. A</w:t>
      </w:r>
      <w:r w:rsidR="0E9179FA">
        <w:rPr/>
        <w:t xml:space="preserve"> systematic</w:t>
      </w:r>
      <w:r>
        <w:rPr/>
        <w:t xml:space="preserve"> approach, </w:t>
      </w:r>
      <w:r w:rsidR="2D46A52C">
        <w:rPr/>
        <w:t>with</w:t>
      </w:r>
      <w:r>
        <w:rPr/>
        <w:t xml:space="preserve"> the key elements of the piloting, evaluation, up-skilling, training</w:t>
      </w:r>
      <w:r w:rsidR="00990B10">
        <w:rPr/>
        <w:t>,</w:t>
      </w:r>
      <w:r>
        <w:rPr/>
        <w:t xml:space="preserve"> and then national roll-out, ensures that risks are minimised and improvements are gradual and </w:t>
      </w:r>
      <w:r>
        <w:rPr/>
        <w:t>progressiv</w:t>
      </w:r>
    </w:p>
    <w:p w:rsidR="00712AC6" w:rsidP="000279B6" w:rsidRDefault="00000000" w14:paraId="3B04BB31" w14:textId="36EB268A">
      <w:r>
        <w:t>It is also important that the campaign abide by proper legislative obligations as well as standards of campaigning professionalism. In any case where data is collected digitally, UK GDPR and the Data Protection Act 2018 will be followed. Access will be under the Equality Act 2010 for all types of physical, sensory</w:t>
      </w:r>
      <w:r w:rsidR="00990B10">
        <w:t>,</w:t>
      </w:r>
      <w:r>
        <w:t xml:space="preserve"> and cognitive impairments. Complying with the security standards set by the NHS Digital will also help protect the users' information and continue to build trust in the British public (NHS, 2023; UK Government, 2025).</w:t>
      </w:r>
    </w:p>
    <w:p w:rsidR="00712AC6" w:rsidP="000279B6" w:rsidRDefault="00000000" w14:paraId="3F8E145A" w14:textId="07D99485">
      <w:pPr>
        <w:rPr>
          <w:highlight w:val="yellow"/>
        </w:rPr>
      </w:pPr>
      <w:r>
        <w:rPr/>
        <w:t>The</w:t>
      </w:r>
      <w:r w:rsidR="472412FF">
        <w:rPr/>
        <w:t xml:space="preserve"> </w:t>
      </w:r>
      <w:r w:rsidR="7EB2423F">
        <w:rPr/>
        <w:t>key</w:t>
      </w:r>
      <w:r>
        <w:rPr/>
        <w:t xml:space="preserve"> aspect of the campaign has been the involvement of the community. There will be awareness campaigns that will get family members and carers involved; volunteers will be recruited</w:t>
      </w:r>
      <w:r w:rsidR="00990B10">
        <w:rPr/>
        <w:t>,</w:t>
      </w:r>
      <w:r>
        <w:rPr/>
        <w:t xml:space="preserve"> and family/community involvement will be achieved by family volunteering campaigns. Educating people about the importance of loneliness as a public health problem can help tackle the de-stigmatisation of </w:t>
      </w:r>
      <w:r>
        <w:rPr/>
        <w:t>loneliness, and</w:t>
      </w:r>
      <w:r>
        <w:rPr/>
        <w:t xml:space="preserve"> therefore help them seek help. In addition to this, having the community engaged continuously also makes for community cohesion and is important in </w:t>
      </w:r>
      <w:r>
        <w:rPr/>
        <w:t>maintaining</w:t>
      </w:r>
      <w:r>
        <w:rPr/>
        <w:t xml:space="preserve"> the campaign.</w:t>
      </w:r>
    </w:p>
    <w:p w:rsidRPr="000279B6" w:rsidR="00712AC6" w:rsidP="000279B6" w:rsidRDefault="00000000" w14:paraId="48AF9A76" w14:textId="2EF02960">
      <w:r w:rsidRPr="000279B6">
        <w:t>ConnectCare UK is an innovative, evidence-based</w:t>
      </w:r>
      <w:r w:rsidR="00CA3E75">
        <w:t>,</w:t>
      </w:r>
      <w:r w:rsidRPr="000279B6">
        <w:t xml:space="preserve"> and practical approach to one of the greatest challenges in health and social care outcomes in the UK. The campaign, which centres on digital technology, community engagement, social prescribing</w:t>
      </w:r>
      <w:r w:rsidR="00CA3E75">
        <w:t>,</w:t>
      </w:r>
      <w:r w:rsidRPr="000279B6">
        <w:t xml:space="preserve"> and </w:t>
      </w:r>
      <w:r w:rsidR="00CA3E75">
        <w:t xml:space="preserve">a </w:t>
      </w:r>
      <w:r w:rsidRPr="000279B6">
        <w:t xml:space="preserve">single point of contact, has the potential to have a tangible impact on loneliness and enhance the health and </w:t>
      </w:r>
      <w:r w:rsidR="00CA3E75">
        <w:t>well-being</w:t>
      </w:r>
      <w:r w:rsidRPr="000279B6">
        <w:t xml:space="preserve"> of older people. Together, by being innovative and thinking about the common good, ConnectCare UK can provide healthier communities, connections</w:t>
      </w:r>
      <w:r w:rsidR="00CA3E75">
        <w:t>,</w:t>
      </w:r>
      <w:r w:rsidRPr="000279B6">
        <w:t xml:space="preserve"> and positive ageing in the UK.</w:t>
      </w:r>
    </w:p>
    <w:p w:rsidR="00712AC6" w:rsidP="000279B6" w:rsidRDefault="00000000" w14:paraId="5768350A" w14:textId="61923E0E">
      <w:r>
        <w:br w:type="page"/>
      </w:r>
      <w:bookmarkStart w:name="_3fxy6jvp0edx" w:colFirst="0" w:colLast="0" w:id="3"/>
      <w:bookmarkEnd w:id="3"/>
    </w:p>
    <w:p w:rsidRPr="000279B6" w:rsidR="00712AC6" w:rsidP="000279B6" w:rsidRDefault="000279B6" w14:paraId="50EE10B4" w14:textId="59AC75A8">
      <w:pPr>
        <w:pStyle w:val="Heading1"/>
      </w:pPr>
      <w:bookmarkStart w:name="_knmk0hbgero8" w:colFirst="0" w:colLast="0" w:id="4"/>
      <w:bookmarkStart w:name="_20g8t7jjpvw2" w:colFirst="0" w:colLast="0" w:id="5"/>
      <w:bookmarkStart w:name="_Toc232716305" w:id="6"/>
      <w:bookmarkEnd w:id="4"/>
      <w:bookmarkEnd w:id="5"/>
      <w:r w:rsidRPr="000279B6">
        <w:t>Reference list</w:t>
      </w:r>
      <w:bookmarkEnd w:id="6"/>
    </w:p>
    <w:p w:rsidRPr="000279B6" w:rsidR="000279B6" w:rsidP="000279B6" w:rsidRDefault="000279B6" w14:paraId="628B6253" w14:textId="77777777">
      <w:pPr>
        <w:rPr>
          <w:lang w:val="en-IN"/>
        </w:rPr>
      </w:pPr>
      <w:r w:rsidRPr="000279B6">
        <w:rPr>
          <w:lang w:val="en-IN"/>
        </w:rPr>
        <w:t xml:space="preserve">Age UK (2024). </w:t>
      </w:r>
      <w:r w:rsidRPr="000279B6">
        <w:rPr>
          <w:i/>
          <w:iCs/>
          <w:lang w:val="en-IN"/>
        </w:rPr>
        <w:t>AGE UK’S NEW REPORT SHOWS ‘YOU ARE NOT ALONE IN FEELING LONELY’</w:t>
      </w:r>
      <w:r w:rsidRPr="000279B6">
        <w:rPr>
          <w:lang w:val="en-IN"/>
        </w:rPr>
        <w:t>. [online] Age UK. Available at: https://www.ageuk.org.uk/latest-press/articles/age-uks-new-report-shows-you-are-not-alone-in-feeling-lonely/ [Accessed 18 Jun. 2026].</w:t>
      </w:r>
    </w:p>
    <w:p w:rsidRPr="000279B6" w:rsidR="000279B6" w:rsidP="000279B6" w:rsidRDefault="000279B6" w14:paraId="1847E5CB" w14:textId="77777777">
      <w:pPr>
        <w:rPr>
          <w:lang w:val="en-IN"/>
        </w:rPr>
      </w:pPr>
      <w:r w:rsidRPr="000279B6">
        <w:rPr>
          <w:lang w:val="en-IN"/>
        </w:rPr>
        <w:t xml:space="preserve">Centre for Ageing Better (2024). </w:t>
      </w:r>
      <w:r w:rsidRPr="000279B6">
        <w:rPr>
          <w:i/>
          <w:iCs/>
          <w:lang w:val="en-IN"/>
        </w:rPr>
        <w:t xml:space="preserve">Our Ageing Population | the State of Ageing 2023-24 </w:t>
      </w:r>
      <w:r w:rsidRPr="000279B6">
        <w:rPr>
          <w:lang w:val="en-IN"/>
        </w:rPr>
        <w:t>. [online] Centre For Ageing Better. Available at: https://ageing-better.org.uk/our-ageing-population-state-ageing-2023-4 [Accessed 18 Jun. 2026].</w:t>
      </w:r>
    </w:p>
    <w:p w:rsidRPr="000279B6" w:rsidR="000279B6" w:rsidP="000279B6" w:rsidRDefault="000279B6" w14:paraId="194755D8" w14:textId="77777777">
      <w:pPr>
        <w:rPr>
          <w:lang w:val="en-IN"/>
        </w:rPr>
      </w:pPr>
      <w:r w:rsidRPr="000279B6">
        <w:rPr>
          <w:lang w:val="en-IN"/>
        </w:rPr>
        <w:t xml:space="preserve">COPNI (2025). </w:t>
      </w:r>
      <w:r w:rsidRPr="000279B6">
        <w:rPr>
          <w:i/>
          <w:iCs/>
          <w:lang w:val="en-IN"/>
        </w:rPr>
        <w:t>Loneliness and social isolation | Commissioner for Older People for Northern Ireland</w:t>
      </w:r>
      <w:r w:rsidRPr="000279B6">
        <w:rPr>
          <w:lang w:val="en-IN"/>
        </w:rPr>
        <w:t>. [online] Commissioner for Older People for Northern Ireland. Available at: https://copni.org/news/articles/loneliness-and-social-isolation? [Accessed 18 Jun. 2026].</w:t>
      </w:r>
    </w:p>
    <w:p w:rsidRPr="000279B6" w:rsidR="000279B6" w:rsidP="000279B6" w:rsidRDefault="000279B6" w14:paraId="60B502AE" w14:textId="77777777">
      <w:pPr>
        <w:rPr>
          <w:lang w:val="en-IN"/>
        </w:rPr>
      </w:pPr>
      <w:r w:rsidRPr="000279B6">
        <w:rPr>
          <w:lang w:val="en-IN"/>
        </w:rPr>
        <w:t xml:space="preserve">Donovan, N.J. and Blazer, D. (2020). Social isolation and loneliness in older adults: Review and commentary of a national academies report. </w:t>
      </w:r>
      <w:r w:rsidRPr="000279B6">
        <w:rPr>
          <w:i/>
          <w:iCs/>
          <w:lang w:val="en-IN"/>
        </w:rPr>
        <w:t>The American Journal of Geriatric Psychiatry</w:t>
      </w:r>
      <w:r w:rsidRPr="000279B6">
        <w:rPr>
          <w:lang w:val="en-IN"/>
        </w:rPr>
        <w:t>, [online] 28(12), pp.1233–1244. doi:https://doi.org/10.1016/j.jagp.2020.08.005.</w:t>
      </w:r>
    </w:p>
    <w:p w:rsidRPr="000279B6" w:rsidR="000279B6" w:rsidP="000279B6" w:rsidRDefault="000279B6" w14:paraId="1B34A46E" w14:textId="77777777">
      <w:pPr>
        <w:rPr>
          <w:lang w:val="en-IN"/>
        </w:rPr>
      </w:pPr>
      <w:r w:rsidRPr="000279B6">
        <w:rPr>
          <w:lang w:val="en-IN"/>
        </w:rPr>
        <w:t xml:space="preserve">NHS (2022). </w:t>
      </w:r>
      <w:r w:rsidRPr="000279B6">
        <w:rPr>
          <w:i/>
          <w:iCs/>
          <w:lang w:val="en-IN"/>
        </w:rPr>
        <w:t>Loneliness in Older People</w:t>
      </w:r>
      <w:r w:rsidRPr="000279B6">
        <w:rPr>
          <w:lang w:val="en-IN"/>
        </w:rPr>
        <w:t>. [online] NHS. Available at: https://www.nhs.uk/mental-health/feelings-symptoms-behaviours/feelings-and-symptoms/loneliness-in-older-people/ [Accessed 18 Jun. 2026].</w:t>
      </w:r>
    </w:p>
    <w:p w:rsidRPr="000279B6" w:rsidR="000279B6" w:rsidP="000279B6" w:rsidRDefault="000279B6" w14:paraId="4D94D3EC" w14:textId="77777777">
      <w:pPr>
        <w:rPr>
          <w:lang w:val="en-IN"/>
        </w:rPr>
      </w:pPr>
      <w:r w:rsidRPr="000279B6">
        <w:rPr>
          <w:lang w:val="en-IN"/>
        </w:rPr>
        <w:t xml:space="preserve">NHS (2023). </w:t>
      </w:r>
      <w:r w:rsidRPr="000279B6">
        <w:rPr>
          <w:i/>
          <w:iCs/>
          <w:lang w:val="en-IN"/>
        </w:rPr>
        <w:t>Data security and information governance</w:t>
      </w:r>
      <w:r w:rsidRPr="000279B6">
        <w:rPr>
          <w:lang w:val="en-IN"/>
        </w:rPr>
        <w:t>. [online] NHS Digital. Available at: https://digital.nhs.uk/data-and-information/looking-after-information/data-security-and-information-governance [Accessed 18 Jun. 2026].</w:t>
      </w:r>
    </w:p>
    <w:p w:rsidRPr="000279B6" w:rsidR="000279B6" w:rsidP="000279B6" w:rsidRDefault="000279B6" w14:paraId="6192D4E8" w14:textId="77777777">
      <w:pPr>
        <w:rPr>
          <w:lang w:val="en-IN"/>
        </w:rPr>
      </w:pPr>
      <w:r w:rsidRPr="000279B6">
        <w:rPr>
          <w:lang w:val="en-IN"/>
        </w:rPr>
        <w:t xml:space="preserve">Percival, A., Newton, C., Mulligan, K., Petrella, R.J. and Ashe, M.C. (2022). Systematic review of social prescribing and older adults: where to from here? </w:t>
      </w:r>
      <w:r w:rsidRPr="000279B6">
        <w:rPr>
          <w:i/>
          <w:iCs/>
          <w:lang w:val="en-IN"/>
        </w:rPr>
        <w:t>Family Medicine and Community Health</w:t>
      </w:r>
      <w:r w:rsidRPr="000279B6">
        <w:rPr>
          <w:lang w:val="en-IN"/>
        </w:rPr>
        <w:t>, 10(Suppl 1), p.e001829. doi:https://doi.org/10.1136/fmch-2022-001829.</w:t>
      </w:r>
    </w:p>
    <w:p w:rsidRPr="000279B6" w:rsidR="000279B6" w:rsidP="000279B6" w:rsidRDefault="000279B6" w14:paraId="58FEAFC2" w14:textId="77777777">
      <w:pPr>
        <w:rPr>
          <w:lang w:val="en-IN"/>
        </w:rPr>
      </w:pPr>
      <w:r w:rsidRPr="000279B6">
        <w:rPr>
          <w:lang w:val="en-IN"/>
        </w:rPr>
        <w:t xml:space="preserve">Salari, N., Najafi, H., Rasoulpoor, S., Canbary, Z., Heidarian, P. and Mohammadi, M. (2025). The global prevalence and associated factors of loneliness in older adults: a systematic review and meta-analysis. </w:t>
      </w:r>
      <w:r w:rsidRPr="000279B6">
        <w:rPr>
          <w:i/>
          <w:iCs/>
          <w:lang w:val="en-IN"/>
        </w:rPr>
        <w:t>Humanities and Social Sciences Communications</w:t>
      </w:r>
      <w:r w:rsidRPr="000279B6">
        <w:rPr>
          <w:lang w:val="en-IN"/>
        </w:rPr>
        <w:t>, [online] 12(1). doi:https://doi.org/10.1057/s41599-025-05304-x.</w:t>
      </w:r>
    </w:p>
    <w:p w:rsidRPr="000279B6" w:rsidR="000279B6" w:rsidP="000279B6" w:rsidRDefault="000279B6" w14:paraId="3DA97966" w14:textId="77777777">
      <w:pPr>
        <w:rPr>
          <w:lang w:val="en-IN"/>
        </w:rPr>
      </w:pPr>
      <w:r w:rsidRPr="000279B6">
        <w:rPr>
          <w:lang w:val="en-IN"/>
        </w:rPr>
        <w:t xml:space="preserve">UK Government (2025). </w:t>
      </w:r>
      <w:r w:rsidRPr="000279B6">
        <w:rPr>
          <w:i/>
          <w:iCs/>
          <w:lang w:val="en-IN"/>
        </w:rPr>
        <w:t>Data Protection Act</w:t>
      </w:r>
      <w:r w:rsidRPr="000279B6">
        <w:rPr>
          <w:lang w:val="en-IN"/>
        </w:rPr>
        <w:t>. [online] Gov.uk. Available at: https://www.gov.uk/data-protection [Accessed 18 Jun. 2026].</w:t>
      </w:r>
    </w:p>
    <w:p w:rsidRPr="000279B6" w:rsidR="000279B6" w:rsidP="000279B6" w:rsidRDefault="000279B6" w14:paraId="1ADE5103" w14:textId="77777777"/>
    <w:sectPr w:rsidRPr="000279B6" w:rsidR="000279B6" w:rsidSect="000279B6">
      <w:headerReference w:type="default" r:id="rId10"/>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titlePg/>
      <w:docGrid w:linePitch="299"/>
      <w:headerReference w:type="first" r:id="R1976ac7cc8c34745"/>
      <w:footerReference w:type="default" r:id="R186049386c21426f"/>
      <w:footerReference w:type="first" r:id="R55ec9fed03754f8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6FCE" w:rsidP="000279B6" w:rsidRDefault="00236FCE" w14:paraId="52F706BB" w14:textId="77777777">
      <w:pPr>
        <w:spacing w:after="0" w:line="240" w:lineRule="auto"/>
      </w:pPr>
      <w:r>
        <w:separator/>
      </w:r>
    </w:p>
  </w:endnote>
  <w:endnote w:type="continuationSeparator" w:id="0">
    <w:p w:rsidR="00236FCE" w:rsidP="000279B6" w:rsidRDefault="00236FCE" w14:paraId="0B92A7A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044C33A6-8440-4A82-8301-0E6F219AC02C}" r:id="rId1"/>
  </w:font>
  <w:font w:name="Cambria">
    <w:panose1 w:val="02040503050406030204"/>
    <w:charset w:val="00"/>
    <w:family w:val="roman"/>
    <w:pitch w:val="variable"/>
    <w:sig w:usb0="E00006FF" w:usb1="420024FF" w:usb2="02000000" w:usb3="00000000" w:csb0="0000019F" w:csb1="00000000"/>
    <w:embedRegular w:fontKey="{EEF7ACAF-3BF2-4A5F-AD23-83371F07F4D2}" r:id="rId2"/>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988779" w:rsidTr="5C988779" w14:paraId="75B8ECF4">
      <w:trPr>
        <w:trHeight w:val="300"/>
      </w:trPr>
      <w:tc>
        <w:tcPr>
          <w:tcW w:w="3005" w:type="dxa"/>
          <w:tcMar/>
        </w:tcPr>
        <w:p w:rsidR="5C988779" w:rsidP="5C988779" w:rsidRDefault="5C988779" w14:paraId="6DD022F2" w14:textId="01CAFD6C">
          <w:pPr>
            <w:pStyle w:val="Header"/>
            <w:bidi w:val="0"/>
            <w:ind w:left="-115"/>
            <w:jc w:val="left"/>
          </w:pPr>
        </w:p>
      </w:tc>
      <w:tc>
        <w:tcPr>
          <w:tcW w:w="3005" w:type="dxa"/>
          <w:tcMar/>
        </w:tcPr>
        <w:p w:rsidR="5C988779" w:rsidP="5C988779" w:rsidRDefault="5C988779" w14:paraId="51822040" w14:textId="22287D25">
          <w:pPr>
            <w:pStyle w:val="Header"/>
            <w:bidi w:val="0"/>
            <w:jc w:val="center"/>
          </w:pPr>
        </w:p>
      </w:tc>
      <w:tc>
        <w:tcPr>
          <w:tcW w:w="3005" w:type="dxa"/>
          <w:tcMar/>
        </w:tcPr>
        <w:p w:rsidR="5C988779" w:rsidP="5C988779" w:rsidRDefault="5C988779" w14:paraId="5AF8BBD0" w14:textId="46DED5EF">
          <w:pPr>
            <w:pStyle w:val="Header"/>
            <w:bidi w:val="0"/>
            <w:ind w:right="-115"/>
            <w:jc w:val="right"/>
          </w:pPr>
        </w:p>
      </w:tc>
    </w:tr>
  </w:tbl>
  <w:p w:rsidR="5C988779" w:rsidP="5C988779" w:rsidRDefault="5C988779" w14:paraId="3510C928" w14:textId="77CA2BE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988779" w:rsidTr="5C988779" w14:paraId="7F8024CD">
      <w:trPr>
        <w:trHeight w:val="300"/>
      </w:trPr>
      <w:tc>
        <w:tcPr>
          <w:tcW w:w="3005" w:type="dxa"/>
          <w:tcMar/>
        </w:tcPr>
        <w:p w:rsidR="5C988779" w:rsidP="5C988779" w:rsidRDefault="5C988779" w14:paraId="269730FD" w14:textId="7019E10E">
          <w:pPr>
            <w:pStyle w:val="Header"/>
            <w:bidi w:val="0"/>
            <w:ind w:left="-115"/>
            <w:jc w:val="left"/>
          </w:pPr>
        </w:p>
      </w:tc>
      <w:tc>
        <w:tcPr>
          <w:tcW w:w="3005" w:type="dxa"/>
          <w:tcMar/>
        </w:tcPr>
        <w:p w:rsidR="5C988779" w:rsidP="5C988779" w:rsidRDefault="5C988779" w14:paraId="63A75E7B" w14:textId="25847289">
          <w:pPr>
            <w:pStyle w:val="Header"/>
            <w:bidi w:val="0"/>
            <w:jc w:val="center"/>
          </w:pPr>
        </w:p>
      </w:tc>
      <w:tc>
        <w:tcPr>
          <w:tcW w:w="3005" w:type="dxa"/>
          <w:tcMar/>
        </w:tcPr>
        <w:p w:rsidR="5C988779" w:rsidP="5C988779" w:rsidRDefault="5C988779" w14:paraId="6A0E361C" w14:textId="1FF6B679">
          <w:pPr>
            <w:pStyle w:val="Header"/>
            <w:bidi w:val="0"/>
            <w:ind w:right="-115"/>
            <w:jc w:val="right"/>
          </w:pPr>
        </w:p>
      </w:tc>
    </w:tr>
  </w:tbl>
  <w:p w:rsidR="5C988779" w:rsidP="5C988779" w:rsidRDefault="5C988779" w14:paraId="4BD652BD" w14:textId="4B63D70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6FCE" w:rsidP="000279B6" w:rsidRDefault="00236FCE" w14:paraId="7D635D7E" w14:textId="77777777">
      <w:pPr>
        <w:spacing w:after="0" w:line="240" w:lineRule="auto"/>
      </w:pPr>
      <w:r>
        <w:separator/>
      </w:r>
    </w:p>
  </w:footnote>
  <w:footnote w:type="continuationSeparator" w:id="0">
    <w:p w:rsidR="00236FCE" w:rsidP="000279B6" w:rsidRDefault="00236FCE" w14:paraId="644FB9C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355337"/>
      <w:docPartObj>
        <w:docPartGallery w:val="Page Numbers (Top of Page)"/>
        <w:docPartUnique/>
      </w:docPartObj>
    </w:sdtPr>
    <w:sdtEndPr>
      <w:rPr>
        <w:noProof/>
      </w:rPr>
    </w:sdtEndPr>
    <w:sdtContent>
      <w:p w:rsidR="000279B6" w:rsidRDefault="000279B6" w14:paraId="63F3D49C" w14:textId="69080F3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0279B6" w:rsidRDefault="000279B6" w14:paraId="4009260E"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988779" w:rsidTr="5C988779" w14:paraId="747E1D9A">
      <w:trPr>
        <w:trHeight w:val="300"/>
      </w:trPr>
      <w:tc>
        <w:tcPr>
          <w:tcW w:w="3005" w:type="dxa"/>
          <w:tcMar/>
        </w:tcPr>
        <w:p w:rsidR="5C988779" w:rsidP="5C988779" w:rsidRDefault="5C988779" w14:paraId="294E1023" w14:textId="65E4B0B6">
          <w:pPr>
            <w:pStyle w:val="Header"/>
            <w:bidi w:val="0"/>
            <w:ind w:left="-115"/>
            <w:jc w:val="left"/>
          </w:pPr>
        </w:p>
      </w:tc>
      <w:tc>
        <w:tcPr>
          <w:tcW w:w="3005" w:type="dxa"/>
          <w:tcMar/>
        </w:tcPr>
        <w:p w:rsidR="5C988779" w:rsidP="5C988779" w:rsidRDefault="5C988779" w14:paraId="6D113597" w14:textId="4729D61B">
          <w:pPr>
            <w:pStyle w:val="Header"/>
            <w:bidi w:val="0"/>
            <w:jc w:val="center"/>
          </w:pPr>
        </w:p>
      </w:tc>
      <w:tc>
        <w:tcPr>
          <w:tcW w:w="3005" w:type="dxa"/>
          <w:tcMar/>
        </w:tcPr>
        <w:p w:rsidR="5C988779" w:rsidP="5C988779" w:rsidRDefault="5C988779" w14:paraId="2CE1A963" w14:textId="09871D33">
          <w:pPr>
            <w:pStyle w:val="Header"/>
            <w:bidi w:val="0"/>
            <w:ind w:right="-115"/>
            <w:jc w:val="right"/>
          </w:pPr>
        </w:p>
      </w:tc>
    </w:tr>
  </w:tbl>
  <w:p w:rsidR="5C988779" w:rsidP="5C988779" w:rsidRDefault="5C988779" w14:paraId="1B6D9060" w14:textId="73C98CC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9325F"/>
    <w:multiLevelType w:val="multilevel"/>
    <w:tmpl w:val="3ADA3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747D68"/>
    <w:multiLevelType w:val="multilevel"/>
    <w:tmpl w:val="92D0C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FB3CAB"/>
    <w:multiLevelType w:val="multilevel"/>
    <w:tmpl w:val="478AF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072F10"/>
    <w:multiLevelType w:val="multilevel"/>
    <w:tmpl w:val="78942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8649974">
    <w:abstractNumId w:val="1"/>
  </w:num>
  <w:num w:numId="2" w16cid:durableId="1596286263">
    <w:abstractNumId w:val="2"/>
  </w:num>
  <w:num w:numId="3" w16cid:durableId="1640107786">
    <w:abstractNumId w:val="3"/>
  </w:num>
  <w:num w:numId="4" w16cid:durableId="109100585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AC6"/>
    <w:rsid w:val="00000000"/>
    <w:rsid w:val="000279B6"/>
    <w:rsid w:val="000E2D2F"/>
    <w:rsid w:val="00236FCE"/>
    <w:rsid w:val="0036789A"/>
    <w:rsid w:val="00702E0E"/>
    <w:rsid w:val="00712AC6"/>
    <w:rsid w:val="00990B10"/>
    <w:rsid w:val="00CA3E75"/>
    <w:rsid w:val="01C9B70C"/>
    <w:rsid w:val="035DD9C2"/>
    <w:rsid w:val="047AD489"/>
    <w:rsid w:val="0586B733"/>
    <w:rsid w:val="07125C54"/>
    <w:rsid w:val="081F750E"/>
    <w:rsid w:val="095ACBE9"/>
    <w:rsid w:val="09766964"/>
    <w:rsid w:val="0D72F554"/>
    <w:rsid w:val="0E9179FA"/>
    <w:rsid w:val="127174F6"/>
    <w:rsid w:val="133D3BB3"/>
    <w:rsid w:val="14F2AB05"/>
    <w:rsid w:val="16762E46"/>
    <w:rsid w:val="17BDE53F"/>
    <w:rsid w:val="188CED2F"/>
    <w:rsid w:val="18BC7804"/>
    <w:rsid w:val="19422CB6"/>
    <w:rsid w:val="19D3045C"/>
    <w:rsid w:val="1B89DA9E"/>
    <w:rsid w:val="1BEF81AA"/>
    <w:rsid w:val="1CCE59AE"/>
    <w:rsid w:val="1E638D94"/>
    <w:rsid w:val="1E984961"/>
    <w:rsid w:val="2276CCEE"/>
    <w:rsid w:val="2308CEDD"/>
    <w:rsid w:val="24E316A4"/>
    <w:rsid w:val="279B5DE1"/>
    <w:rsid w:val="28DA51DA"/>
    <w:rsid w:val="29C3A895"/>
    <w:rsid w:val="2D46A52C"/>
    <w:rsid w:val="2EB493F4"/>
    <w:rsid w:val="2F233544"/>
    <w:rsid w:val="32E70C47"/>
    <w:rsid w:val="3360A5F2"/>
    <w:rsid w:val="3490403D"/>
    <w:rsid w:val="35D00734"/>
    <w:rsid w:val="35EB906C"/>
    <w:rsid w:val="37BF27BE"/>
    <w:rsid w:val="37FA2031"/>
    <w:rsid w:val="38285F4C"/>
    <w:rsid w:val="38E181EA"/>
    <w:rsid w:val="3AA5C53A"/>
    <w:rsid w:val="3B744765"/>
    <w:rsid w:val="3B835C3A"/>
    <w:rsid w:val="3BBE6DAF"/>
    <w:rsid w:val="3F146602"/>
    <w:rsid w:val="3F6BFBF7"/>
    <w:rsid w:val="44E77BE9"/>
    <w:rsid w:val="45DF183B"/>
    <w:rsid w:val="472412FF"/>
    <w:rsid w:val="49668886"/>
    <w:rsid w:val="4A6676E4"/>
    <w:rsid w:val="4B43C04C"/>
    <w:rsid w:val="4B836387"/>
    <w:rsid w:val="4B977F41"/>
    <w:rsid w:val="4E680016"/>
    <w:rsid w:val="5037BC0E"/>
    <w:rsid w:val="504AB0D7"/>
    <w:rsid w:val="52E77E14"/>
    <w:rsid w:val="5490860B"/>
    <w:rsid w:val="56D7AAA0"/>
    <w:rsid w:val="5835EC4D"/>
    <w:rsid w:val="5C988779"/>
    <w:rsid w:val="609D5EB7"/>
    <w:rsid w:val="613BC811"/>
    <w:rsid w:val="61BE640A"/>
    <w:rsid w:val="64C9D5F1"/>
    <w:rsid w:val="64FCB914"/>
    <w:rsid w:val="65B60EE5"/>
    <w:rsid w:val="66DE2DB7"/>
    <w:rsid w:val="68384AC3"/>
    <w:rsid w:val="690DF4A2"/>
    <w:rsid w:val="6B789808"/>
    <w:rsid w:val="6E9808D5"/>
    <w:rsid w:val="7027EDC1"/>
    <w:rsid w:val="705EC40A"/>
    <w:rsid w:val="70C2D2B7"/>
    <w:rsid w:val="714583B6"/>
    <w:rsid w:val="72379711"/>
    <w:rsid w:val="723AB7EE"/>
    <w:rsid w:val="72D228A7"/>
    <w:rsid w:val="73046BD7"/>
    <w:rsid w:val="76F9F926"/>
    <w:rsid w:val="7719F11E"/>
    <w:rsid w:val="77DFAC07"/>
    <w:rsid w:val="7A3AFF01"/>
    <w:rsid w:val="7B7A15F0"/>
    <w:rsid w:val="7CE0330B"/>
    <w:rsid w:val="7EB2423F"/>
    <w:rsid w:val="7EDA03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1817"/>
  <w15:docId w15:val="{24DF1807-70ED-412F-AA52-FCBE85034F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279B6"/>
    <w:rPr>
      <w:rFonts w:ascii="Arial" w:hAnsi="Arial" w:cs="Arial"/>
      <w:sz w:val="22"/>
      <w:szCs w:val="22"/>
    </w:rPr>
  </w:style>
  <w:style w:type="paragraph" w:styleId="Heading1">
    <w:name w:val="heading 1"/>
    <w:basedOn w:val="Normal"/>
    <w:next w:val="Normal"/>
    <w:uiPriority w:val="9"/>
    <w:qFormat/>
    <w:rsid w:val="000279B6"/>
    <w:pPr>
      <w:keepNext/>
      <w:keepLines/>
      <w:spacing w:before="20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paragraph" w:styleId="ListParagraph">
    <w:name w:val="List Paragraph"/>
    <w:basedOn w:val="Normal"/>
    <w:uiPriority w:val="34"/>
    <w:qFormat/>
    <w:rsid w:val="000279B6"/>
    <w:pPr>
      <w:ind w:left="720"/>
      <w:contextualSpacing/>
    </w:pPr>
  </w:style>
  <w:style w:type="paragraph" w:styleId="Header">
    <w:name w:val="header"/>
    <w:basedOn w:val="Normal"/>
    <w:link w:val="HeaderChar"/>
    <w:uiPriority w:val="99"/>
    <w:unhideWhenUsed/>
    <w:rsid w:val="000279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0279B6"/>
    <w:rPr>
      <w:rFonts w:ascii="Arial" w:hAnsi="Arial" w:cs="Arial"/>
      <w:sz w:val="22"/>
      <w:szCs w:val="22"/>
    </w:rPr>
  </w:style>
  <w:style w:type="paragraph" w:styleId="Footer">
    <w:name w:val="footer"/>
    <w:basedOn w:val="Normal"/>
    <w:link w:val="FooterChar"/>
    <w:uiPriority w:val="99"/>
    <w:unhideWhenUsed/>
    <w:rsid w:val="000279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79B6"/>
    <w:rPr>
      <w:rFonts w:ascii="Arial" w:hAnsi="Arial" w:cs="Arial"/>
      <w:sz w:val="22"/>
      <w:szCs w:val="22"/>
    </w:rPr>
  </w:style>
  <w:style w:type="paragraph" w:styleId="TOCHeading">
    <w:name w:val="TOC Heading"/>
    <w:basedOn w:val="Heading1"/>
    <w:next w:val="Normal"/>
    <w:uiPriority w:val="39"/>
    <w:unhideWhenUsed/>
    <w:qFormat/>
    <w:rsid w:val="000279B6"/>
    <w:pPr>
      <w:spacing w:before="240" w:after="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279B6"/>
    <w:pPr>
      <w:spacing w:after="100"/>
    </w:pPr>
  </w:style>
  <w:style w:type="character" w:styleId="Hyperlink">
    <w:name w:val="Hyperlink"/>
    <w:basedOn w:val="DefaultParagraphFont"/>
    <w:uiPriority w:val="99"/>
    <w:unhideWhenUsed/>
    <w:rsid w:val="000279B6"/>
    <w:rPr>
      <w:color w:val="0000FF"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png" Id="rId1586375384" /><Relationship Type="http://schemas.openxmlformats.org/officeDocument/2006/relationships/header" Target="header2.xml" Id="R1976ac7cc8c34745" /><Relationship Type="http://schemas.openxmlformats.org/officeDocument/2006/relationships/footer" Target="footer.xml" Id="R186049386c21426f" /><Relationship Type="http://schemas.openxmlformats.org/officeDocument/2006/relationships/footer" Target="footer2.xml" Id="R55ec9fed03754f8a"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2BBAA-08A0-4290-9003-ED34E87540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Svetlana Spinu (2419396)</lastModifiedBy>
  <revision>10</revision>
  <dcterms:created xsi:type="dcterms:W3CDTF">2026-06-26T07:17:00.0000000Z</dcterms:created>
  <dcterms:modified xsi:type="dcterms:W3CDTF">2026-07-18T19:12:29.4608153Z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2a504d2a-c5bb-4976-9ddb-0a2ee7d9a0be</vt:lpwstr>
  </property>
</Properties>
</file>