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3B172" w14:textId="77777777" w:rsidR="00562DC7" w:rsidRDefault="00562DC7" w:rsidP="00562DC7">
      <w:pPr>
        <w:spacing w:after="0" w:line="240" w:lineRule="auto"/>
        <w:jc w:val="center"/>
      </w:pPr>
    </w:p>
    <w:p w14:paraId="4163B173" w14:textId="77777777" w:rsidR="00562DC7" w:rsidRDefault="00562DC7" w:rsidP="00562DC7">
      <w:pPr>
        <w:spacing w:after="0" w:line="240" w:lineRule="auto"/>
        <w:jc w:val="center"/>
      </w:pPr>
    </w:p>
    <w:p w14:paraId="0C1108A5" w14:textId="54C39C2A" w:rsidR="00B626CF" w:rsidRDefault="00036825" w:rsidP="00B626CF">
      <w:pPr>
        <w:ind w:left="720"/>
        <w:jc w:val="center"/>
        <w:rPr>
          <w:rFonts w:ascii="Arial" w:eastAsia="Arial" w:hAnsi="Arial" w:cs="Arial"/>
          <w:b/>
          <w:bCs/>
          <w:sz w:val="72"/>
          <w:szCs w:val="72"/>
          <w:u w:val="single"/>
          <w:lang w:val="en-US"/>
        </w:rPr>
      </w:pPr>
      <w:r>
        <w:rPr>
          <w:rFonts w:ascii="Arial" w:eastAsia="Arial" w:hAnsi="Arial" w:cs="Arial"/>
          <w:b/>
          <w:bCs/>
          <w:sz w:val="72"/>
          <w:szCs w:val="72"/>
          <w:u w:val="single"/>
          <w:lang w:val="en-US"/>
        </w:rPr>
        <w:t>Evidence-Based Policing and Decision Making</w:t>
      </w:r>
      <w:r w:rsidR="00DC2D15">
        <w:rPr>
          <w:rFonts w:ascii="Arial" w:eastAsia="Arial" w:hAnsi="Arial" w:cs="Arial"/>
          <w:b/>
          <w:bCs/>
          <w:sz w:val="72"/>
          <w:szCs w:val="72"/>
          <w:u w:val="single"/>
          <w:lang w:val="en-US"/>
        </w:rPr>
        <w:t>.</w:t>
      </w:r>
    </w:p>
    <w:p w14:paraId="0A335B29" w14:textId="6F4AD24B" w:rsidR="00B626CF" w:rsidRPr="006151DC" w:rsidRDefault="006151DC" w:rsidP="006151DC">
      <w:pPr>
        <w:ind w:left="720"/>
        <w:jc w:val="center"/>
        <w:rPr>
          <w:rFonts w:ascii="Arial" w:eastAsia="Arial" w:hAnsi="Arial" w:cs="Arial"/>
          <w:b/>
          <w:bCs/>
          <w:sz w:val="72"/>
          <w:szCs w:val="72"/>
          <w:u w:val="single"/>
          <w:lang w:val="en-US"/>
        </w:rPr>
      </w:pPr>
      <w:r>
        <w:rPr>
          <w:rFonts w:ascii="Arial" w:eastAsia="Arial" w:hAnsi="Arial" w:cs="Arial"/>
          <w:b/>
          <w:bCs/>
          <w:sz w:val="72"/>
          <w:szCs w:val="72"/>
          <w:u w:val="single"/>
          <w:lang w:val="en-US"/>
        </w:rPr>
        <w:t xml:space="preserve">Evidence Based </w:t>
      </w:r>
      <w:r w:rsidR="00DC2D15">
        <w:rPr>
          <w:rFonts w:ascii="Arial" w:eastAsia="Arial" w:hAnsi="Arial" w:cs="Arial"/>
          <w:b/>
          <w:bCs/>
          <w:sz w:val="72"/>
          <w:szCs w:val="72"/>
          <w:u w:val="single"/>
          <w:lang w:val="en-US"/>
        </w:rPr>
        <w:t>Policing &amp; Applications.</w:t>
      </w:r>
      <w:r w:rsidR="00B626CF">
        <w:rPr>
          <w:rFonts w:ascii="Arial" w:eastAsia="Arial" w:hAnsi="Arial" w:cs="Arial"/>
          <w:b/>
          <w:bCs/>
          <w:sz w:val="72"/>
          <w:szCs w:val="72"/>
          <w:u w:val="single"/>
          <w:lang w:val="en-US"/>
        </w:rPr>
        <w:t xml:space="preserve"> </w:t>
      </w:r>
    </w:p>
    <w:p w14:paraId="4163B174" w14:textId="77777777" w:rsidR="00562DC7" w:rsidRDefault="00562DC7" w:rsidP="00562DC7">
      <w:pPr>
        <w:spacing w:after="0" w:line="240" w:lineRule="auto"/>
        <w:jc w:val="center"/>
      </w:pPr>
    </w:p>
    <w:p w14:paraId="4163B175" w14:textId="77777777" w:rsidR="00562DC7" w:rsidRDefault="00562DC7" w:rsidP="00562DC7">
      <w:pPr>
        <w:spacing w:after="0" w:line="240" w:lineRule="auto"/>
        <w:jc w:val="center"/>
      </w:pPr>
    </w:p>
    <w:p w14:paraId="4163B176" w14:textId="77777777" w:rsidR="00562DC7" w:rsidRDefault="00562DC7" w:rsidP="00EE6F85">
      <w:pPr>
        <w:spacing w:after="0" w:line="240" w:lineRule="auto"/>
      </w:pPr>
    </w:p>
    <w:p w14:paraId="4163B177" w14:textId="77777777" w:rsidR="00562DC7" w:rsidRDefault="00562DC7" w:rsidP="00EE6F85">
      <w:pPr>
        <w:spacing w:after="0" w:line="240" w:lineRule="auto"/>
      </w:pPr>
    </w:p>
    <w:p w14:paraId="4163B178" w14:textId="77777777" w:rsidR="00562DC7" w:rsidRDefault="00562DC7" w:rsidP="00562DC7">
      <w:pPr>
        <w:spacing w:after="0" w:line="240" w:lineRule="auto"/>
        <w:jc w:val="center"/>
      </w:pPr>
    </w:p>
    <w:p w14:paraId="4163B181" w14:textId="064A1B50" w:rsidR="00F613DF" w:rsidRPr="00C1541F" w:rsidRDefault="00F613DF" w:rsidP="00C1541F">
      <w:pPr>
        <w:spacing w:after="0" w:line="480" w:lineRule="auto"/>
        <w:rPr>
          <w:b/>
          <w:bCs/>
          <w:sz w:val="40"/>
          <w:szCs w:val="40"/>
        </w:rPr>
      </w:pPr>
    </w:p>
    <w:p w14:paraId="4163B182" w14:textId="77777777" w:rsidR="00562DC7" w:rsidRPr="00F613DF" w:rsidRDefault="00562DC7" w:rsidP="00F613DF">
      <w:pPr>
        <w:spacing w:after="0" w:line="480" w:lineRule="auto"/>
      </w:pPr>
    </w:p>
    <w:p w14:paraId="7D6B203C" w14:textId="48FD7B7C" w:rsidR="00F70729" w:rsidRDefault="008E4E32" w:rsidP="00F70729">
      <w:pPr>
        <w:spacing w:after="0" w:line="480" w:lineRule="auto"/>
      </w:pPr>
      <w:r w:rsidRPr="00F613DF">
        <w:br w:type="page"/>
      </w:r>
    </w:p>
    <w:p w14:paraId="4163B191" w14:textId="473D789F" w:rsidR="00390061" w:rsidRPr="00F70729" w:rsidRDefault="00390061" w:rsidP="00F70729"/>
    <w:p w14:paraId="4163B192" w14:textId="77777777" w:rsidR="006D7E73" w:rsidRPr="00F70729" w:rsidRDefault="001F4C49" w:rsidP="00F70729">
      <w:pPr>
        <w:pStyle w:val="Heading1"/>
      </w:pPr>
      <w:bookmarkStart w:id="0" w:name="_Toc106237329"/>
      <w:r w:rsidRPr="00F70729">
        <w:t>Background</w:t>
      </w:r>
      <w:bookmarkEnd w:id="0"/>
    </w:p>
    <w:p w14:paraId="4163B193" w14:textId="77777777" w:rsidR="001D11A8" w:rsidRDefault="001D11A8" w:rsidP="00503DEB">
      <w:r>
        <w:t>There are several ways in which police officers may use information-based policing, but one of the most significant is analysing policies, techniques, and judgments based on the most compelling data. Professors and colleagues comprise the remainder of the group (Potts). In order to prevent crimes and safeguard the folks they serve, these experts must depend on tried-and-true procedures and methods</w:t>
      </w:r>
      <w:r w:rsidR="004822AD" w:rsidRPr="004822AD">
        <w:rPr>
          <w:lang w:val="en-US"/>
        </w:rPr>
        <w:t xml:space="preserve"> </w:t>
      </w:r>
      <w:r w:rsidR="004822AD">
        <w:rPr>
          <w:lang w:val="en-US"/>
        </w:rPr>
        <w:t>(</w:t>
      </w:r>
      <w:r w:rsidR="004822AD" w:rsidRPr="00BF4887">
        <w:rPr>
          <w:lang w:val="en-US"/>
        </w:rPr>
        <w:t>Bullock</w:t>
      </w:r>
      <w:r w:rsidR="004822AD">
        <w:t>, 2009).</w:t>
      </w:r>
      <w:r>
        <w:t xml:space="preserve"> Thus, it guarantees that policy decisions are based on the most recent and complete information that is readily available (Potts). Despite the lengthy history of the policy, many law enforcement personnel, especially their superiors, found it difficult to administer. It has been discussed earlier</w:t>
      </w:r>
      <w:r w:rsidR="00AE78A4" w:rsidRPr="00AE78A4">
        <w:rPr>
          <w:lang w:val="en-US"/>
        </w:rPr>
        <w:t xml:space="preserve"> </w:t>
      </w:r>
      <w:r w:rsidR="00AE78A4">
        <w:rPr>
          <w:lang w:val="en-US"/>
        </w:rPr>
        <w:t>(</w:t>
      </w:r>
      <w:r w:rsidR="00AE78A4" w:rsidRPr="00BF4887">
        <w:rPr>
          <w:lang w:val="en-US"/>
        </w:rPr>
        <w:t>Boulton</w:t>
      </w:r>
      <w:r w:rsidR="00AE78A4">
        <w:t>, 2020).</w:t>
      </w:r>
    </w:p>
    <w:p w14:paraId="4163B194" w14:textId="77777777" w:rsidR="001D11A8" w:rsidRDefault="001D11A8" w:rsidP="00503DEB">
      <w:r>
        <w:t>In evidence-based policing, the most recent research is utilized to guide policy decisions and develop the most effective enforcement strategies. The criminal justice system largely relies on research to increase its ability to prevent crime, involve the community, and enhance the general public's quality of life</w:t>
      </w:r>
      <w:r w:rsidR="0014094C" w:rsidRPr="0014094C">
        <w:rPr>
          <w:lang w:val="en-US"/>
        </w:rPr>
        <w:t xml:space="preserve"> </w:t>
      </w:r>
      <w:r w:rsidR="0014094C">
        <w:rPr>
          <w:lang w:val="en-US"/>
        </w:rPr>
        <w:t>(</w:t>
      </w:r>
      <w:r w:rsidR="0014094C" w:rsidRPr="00BF4887">
        <w:rPr>
          <w:lang w:val="en-US"/>
        </w:rPr>
        <w:t>Bullock</w:t>
      </w:r>
      <w:r w:rsidR="0014094C">
        <w:t>, 2022).</w:t>
      </w:r>
      <w:r>
        <w:t xml:space="preserve"> Using empirical research, law enforcement agencies and higher education institutions cooperate to undertake or assess study on certain concerns. EBP follows a similar set of guiding principles as evidence-based medicine. Law enforcement officers are obligated to employ strategies that have been shown to restrict, prevent, detect, and manage crime while causing the least amount of harm to society. Thus, evidence-based policing consists of its application principles</w:t>
      </w:r>
      <w:r w:rsidR="00763432" w:rsidRPr="00763432">
        <w:rPr>
          <w:lang w:val="en-US"/>
        </w:rPr>
        <w:t xml:space="preserve"> </w:t>
      </w:r>
      <w:r w:rsidR="00763432">
        <w:rPr>
          <w:lang w:val="en-US"/>
        </w:rPr>
        <w:t>(</w:t>
      </w:r>
      <w:r w:rsidR="00763432" w:rsidRPr="00BF4887">
        <w:rPr>
          <w:lang w:val="en-US"/>
        </w:rPr>
        <w:t>Brown</w:t>
      </w:r>
      <w:r w:rsidR="00763432">
        <w:t>, 2019).</w:t>
      </w:r>
    </w:p>
    <w:p w14:paraId="4163B195" w14:textId="77777777" w:rsidR="006D7E73" w:rsidRPr="00F70729" w:rsidRDefault="001F4C49" w:rsidP="00F70729">
      <w:pPr>
        <w:pStyle w:val="Heading1"/>
      </w:pPr>
      <w:bookmarkStart w:id="1" w:name="_Toc106237330"/>
      <w:r w:rsidRPr="00F70729">
        <w:t>Code of Ethics</w:t>
      </w:r>
      <w:bookmarkEnd w:id="1"/>
      <w:r w:rsidRPr="00F70729">
        <w:t xml:space="preserve"> </w:t>
      </w:r>
    </w:p>
    <w:p w14:paraId="4163B196" w14:textId="77777777" w:rsidR="00503DEB" w:rsidRDefault="00503DEB" w:rsidP="00503DEB">
      <w:r w:rsidRPr="00503DEB">
        <w:t>The Code of Ethics acts as a framework for all police activities across the NDM. According to NDM, all police decisions must adhere to the Code's principles and standards of conduct, a shift from past decision models</w:t>
      </w:r>
      <w:r w:rsidR="009364AC" w:rsidRPr="009364AC">
        <w:rPr>
          <w:lang w:val="en-US"/>
        </w:rPr>
        <w:t xml:space="preserve"> </w:t>
      </w:r>
      <w:r w:rsidR="009364AC">
        <w:rPr>
          <w:lang w:val="en-US"/>
        </w:rPr>
        <w:t>(</w:t>
      </w:r>
      <w:r w:rsidR="009364AC" w:rsidRPr="00BF4887">
        <w:rPr>
          <w:lang w:val="en-US"/>
        </w:rPr>
        <w:t>Betts</w:t>
      </w:r>
      <w:r w:rsidR="009364AC">
        <w:t>, 2022).</w:t>
      </w:r>
    </w:p>
    <w:p w14:paraId="4163B197" w14:textId="77777777" w:rsidR="0046107F" w:rsidRDefault="0046107F">
      <w:pPr>
        <w:jc w:val="center"/>
        <w:rPr>
          <w:noProof/>
          <w:lang w:val="en-US"/>
        </w:rPr>
      </w:pPr>
    </w:p>
    <w:p w14:paraId="4163B198" w14:textId="77777777" w:rsidR="0046107F" w:rsidRDefault="0046107F" w:rsidP="0017567D">
      <w:pPr>
        <w:jc w:val="left"/>
        <w:rPr>
          <w:noProof/>
          <w:lang w:val="en-US"/>
        </w:rPr>
      </w:pPr>
    </w:p>
    <w:p w14:paraId="4163B199" w14:textId="77777777" w:rsidR="006D7E73" w:rsidRPr="00973368" w:rsidRDefault="0046107F" w:rsidP="00973368">
      <w:pPr>
        <w:jc w:val="center"/>
        <w:rPr>
          <w:noProof/>
          <w:lang w:val="en-US"/>
        </w:rPr>
      </w:pPr>
      <w:r>
        <w:rPr>
          <w:noProof/>
          <w:lang w:val="en-US"/>
        </w:rPr>
        <w:lastRenderedPageBreak/>
        <w:drawing>
          <wp:inline distT="0" distB="0" distL="0" distR="0" wp14:anchorId="4163B1E0" wp14:editId="4163B1E1">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163B19A" w14:textId="77777777" w:rsidR="006D7E73" w:rsidRDefault="001F4C49">
      <w:pPr>
        <w:rPr>
          <w:b/>
        </w:rPr>
      </w:pPr>
      <w:r>
        <w:rPr>
          <w:b/>
        </w:rPr>
        <w:t xml:space="preserve">Code of Ethics </w:t>
      </w:r>
    </w:p>
    <w:p w14:paraId="4163B19B" w14:textId="77777777" w:rsidR="00CD24DD" w:rsidRDefault="00503DEB" w:rsidP="00503DEB">
      <w:r w:rsidRPr="00503DEB">
        <w:t>The Code of Ethics specifies that police personnel must conform to the policing ideals and behaviour standards contained therein. The Code of Ethics is complemented by a variety of ideal statements from various forces</w:t>
      </w:r>
      <w:r w:rsidR="00CD24DD" w:rsidRPr="00CD24DD">
        <w:rPr>
          <w:lang w:val="en-US"/>
        </w:rPr>
        <w:t xml:space="preserve"> </w:t>
      </w:r>
      <w:r w:rsidR="00CD24DD">
        <w:rPr>
          <w:lang w:val="en-US"/>
        </w:rPr>
        <w:t>(</w:t>
      </w:r>
      <w:proofErr w:type="spellStart"/>
      <w:r w:rsidR="00CD24DD" w:rsidRPr="00BF4887">
        <w:rPr>
          <w:lang w:val="en-US"/>
        </w:rPr>
        <w:t>Buil</w:t>
      </w:r>
      <w:proofErr w:type="spellEnd"/>
      <w:r w:rsidR="00CD24DD" w:rsidRPr="00BF4887">
        <w:rPr>
          <w:lang w:val="en-US"/>
        </w:rPr>
        <w:t>-Gil</w:t>
      </w:r>
      <w:r w:rsidR="00CD24DD">
        <w:t>, 2021).</w:t>
      </w:r>
    </w:p>
    <w:p w14:paraId="4163B19C" w14:textId="77777777" w:rsidR="00503DEB" w:rsidRDefault="00503DEB" w:rsidP="00503DEB">
      <w:r w:rsidRPr="00503DEB">
        <w:t>• Does my way of thinking comply with the Code of Ethics? • What may I anticipate from law enforcement in this scenario?</w:t>
      </w:r>
    </w:p>
    <w:p w14:paraId="4163B19D" w14:textId="77777777" w:rsidR="006D7E73" w:rsidRDefault="001F4C49">
      <w:pPr>
        <w:rPr>
          <w:b/>
        </w:rPr>
      </w:pPr>
      <w:r>
        <w:rPr>
          <w:b/>
        </w:rPr>
        <w:t xml:space="preserve">Information – gather information and intelligence </w:t>
      </w:r>
    </w:p>
    <w:p w14:paraId="4163B19E" w14:textId="77777777" w:rsidR="00CD24DD" w:rsidRDefault="00503DEB" w:rsidP="00503DEB">
      <w:r>
        <w:t xml:space="preserve">The key objectives of this phase are to explain the situation (what is happening or has happened) and clarify early information and intelligence-related themes. </w:t>
      </w:r>
    </w:p>
    <w:p w14:paraId="4163B19F" w14:textId="77777777" w:rsidR="00503DEB" w:rsidRDefault="00503DEB" w:rsidP="00503DEB">
      <w:r>
        <w:t>• What is happening?</w:t>
      </w:r>
    </w:p>
    <w:p w14:paraId="4163B1A0" w14:textId="77777777" w:rsidR="00503DEB" w:rsidRDefault="00503DEB" w:rsidP="00503DEB">
      <w:r>
        <w:t>What am I less knowledgeable about?</w:t>
      </w:r>
    </w:p>
    <w:p w14:paraId="4163B1A1" w14:textId="77777777" w:rsidR="00824695" w:rsidRDefault="00824695">
      <w:pPr>
        <w:spacing w:before="0" w:after="0" w:line="240" w:lineRule="auto"/>
        <w:jc w:val="left"/>
        <w:rPr>
          <w:b/>
        </w:rPr>
      </w:pPr>
      <w:r>
        <w:rPr>
          <w:b/>
        </w:rPr>
        <w:br w:type="page"/>
      </w:r>
    </w:p>
    <w:p w14:paraId="4163B1A2" w14:textId="77777777" w:rsidR="00EC088D" w:rsidRDefault="00EC088D" w:rsidP="00503DEB">
      <w:pPr>
        <w:rPr>
          <w:b/>
        </w:rPr>
      </w:pPr>
      <w:r w:rsidRPr="00EC088D">
        <w:rPr>
          <w:b/>
        </w:rPr>
        <w:lastRenderedPageBreak/>
        <w:t>Assessment - evaluate threat and risk and design a plan of action</w:t>
      </w:r>
    </w:p>
    <w:p w14:paraId="4163B1A3" w14:textId="77777777" w:rsidR="00503DEB" w:rsidRDefault="00503DEB" w:rsidP="0025798B">
      <w:r>
        <w:t>During this stage of the analytic process, the situation is examined to identify potential threats, losses, and benefits. In order to decrease bias, develop healthy connections, and provide equitable opportunity, decision-makers should analyse these characteristics. The response to the question "Do I need to act immediately?" might help you choose your next moves.</w:t>
      </w:r>
    </w:p>
    <w:p w14:paraId="4163B1A4" w14:textId="77777777" w:rsidR="00741C26" w:rsidRDefault="00503DEB" w:rsidP="00741C26">
      <w:r>
        <w:t>• Is there anything more I need to know?</w:t>
      </w:r>
    </w:p>
    <w:p w14:paraId="4163B1A5" w14:textId="77777777" w:rsidR="006D7E73" w:rsidRPr="00741C26" w:rsidRDefault="001F4C49" w:rsidP="00741C26">
      <w:pPr>
        <w:spacing w:after="160"/>
        <w:jc w:val="left"/>
      </w:pPr>
      <w:r>
        <w:rPr>
          <w:b/>
        </w:rPr>
        <w:t xml:space="preserve">Powers and policy </w:t>
      </w:r>
    </w:p>
    <w:p w14:paraId="4163B1A6" w14:textId="77777777" w:rsidR="00E20CFB" w:rsidRDefault="00E20CFB" w:rsidP="00E20CFB">
      <w:r>
        <w:t>This step encompasses an examination of the applicable authorities, norms, and laws in this instance. Is the existence of a police force essential?</w:t>
      </w:r>
    </w:p>
    <w:p w14:paraId="4163B1A7" w14:textId="77777777" w:rsidR="00E20CFB" w:rsidRDefault="00E20CFB" w:rsidP="00E20CFB">
      <w:r>
        <w:t>• Exist federal regulations controlling this circumstance?</w:t>
      </w:r>
    </w:p>
    <w:p w14:paraId="4163B1A8" w14:textId="77777777" w:rsidR="00E20CFB" w:rsidRDefault="00E20CFB" w:rsidP="00E20CFB">
      <w:r>
        <w:t>• Is there a local law or custom that I should be aware of?</w:t>
      </w:r>
    </w:p>
    <w:p w14:paraId="4163B1A9" w14:textId="77777777" w:rsidR="006D7E73" w:rsidRDefault="001F4C49" w:rsidP="00E20CFB">
      <w:pPr>
        <w:rPr>
          <w:b/>
        </w:rPr>
      </w:pPr>
      <w:r>
        <w:rPr>
          <w:b/>
        </w:rPr>
        <w:t xml:space="preserve">Options – identify options and contingencies </w:t>
      </w:r>
    </w:p>
    <w:p w14:paraId="4163B1AA" w14:textId="77777777" w:rsidR="00E20CFB" w:rsidRDefault="00E20CFB" w:rsidP="00E20CFB">
      <w:r w:rsidRPr="00E20CFB">
        <w:t>This step includes assessing the possibilities for making a decision (or resolving a problem) with the least potential for negative outcomes. The following factors should be considered by decision-makers: accessible options, the immediacy of any threat, and the informational restrictions at hand</w:t>
      </w:r>
      <w:r w:rsidR="00833C5F" w:rsidRPr="00833C5F">
        <w:rPr>
          <w:lang w:val="en-US"/>
        </w:rPr>
        <w:t xml:space="preserve"> </w:t>
      </w:r>
      <w:r w:rsidR="00833C5F">
        <w:rPr>
          <w:lang w:val="en-US"/>
        </w:rPr>
        <w:t>(</w:t>
      </w:r>
      <w:r w:rsidR="00833C5F" w:rsidRPr="00BF4887">
        <w:rPr>
          <w:lang w:val="en-US"/>
        </w:rPr>
        <w:t>Fleming</w:t>
      </w:r>
      <w:r w:rsidR="00833C5F">
        <w:t>, 2017).</w:t>
      </w:r>
    </w:p>
    <w:p w14:paraId="4163B1AB" w14:textId="77777777" w:rsidR="006D7E73" w:rsidRPr="00F70729" w:rsidRDefault="001F4C49" w:rsidP="00F70729">
      <w:pPr>
        <w:pStyle w:val="Heading1"/>
      </w:pPr>
      <w:bookmarkStart w:id="2" w:name="_Toc106237331"/>
      <w:r w:rsidRPr="00F70729">
        <w:t>Policing principles</w:t>
      </w:r>
      <w:bookmarkEnd w:id="2"/>
      <w:r w:rsidRPr="00F70729">
        <w:t xml:space="preserve"> </w:t>
      </w:r>
    </w:p>
    <w:p w14:paraId="4163B1AC" w14:textId="77777777" w:rsidR="00E20CFB" w:rsidRDefault="00E20CFB" w:rsidP="00E20CFB">
      <w:r w:rsidRPr="00E20CFB">
        <w:t>The Committee on Standards in Public Life's 1995 Principles of Public Life provided the framework for the police principles. In order to maintain and strengthen public faith in police, 'fairness' and</w:t>
      </w:r>
      <w:r>
        <w:t xml:space="preserve"> </w:t>
      </w:r>
      <w:r w:rsidRPr="00E20CFB">
        <w:t>'respect' has been incorporated in the Code of Ethics</w:t>
      </w:r>
      <w:r w:rsidR="003465BE" w:rsidRPr="003465BE">
        <w:rPr>
          <w:lang w:val="en-US"/>
        </w:rPr>
        <w:t xml:space="preserve"> </w:t>
      </w:r>
      <w:r w:rsidR="003465BE">
        <w:rPr>
          <w:lang w:val="en-US"/>
        </w:rPr>
        <w:t>(</w:t>
      </w:r>
      <w:r w:rsidR="003465BE" w:rsidRPr="00BF4887">
        <w:rPr>
          <w:lang w:val="en-US"/>
        </w:rPr>
        <w:t>Brown</w:t>
      </w:r>
      <w:r w:rsidR="003465BE">
        <w:t>, 2018).</w:t>
      </w:r>
    </w:p>
    <w:p w14:paraId="4163B1AD" w14:textId="77777777" w:rsidR="006D7E73" w:rsidRPr="00F70729" w:rsidRDefault="001F4C49" w:rsidP="00F70729">
      <w:pPr>
        <w:pStyle w:val="Heading1"/>
      </w:pPr>
      <w:bookmarkStart w:id="3" w:name="_Toc106237332"/>
      <w:r w:rsidRPr="00F70729">
        <w:lastRenderedPageBreak/>
        <w:t>Standards of professional behaviour</w:t>
      </w:r>
      <w:bookmarkEnd w:id="3"/>
    </w:p>
    <w:p w14:paraId="4163B1AE" w14:textId="77777777" w:rsidR="00A54716" w:rsidRDefault="00A54716" w:rsidP="00A54716">
      <w:r>
        <w:t>Police Staff Council Joint Circular 54 and the 2012 Police (Conduct) Regulations serve as the basis for this regulation (for officers). They inform both the College of Policing and the broader public of these criteria</w:t>
      </w:r>
      <w:r w:rsidR="00183D7E">
        <w:t xml:space="preserve"> </w:t>
      </w:r>
      <w:r w:rsidR="00183D7E">
        <w:rPr>
          <w:lang w:val="en-US"/>
        </w:rPr>
        <w:t>(</w:t>
      </w:r>
      <w:r w:rsidR="00183D7E" w:rsidRPr="00BF4887">
        <w:rPr>
          <w:lang w:val="en-US"/>
        </w:rPr>
        <w:t>Brown</w:t>
      </w:r>
      <w:r w:rsidR="00183D7E">
        <w:t>, 2018).</w:t>
      </w:r>
    </w:p>
    <w:p w14:paraId="4163B1AF" w14:textId="77777777" w:rsidR="00A54716" w:rsidRDefault="00A54716" w:rsidP="00A54716">
      <w:r>
        <w:t>It is crucial to me that my actions reflect my values in openness and candour; thus, I will never compromise or abuse my position</w:t>
      </w:r>
      <w:r w:rsidR="008E35EC" w:rsidRPr="008E35EC">
        <w:rPr>
          <w:lang w:val="en-US"/>
        </w:rPr>
        <w:t xml:space="preserve"> </w:t>
      </w:r>
      <w:r w:rsidR="008E35EC">
        <w:rPr>
          <w:lang w:val="en-US"/>
        </w:rPr>
        <w:t>(</w:t>
      </w:r>
      <w:proofErr w:type="spellStart"/>
      <w:r w:rsidR="008E35EC" w:rsidRPr="00BF4887">
        <w:rPr>
          <w:lang w:val="en-US"/>
        </w:rPr>
        <w:t>Dshs-koeln</w:t>
      </w:r>
      <w:proofErr w:type="spellEnd"/>
      <w:r w:rsidR="008E35EC">
        <w:t>, 2021).</w:t>
      </w:r>
    </w:p>
    <w:p w14:paraId="4163B1B0" w14:textId="77777777" w:rsidR="00A54716" w:rsidRDefault="00A54716" w:rsidP="00A54716">
      <w:r>
        <w:t xml:space="preserve">As a leader, the police will demonstrate moderation and tolerance, and the police should treat the general public and my staff with decency and courtesy. The police should use their authority in conformity with the law and with respect for the </w:t>
      </w:r>
      <w:r w:rsidR="00A672DA">
        <w:t xml:space="preserve">rights of all involved parties. </w:t>
      </w:r>
      <w:r>
        <w:t xml:space="preserve">The police are committed to treating all persons with respect and equity. The police should refuse to participate in unlawful or immoral discrimination and </w:t>
      </w:r>
      <w:r w:rsidR="00A672DA">
        <w:t xml:space="preserve">likewise refuse to tolerate it. </w:t>
      </w:r>
      <w:r>
        <w:t>In accordance with my position and responsibilities, the police should only use force when it is necessary, proportional, and app</w:t>
      </w:r>
      <w:r w:rsidR="00A672DA">
        <w:t xml:space="preserve">ropriate in every circumstance. </w:t>
      </w:r>
      <w:r>
        <w:t>As a police officer, Police should only issue and execute legitimate commands and abide by all police rules. If they are sensible, they will be implemented</w:t>
      </w:r>
      <w:r w:rsidR="00A672DA">
        <w:t xml:space="preserve"> </w:t>
      </w:r>
      <w:r w:rsidR="00A672DA">
        <w:rPr>
          <w:lang w:val="en-US"/>
        </w:rPr>
        <w:t>(</w:t>
      </w:r>
      <w:proofErr w:type="spellStart"/>
      <w:r w:rsidR="00A672DA" w:rsidRPr="00BF4887">
        <w:rPr>
          <w:lang w:val="en-US"/>
        </w:rPr>
        <w:t>Dshs-koeln</w:t>
      </w:r>
      <w:proofErr w:type="spellEnd"/>
      <w:r w:rsidR="00A672DA">
        <w:t>, 2021).</w:t>
      </w:r>
    </w:p>
    <w:p w14:paraId="4BE6E58A" w14:textId="025EE0F2" w:rsidR="00B50293" w:rsidRDefault="00B50293" w:rsidP="00F70729">
      <w:pPr>
        <w:pStyle w:val="Heading1"/>
      </w:pPr>
      <w:bookmarkStart w:id="4" w:name="_Toc106237333"/>
      <w:r>
        <w:tab/>
        <w:t>Effective problem solving technique</w:t>
      </w:r>
      <w:bookmarkEnd w:id="4"/>
      <w:r>
        <w:t xml:space="preserve"> </w:t>
      </w:r>
      <w:r>
        <w:tab/>
      </w:r>
    </w:p>
    <w:p w14:paraId="4163B1B2" w14:textId="77777777" w:rsidR="008A63F2" w:rsidRDefault="008A63F2" w:rsidP="00782A26">
      <w:r w:rsidRPr="008A63F2">
        <w:t>POP and EBP are successful problem-solving techniques that lead to improved outcomes, but they are not ends in themselves. Focusing on enhancing police outcomes will always elicit the two methods' most successful practises. Colleges and law enforcement organisations must enhance their partnerships in order to bridge the gap between EBP evidence and POP problem-solving. Pracademics (those who are both academics and practitioners in a field) have developed; advanced courses at universities in which police officers undertake research with and for their forces to solve difficulties have been implemented; and closer relationships have been formed between universities and academics who are devoted to both providing high-quality research and cu</w:t>
      </w:r>
      <w:r w:rsidR="00411561">
        <w:t>stomising solutions for local</w:t>
      </w:r>
      <w:r w:rsidR="00411561" w:rsidRPr="00411561">
        <w:rPr>
          <w:lang w:val="en-US"/>
        </w:rPr>
        <w:t xml:space="preserve"> </w:t>
      </w:r>
      <w:r w:rsidR="005A14BE">
        <w:rPr>
          <w:lang w:val="en-US"/>
        </w:rPr>
        <w:t xml:space="preserve">PR </w:t>
      </w:r>
      <w:r w:rsidR="00411561">
        <w:rPr>
          <w:lang w:val="en-US"/>
        </w:rPr>
        <w:t>(</w:t>
      </w:r>
      <w:r w:rsidR="00411561" w:rsidRPr="00BF4887">
        <w:rPr>
          <w:lang w:val="en-US"/>
        </w:rPr>
        <w:t>Giles</w:t>
      </w:r>
      <w:r w:rsidR="00411561">
        <w:t>, 2021).</w:t>
      </w:r>
      <w:r w:rsidRPr="008A63F2">
        <w:t xml:space="preserve"> Not usually is it problem-free once treatment has been completed. Third, if possible, it is essential to minimise barriers between POP and EBP persons. According to the conclusions of this research, police agencies do not need distinct silos </w:t>
      </w:r>
      <w:r w:rsidRPr="008A63F2">
        <w:lastRenderedPageBreak/>
        <w:t>for POP and EBP. 8 The data supporting this view is growing. EBP and POP do not need separate functioning in order to be effective. EBP may contribute to local POP practise by developing and adjusting POP distribution mechanisms under its supervision</w:t>
      </w:r>
      <w:r w:rsidR="00A77E3B" w:rsidRPr="00A77E3B">
        <w:rPr>
          <w:lang w:val="en-US"/>
        </w:rPr>
        <w:t xml:space="preserve"> </w:t>
      </w:r>
      <w:r w:rsidR="00A77E3B">
        <w:rPr>
          <w:lang w:val="en-US"/>
        </w:rPr>
        <w:t>(</w:t>
      </w:r>
      <w:proofErr w:type="spellStart"/>
      <w:r w:rsidR="00A77E3B" w:rsidRPr="00BF4887">
        <w:rPr>
          <w:lang w:val="en-US"/>
        </w:rPr>
        <w:t>Koziarski</w:t>
      </w:r>
      <w:proofErr w:type="spellEnd"/>
      <w:r w:rsidR="00A77E3B">
        <w:t>, 2020).</w:t>
      </w:r>
      <w:r w:rsidRPr="008A63F2">
        <w:t xml:space="preserve"> </w:t>
      </w:r>
    </w:p>
    <w:p w14:paraId="4163B1B3" w14:textId="77777777" w:rsidR="008A63F2" w:rsidRDefault="008A63F2" w:rsidP="00782A26">
      <w:r w:rsidRPr="008A63F2">
        <w:t>Examples include the calculation of local police-related damages, the matching of intervention-related evaluations to the unique problem scenarios addressed in POP, and the creation of evaluation methods that reduce the likelihood of bias in the POP assessment component. In conclusion, the implementation of a more strict POP has been aided by the establishment of POP demonstration projects based on evidence-based practise that address critical local issues and are possibly replicable in other locations</w:t>
      </w:r>
      <w:r w:rsidR="000D3D62">
        <w:t xml:space="preserve"> </w:t>
      </w:r>
      <w:r w:rsidR="000D3D62">
        <w:rPr>
          <w:lang w:val="en-US"/>
        </w:rPr>
        <w:t>(</w:t>
      </w:r>
      <w:proofErr w:type="spellStart"/>
      <w:r w:rsidR="000D3D62" w:rsidRPr="00BF4887">
        <w:rPr>
          <w:lang w:val="en-US"/>
        </w:rPr>
        <w:t>Dshs-koeln</w:t>
      </w:r>
      <w:proofErr w:type="spellEnd"/>
      <w:r w:rsidR="000D3D62">
        <w:t xml:space="preserve">, 2021). </w:t>
      </w:r>
      <w:r w:rsidRPr="008A63F2">
        <w:t>To use research with tact and judgement, its quality and applicability must be evaluated in light of local conditions. Practitioners must be more cognizant and critical of their own research as well as evidence-based medicine, the basis of EBP. According to Boulton, law enforcement seldom acknowledges or makes efficient use of scientific evidence (2020). The most likely reason of the interruption is police officer training and development. Other courses may assist police personnel in developing a more critical research methodology. The creation and dissemination of POP guidelines by Pop</w:t>
      </w:r>
      <w:r w:rsidR="003F7081">
        <w:t>-</w:t>
      </w:r>
      <w:r w:rsidR="009E4052" w:rsidRPr="008A63F2">
        <w:t>centre</w:t>
      </w:r>
      <w:r w:rsidRPr="008A63F2">
        <w:t xml:space="preserve"> is just one example. However, contributions from EBP enthusiasts would be advantageous</w:t>
      </w:r>
      <w:r w:rsidR="001F31F2" w:rsidRPr="001F31F2">
        <w:rPr>
          <w:lang w:val="en-US"/>
        </w:rPr>
        <w:t xml:space="preserve"> </w:t>
      </w:r>
      <w:r w:rsidR="001F31F2">
        <w:rPr>
          <w:lang w:val="en-US"/>
        </w:rPr>
        <w:t>(</w:t>
      </w:r>
      <w:proofErr w:type="spellStart"/>
      <w:r w:rsidR="001F31F2" w:rsidRPr="00BF4887">
        <w:rPr>
          <w:lang w:val="en-US"/>
        </w:rPr>
        <w:t>Kalyal</w:t>
      </w:r>
      <w:proofErr w:type="spellEnd"/>
      <w:r w:rsidR="001F31F2">
        <w:t>, 2019).</w:t>
      </w:r>
    </w:p>
    <w:p w14:paraId="4163B1B4" w14:textId="77777777" w:rsidR="006D7E73" w:rsidRPr="00B50293" w:rsidRDefault="001F4C49" w:rsidP="00B50293">
      <w:pPr>
        <w:pStyle w:val="Heading1"/>
      </w:pPr>
      <w:r w:rsidRPr="00B50293">
        <w:t xml:space="preserve"> </w:t>
      </w:r>
      <w:bookmarkStart w:id="5" w:name="_Toc106237334"/>
      <w:r w:rsidRPr="00B50293">
        <w:t>Effective decision making</w:t>
      </w:r>
      <w:bookmarkEnd w:id="5"/>
    </w:p>
    <w:p w14:paraId="4163B1B5" w14:textId="77777777" w:rsidR="008A63F2" w:rsidRDefault="003E4EBD" w:rsidP="008A63F2">
      <w:r w:rsidRPr="003E4EBD">
        <w:t>Decision-makers are accountable and responsible and must be prepared to defend them.</w:t>
      </w:r>
      <w:r>
        <w:t xml:space="preserve"> </w:t>
      </w:r>
      <w:r w:rsidR="008A63F2">
        <w:t>Decision makers may be required by law, organisational goals, rules or local conventions to keep a record of their decisions, or they may choose to do so at their own discretion</w:t>
      </w:r>
      <w:r w:rsidR="000338A5">
        <w:t xml:space="preserve"> </w:t>
      </w:r>
      <w:r w:rsidR="000338A5">
        <w:rPr>
          <w:lang w:val="en-US"/>
        </w:rPr>
        <w:t>(</w:t>
      </w:r>
      <w:proofErr w:type="spellStart"/>
      <w:r w:rsidR="000338A5" w:rsidRPr="00BF4887">
        <w:rPr>
          <w:lang w:val="en-US"/>
        </w:rPr>
        <w:t>Telep</w:t>
      </w:r>
      <w:proofErr w:type="spellEnd"/>
      <w:r w:rsidR="000338A5">
        <w:t>, 2017).</w:t>
      </w:r>
    </w:p>
    <w:p w14:paraId="4163B1B6" w14:textId="77777777" w:rsidR="008A63F2" w:rsidRDefault="008A63F2" w:rsidP="008A63F2">
      <w:r>
        <w:t>Although it is impossible to keep track of all possible outcomes, the police department recognises that not every choice must be recorded. Police should depend on their own professional judgement when deciding whether to record an explanation and how long it should be. If a person's safety is in jeopardy, the circumstances and events recorded should reflect that</w:t>
      </w:r>
      <w:r w:rsidR="00841AEA">
        <w:t xml:space="preserve"> </w:t>
      </w:r>
      <w:r w:rsidR="00841AEA">
        <w:rPr>
          <w:lang w:val="en-US"/>
        </w:rPr>
        <w:t>(</w:t>
      </w:r>
      <w:proofErr w:type="spellStart"/>
      <w:r w:rsidR="00841AEA" w:rsidRPr="00BF4887">
        <w:rPr>
          <w:lang w:val="en-US"/>
        </w:rPr>
        <w:t>Telep</w:t>
      </w:r>
      <w:proofErr w:type="spellEnd"/>
      <w:r w:rsidR="00841AEA">
        <w:t>, 2017).</w:t>
      </w:r>
    </w:p>
    <w:p w14:paraId="4163B1B7" w14:textId="77777777" w:rsidR="00C62267" w:rsidRDefault="00D432C6" w:rsidP="00782A26">
      <w:r w:rsidRPr="00D432C6">
        <w:t>It's likely that decision-makers will find the term CIAPOAR useful for documenting their justifications (e.g., brief notes in notebooks against individual letters). Notes must be tailored to the con</w:t>
      </w:r>
      <w:r>
        <w:t>text in which they will be used</w:t>
      </w:r>
      <w:r w:rsidR="00C62267" w:rsidRPr="00C62267">
        <w:rPr>
          <w:lang w:val="en-US"/>
        </w:rPr>
        <w:t xml:space="preserve"> </w:t>
      </w:r>
      <w:r w:rsidR="00C62267">
        <w:rPr>
          <w:lang w:val="en-US"/>
        </w:rPr>
        <w:t>(</w:t>
      </w:r>
      <w:proofErr w:type="spellStart"/>
      <w:r w:rsidR="00C62267" w:rsidRPr="00BF4887">
        <w:rPr>
          <w:lang w:val="en-US"/>
        </w:rPr>
        <w:t>Telep</w:t>
      </w:r>
      <w:proofErr w:type="spellEnd"/>
      <w:r w:rsidR="00C62267">
        <w:t>, 2017).</w:t>
      </w:r>
    </w:p>
    <w:p w14:paraId="4163B1B8" w14:textId="77777777" w:rsidR="008A63F2" w:rsidRDefault="0021232E" w:rsidP="008A63F2">
      <w:r>
        <w:rPr>
          <w:b/>
        </w:rPr>
        <w:lastRenderedPageBreak/>
        <w:t>C-</w:t>
      </w:r>
      <w:r w:rsidR="008A63F2">
        <w:t>The rules and principles of the Code of Ethics are taken into account when decisions are made</w:t>
      </w:r>
    </w:p>
    <w:p w14:paraId="4163B1B9" w14:textId="77777777" w:rsidR="008A63F2" w:rsidRDefault="008A63F2" w:rsidP="008A63F2">
      <w:r w:rsidRPr="005E727E">
        <w:rPr>
          <w:b/>
        </w:rPr>
        <w:t>I –</w:t>
      </w:r>
      <w:r>
        <w:t xml:space="preserve"> the facts and information that are known about the situation</w:t>
      </w:r>
    </w:p>
    <w:p w14:paraId="4163B1BA" w14:textId="77777777" w:rsidR="008A63F2" w:rsidRDefault="008A63F2" w:rsidP="008A63F2">
      <w:r w:rsidRPr="005E727E">
        <w:rPr>
          <w:b/>
        </w:rPr>
        <w:t xml:space="preserve">A </w:t>
      </w:r>
      <w:r>
        <w:t>– How it was evaluated and what the plan of action was</w:t>
      </w:r>
    </w:p>
    <w:p w14:paraId="4163B1BB" w14:textId="77777777" w:rsidR="008A63F2" w:rsidRDefault="008A63F2" w:rsidP="008A63F2">
      <w:r w:rsidRPr="005E727E">
        <w:rPr>
          <w:b/>
        </w:rPr>
        <w:t>P –</w:t>
      </w:r>
      <w:r>
        <w:t xml:space="preserve"> Any rights, rules, or laws that applied.</w:t>
      </w:r>
    </w:p>
    <w:p w14:paraId="4163B1BC" w14:textId="77777777" w:rsidR="008A63F2" w:rsidRDefault="008A63F2" w:rsidP="008A63F2">
      <w:r w:rsidRPr="005E727E">
        <w:rPr>
          <w:b/>
        </w:rPr>
        <w:t>O –</w:t>
      </w:r>
      <w:r>
        <w:t xml:space="preserve"> The main choices thought about</w:t>
      </w:r>
    </w:p>
    <w:p w14:paraId="4163B1BD" w14:textId="77777777" w:rsidR="008A63F2" w:rsidRDefault="005E727E" w:rsidP="008A63F2">
      <w:r>
        <w:rPr>
          <w:b/>
        </w:rPr>
        <w:t>A-</w:t>
      </w:r>
      <w:r w:rsidR="008A63F2">
        <w:t xml:space="preserve"> </w:t>
      </w:r>
      <w:r>
        <w:t>The</w:t>
      </w:r>
      <w:r w:rsidR="008A63F2">
        <w:t xml:space="preserve"> choice made or the action taken</w:t>
      </w:r>
    </w:p>
    <w:p w14:paraId="4163B1BE" w14:textId="77777777" w:rsidR="008A63F2" w:rsidRDefault="008A63F2" w:rsidP="008A63F2">
      <w:r w:rsidRPr="005E727E">
        <w:rPr>
          <w:b/>
        </w:rPr>
        <w:t>R –</w:t>
      </w:r>
      <w:r>
        <w:t xml:space="preserve"> What happened as a result?</w:t>
      </w:r>
    </w:p>
    <w:p w14:paraId="4163B1BF" w14:textId="77777777" w:rsidR="008A63F2" w:rsidRDefault="008A63F2" w:rsidP="008A63F2">
      <w:r>
        <w:t>CIAPOAR can also be used to explain or look back on a decision.</w:t>
      </w:r>
    </w:p>
    <w:p w14:paraId="4163B1C0" w14:textId="77777777" w:rsidR="006D7E73" w:rsidRPr="00B50293" w:rsidRDefault="001F4C49" w:rsidP="00B50293">
      <w:pPr>
        <w:pStyle w:val="Heading1"/>
      </w:pPr>
      <w:bookmarkStart w:id="6" w:name="_Toc106237335"/>
      <w:r w:rsidRPr="00B50293">
        <w:t>The</w:t>
      </w:r>
      <w:r w:rsidR="008D7E0D" w:rsidRPr="00B50293">
        <w:t xml:space="preserve"> Model of</w:t>
      </w:r>
      <w:r w:rsidRPr="00B50293">
        <w:t xml:space="preserve"> Joint Decision</w:t>
      </w:r>
      <w:bookmarkEnd w:id="6"/>
      <w:r w:rsidRPr="00B50293">
        <w:t xml:space="preserve"> </w:t>
      </w:r>
    </w:p>
    <w:p w14:paraId="4163B1C1" w14:textId="77777777" w:rsidR="00B64D8E" w:rsidRDefault="00B64D8E" w:rsidP="00B64D8E">
      <w:r>
        <w:t>The NDM is the police department's principal decision model. It is essential to remember that emergency response is often a collaborative effort involving several organisations, and that working togethe</w:t>
      </w:r>
      <w:r w:rsidR="00657C17">
        <w:t xml:space="preserve">r to address problems is usual. </w:t>
      </w:r>
      <w:r>
        <w:t>The Joint Emergency Services Interoperability Program has facilitated greater interoperability among the three emergency services (JESIP). It is crucial that commanders arrive at the site of a significant disaster with the capacity to assess the situation and quickly agree on a course of action. The update of the National Decision Model (NDM) that was included into the Joint Decision Model made thes</w:t>
      </w:r>
      <w:r w:rsidR="00657C17">
        <w:t xml:space="preserve">e modifications feasible (JDM). </w:t>
      </w:r>
      <w:r>
        <w:t>The only difference between the JDM and the NDM is the lettering in the centre area. In contrast to the JDM, which lays a larger focus on teamwork, the NDM is centred on an ethical code</w:t>
      </w:r>
      <w:r w:rsidR="00E301A2" w:rsidRPr="00BF4887">
        <w:rPr>
          <w:lang w:val="en-US"/>
        </w:rPr>
        <w:t>‌</w:t>
      </w:r>
      <w:r w:rsidR="00E301A2">
        <w:rPr>
          <w:lang w:val="en-US"/>
        </w:rPr>
        <w:t xml:space="preserve"> (</w:t>
      </w:r>
      <w:r w:rsidR="00E301A2" w:rsidRPr="00BF4887">
        <w:rPr>
          <w:lang w:val="en-US"/>
        </w:rPr>
        <w:t>Liebling</w:t>
      </w:r>
      <w:r w:rsidR="00E301A2">
        <w:t>, 2022).</w:t>
      </w:r>
    </w:p>
    <w:p w14:paraId="4163B1C2" w14:textId="77777777" w:rsidR="006D7E73" w:rsidRPr="00B50293" w:rsidRDefault="001F4C49" w:rsidP="00B50293">
      <w:pPr>
        <w:pStyle w:val="Heading1"/>
      </w:pPr>
      <w:bookmarkStart w:id="7" w:name="_Toc106237336"/>
      <w:r w:rsidRPr="00B50293">
        <w:t>In accordance with JESIP</w:t>
      </w:r>
      <w:bookmarkEnd w:id="7"/>
    </w:p>
    <w:p w14:paraId="4163B1C3" w14:textId="77777777" w:rsidR="006D7E73" w:rsidRDefault="00D62770" w:rsidP="00D62770">
      <w:r w:rsidRPr="00D62770">
        <w:t xml:space="preserve">While collaborating, it is essential to remember the primary goal of protecting lives and avoiding damage. To achieve this objective, a coordinated, multi-agency effort is required. Making this a priority should be a top priority for decision-makers. The basic purpose of law enforcement is to </w:t>
      </w:r>
      <w:r w:rsidRPr="00D62770">
        <w:lastRenderedPageBreak/>
        <w:t>deter criminal conduct and protect the general populace</w:t>
      </w:r>
      <w:r w:rsidR="00362835" w:rsidRPr="00362835">
        <w:t xml:space="preserve"> </w:t>
      </w:r>
      <w:r w:rsidR="00362835">
        <w:t>(</w:t>
      </w:r>
      <w:r w:rsidR="00362835" w:rsidRPr="0080164C">
        <w:t>Tilley</w:t>
      </w:r>
      <w:r w:rsidR="00362835">
        <w:t>, 2017).</w:t>
      </w:r>
      <w:r w:rsidRPr="00D62770">
        <w:t xml:space="preserve"> The police department and its governing Code of Ethics prioritise saving lives and minimising damage. To fulfil the goals of the JESIP, workers of the police department must adhere to the Code of Ethics' principles and norms of professional conduct, such as honesty, justice, respect, and altruism. All three emergency response organisations want quick implementation of this proposal. An example of this would be the examination of all relevant authorities and standards via the joint study, sharing, and examination of data. There may be a range of perspectives about the best course of action in an emergency. If the police are faced with addressing a situation on their own, they may reach different conclusions than if they coordinate with other authorities. When officers concur that a certain conduct is acceptable, essential, and ethical, the Code of Ethics does not contradict their opinion</w:t>
      </w:r>
      <w:r w:rsidR="008966EF" w:rsidRPr="008966EF">
        <w:rPr>
          <w:lang w:val="en-US"/>
        </w:rPr>
        <w:t xml:space="preserve"> </w:t>
      </w:r>
      <w:r w:rsidR="008966EF">
        <w:rPr>
          <w:lang w:val="en-US"/>
        </w:rPr>
        <w:t>(</w:t>
      </w:r>
      <w:r w:rsidR="008966EF" w:rsidRPr="00BF4887">
        <w:rPr>
          <w:lang w:val="en-US"/>
        </w:rPr>
        <w:t>Scott</w:t>
      </w:r>
      <w:r w:rsidR="008966EF">
        <w:t>, 2017).</w:t>
      </w:r>
    </w:p>
    <w:p w14:paraId="4163B1C4" w14:textId="77777777" w:rsidR="006D7E73" w:rsidRPr="00B50293" w:rsidRDefault="001F4C49" w:rsidP="00B50293">
      <w:pPr>
        <w:pStyle w:val="Heading1"/>
      </w:pPr>
      <w:bookmarkStart w:id="8" w:name="_Toc106237337"/>
      <w:r w:rsidRPr="00B50293">
        <w:t>POP and EBP</w:t>
      </w:r>
      <w:bookmarkEnd w:id="8"/>
      <w:r w:rsidRPr="00B50293">
        <w:t xml:space="preserve">  </w:t>
      </w:r>
    </w:p>
    <w:p w14:paraId="4163B1C5" w14:textId="77777777" w:rsidR="00D62770" w:rsidRDefault="00D62770" w:rsidP="00D62770">
      <w:r>
        <w:t>POP and EBP are key reform movements for the police. These processes' core ideas are of interest to a broad spectrum of professionals. They have garnered a tremendous lot of support and attention. It is feasible to observe the connection between POP and EBP. To improve the effectiveness and impartiality of law enforcement, two sets of criteria have been developed. To increase the scientific rigour of police work, each of these projects has a distinct objective. Their primary objectives, routes, and encounters also vary</w:t>
      </w:r>
      <w:r w:rsidR="00140578" w:rsidRPr="00BF4887">
        <w:rPr>
          <w:lang w:val="en-US"/>
        </w:rPr>
        <w:t>‌</w:t>
      </w:r>
      <w:r w:rsidR="00140578">
        <w:rPr>
          <w:lang w:val="en-US"/>
        </w:rPr>
        <w:t xml:space="preserve"> (</w:t>
      </w:r>
      <w:r w:rsidR="00140578" w:rsidRPr="00BF4887">
        <w:rPr>
          <w:lang w:val="en-US"/>
        </w:rPr>
        <w:t>Lumsden</w:t>
      </w:r>
      <w:r w:rsidR="00140578">
        <w:t>, 2016).</w:t>
      </w:r>
    </w:p>
    <w:p w14:paraId="4163B1C6" w14:textId="77777777" w:rsidR="00D62770" w:rsidRDefault="00D62770" w:rsidP="00D62770">
      <w:r>
        <w:t xml:space="preserve">Both POP and EBP have their own national and international support networks. Mike Scott developed the Problem-Oriented Policing (POP) Centre and continues to serve as its executive director (Scott, 2017). The centre promotes and disseminates POP utilising problem-solving criteria. Each prize was renamed in honour of its respective creator, Herman Goldstein and William Tilley. IHOPP was founded in 1993, whereas Tilley (UK) was resurrected after a three-year hiatus in 2018. Manuals, case studies, and other instructional materials are among the many resources accessible to international police organisations that have been organised and developed from a police viewpoint on the local challenges they face. The Cambridge Journal of Evidence-Based Policing, an additional EBP-developing organisation, also produces EBP-related materials (in the United States, UK and Australia and New Zealand). Due to a lack of coordination, police </w:t>
      </w:r>
      <w:r>
        <w:lastRenderedPageBreak/>
        <w:t>employees may see the two tactics as having distinct implications for practise, despite the clear similarity between the organisations' founders' intentions. The organisational structure of the EPB must be compared to previous police reform initiatives</w:t>
      </w:r>
      <w:r w:rsidR="008E0D02">
        <w:t xml:space="preserve"> </w:t>
      </w:r>
      <w:r w:rsidR="008E0D02">
        <w:rPr>
          <w:lang w:val="en-US"/>
        </w:rPr>
        <w:t>(</w:t>
      </w:r>
      <w:r w:rsidR="008E0D02" w:rsidRPr="00BF4887">
        <w:rPr>
          <w:lang w:val="en-US"/>
        </w:rPr>
        <w:t>Lumsden</w:t>
      </w:r>
      <w:r w:rsidR="008E0D02">
        <w:t>, 2016).</w:t>
      </w:r>
    </w:p>
    <w:p w14:paraId="4163B1C7" w14:textId="77777777" w:rsidR="00583AD7" w:rsidRPr="00B50293" w:rsidRDefault="00583AD7" w:rsidP="00B50293">
      <w:pPr>
        <w:pStyle w:val="Heading1"/>
      </w:pPr>
      <w:bookmarkStart w:id="9" w:name="_Toc106237338"/>
      <w:r w:rsidRPr="00B50293">
        <w:t>SARA MODEL</w:t>
      </w:r>
      <w:bookmarkEnd w:id="9"/>
    </w:p>
    <w:p w14:paraId="4163B1C8" w14:textId="77777777" w:rsidR="005353D5" w:rsidRPr="005353D5" w:rsidRDefault="005353D5" w:rsidP="005353D5">
      <w:r>
        <w:rPr>
          <w:noProof/>
          <w:lang w:val="en-US"/>
        </w:rPr>
        <w:drawing>
          <wp:inline distT="0" distB="0" distL="0" distR="0" wp14:anchorId="4163B1E2" wp14:editId="4163B1E3">
            <wp:extent cx="4763386" cy="1148316"/>
            <wp:effectExtent l="0" t="0" r="1841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163B1C9" w14:textId="77777777" w:rsidR="00D62770" w:rsidRDefault="00583AD7" w:rsidP="00583AD7">
      <w:r>
        <w:t>The SARA Model was created and described by John Eck and William Spelman (1987) in Problem solving: Problem-solving police. This model was derived from Herman Goldstein's Problem-Oriented Policing and was published in the year 1987.</w:t>
      </w:r>
      <w:r w:rsidR="00B4526A">
        <w:t xml:space="preserve"> </w:t>
      </w:r>
      <w:r>
        <w:t xml:space="preserve">The POP and SARA paradigms are often combined in the process of putting Goldstein's theories into practise (Scanning, Analysis, Response, </w:t>
      </w:r>
      <w:r w:rsidR="00B4526A">
        <w:t>and Assessment</w:t>
      </w:r>
      <w:r>
        <w:t>)</w:t>
      </w:r>
      <w:r w:rsidR="00855C76" w:rsidRPr="00855C76">
        <w:rPr>
          <w:lang w:val="en-US"/>
        </w:rPr>
        <w:t xml:space="preserve"> </w:t>
      </w:r>
      <w:r w:rsidR="00855C76">
        <w:rPr>
          <w:lang w:val="en-US"/>
        </w:rPr>
        <w:t>(</w:t>
      </w:r>
      <w:r w:rsidR="00855C76" w:rsidRPr="00BF4887">
        <w:rPr>
          <w:lang w:val="en-US"/>
        </w:rPr>
        <w:t>Giles</w:t>
      </w:r>
      <w:r w:rsidR="00855C76">
        <w:t>, 2021)</w:t>
      </w:r>
      <w:r>
        <w:t>. POP has been established via a number of case studies, experiments, and systematic reviews to be capable of providing solutions to a wide range of problems relating to personal and public safety.</w:t>
      </w:r>
      <w:r w:rsidR="00B4526A">
        <w:t xml:space="preserve"> </w:t>
      </w:r>
      <w:r>
        <w:t>According to Goldstein, the fundamental objective of policing should be to detect and prevent problems, which he describes as clusters of repetitive, interconnected, community-impacting occurrences that come within police jurisdiction. This fundamental idea serves as a source of motivation and guidance for the SARA model</w:t>
      </w:r>
      <w:r w:rsidR="00F0647B" w:rsidRPr="00F0647B">
        <w:t xml:space="preserve"> </w:t>
      </w:r>
      <w:r w:rsidR="00F0647B">
        <w:t>(</w:t>
      </w:r>
      <w:proofErr w:type="spellStart"/>
      <w:r w:rsidR="00F0647B" w:rsidRPr="00F0647B">
        <w:t>Monteuuis</w:t>
      </w:r>
      <w:proofErr w:type="spellEnd"/>
      <w:r w:rsidR="00F0647B">
        <w:t>, 2018).</w:t>
      </w:r>
    </w:p>
    <w:p w14:paraId="4163B1CA" w14:textId="77777777" w:rsidR="00FC6DA8" w:rsidRDefault="00FC6DA8" w:rsidP="00583AD7"/>
    <w:p w14:paraId="4163B1CB" w14:textId="77777777" w:rsidR="00583AD7" w:rsidRDefault="00583AD7">
      <w:pPr>
        <w:spacing w:after="0" w:line="240" w:lineRule="auto"/>
        <w:rPr>
          <w:rFonts w:eastAsiaTheme="majorEastAsia" w:cstheme="majorBidi"/>
          <w:b/>
          <w:sz w:val="32"/>
          <w:szCs w:val="32"/>
        </w:rPr>
      </w:pPr>
      <w:r>
        <w:br w:type="page"/>
      </w:r>
    </w:p>
    <w:p w14:paraId="4163B1CC" w14:textId="77777777" w:rsidR="006D7E73" w:rsidRDefault="00D62770" w:rsidP="004545F2">
      <w:pPr>
        <w:pStyle w:val="Heading1"/>
        <w:jc w:val="left"/>
      </w:pPr>
      <w:bookmarkStart w:id="10" w:name="_Toc106237339"/>
      <w:r>
        <w:lastRenderedPageBreak/>
        <w:t>References</w:t>
      </w:r>
      <w:bookmarkEnd w:id="10"/>
    </w:p>
    <w:p w14:paraId="4163B1CD" w14:textId="77777777" w:rsidR="001F3EC6" w:rsidRDefault="001F3EC6" w:rsidP="00F922FB">
      <w:pPr>
        <w:pStyle w:val="ListParagraph"/>
        <w:numPr>
          <w:ilvl w:val="0"/>
          <w:numId w:val="1"/>
        </w:numPr>
        <w:spacing w:after="160"/>
        <w:rPr>
          <w:lang w:val="en-US"/>
        </w:rPr>
      </w:pPr>
      <w:r w:rsidRPr="00F922FB">
        <w:rPr>
          <w:lang w:val="en-US"/>
        </w:rPr>
        <w:t xml:space="preserve">Betts, P.R. (2022). Governing the silence: the </w:t>
      </w:r>
      <w:proofErr w:type="spellStart"/>
      <w:r w:rsidRPr="00F922FB">
        <w:rPr>
          <w:lang w:val="en-US"/>
        </w:rPr>
        <w:t>institutionalisation</w:t>
      </w:r>
      <w:proofErr w:type="spellEnd"/>
      <w:r w:rsidRPr="00F922FB">
        <w:rPr>
          <w:lang w:val="en-US"/>
        </w:rPr>
        <w:t xml:space="preserve"> of evidence-based policing in modern Britain. Justice, Power and Resistance, [online] 5(1-2), pp.9–27. doi:10.1332/ivfh5838.</w:t>
      </w:r>
    </w:p>
    <w:p w14:paraId="5384808D" w14:textId="77777777" w:rsidR="00F922FB" w:rsidRPr="00F922FB" w:rsidRDefault="00F922FB" w:rsidP="00F922FB">
      <w:pPr>
        <w:spacing w:after="160"/>
        <w:rPr>
          <w:lang w:val="en-US"/>
        </w:rPr>
      </w:pPr>
    </w:p>
    <w:p w14:paraId="4163B1CE" w14:textId="77777777" w:rsidR="001F3EC6" w:rsidRDefault="001F3EC6" w:rsidP="00F922FB">
      <w:pPr>
        <w:pStyle w:val="ListParagraph"/>
        <w:numPr>
          <w:ilvl w:val="0"/>
          <w:numId w:val="1"/>
        </w:numPr>
        <w:spacing w:after="160"/>
        <w:rPr>
          <w:lang w:val="en-US"/>
        </w:rPr>
      </w:pPr>
      <w:r w:rsidRPr="00F922FB">
        <w:rPr>
          <w:lang w:val="en-US"/>
        </w:rPr>
        <w:t xml:space="preserve">Boulton, L., </w:t>
      </w:r>
      <w:proofErr w:type="spellStart"/>
      <w:r w:rsidRPr="00F922FB">
        <w:rPr>
          <w:lang w:val="en-US"/>
        </w:rPr>
        <w:t>Phythian</w:t>
      </w:r>
      <w:proofErr w:type="spellEnd"/>
      <w:r w:rsidRPr="00F922FB">
        <w:rPr>
          <w:lang w:val="en-US"/>
        </w:rPr>
        <w:t>, R., Kirby, S. and Dawson, I. (2020). Taking an Evidence-Based Approach to Evidence-Based Policing Research. Policing: A Journal of Policy and Practice, [online] 15(2), pp.1290–1305. doi:10.1093/police/paaa057.</w:t>
      </w:r>
    </w:p>
    <w:p w14:paraId="5576BCE6" w14:textId="77777777" w:rsidR="00F922FB" w:rsidRPr="00F922FB" w:rsidRDefault="00F922FB" w:rsidP="00F922FB">
      <w:pPr>
        <w:spacing w:after="160"/>
        <w:rPr>
          <w:lang w:val="en-US"/>
        </w:rPr>
      </w:pPr>
    </w:p>
    <w:p w14:paraId="73C802E2" w14:textId="2F0F7845" w:rsidR="00F922FB" w:rsidRDefault="001F3EC6" w:rsidP="00F922FB">
      <w:pPr>
        <w:pStyle w:val="ListParagraph"/>
        <w:numPr>
          <w:ilvl w:val="0"/>
          <w:numId w:val="1"/>
        </w:numPr>
        <w:spacing w:after="160"/>
        <w:rPr>
          <w:lang w:val="en-US"/>
        </w:rPr>
      </w:pPr>
      <w:r w:rsidRPr="00F922FB">
        <w:rPr>
          <w:lang w:val="en-US"/>
        </w:rPr>
        <w:t xml:space="preserve">Brown, J. and Silvestri, M. (2019). A police service in transformation: implications for women police officers. [online] ResearchGate. Available at: </w:t>
      </w:r>
      <w:hyperlink r:id="rId18" w:history="1">
        <w:r w:rsidR="00F922FB" w:rsidRPr="00227DB2">
          <w:rPr>
            <w:rStyle w:val="Hyperlink"/>
            <w:lang w:val="en-US"/>
          </w:rPr>
          <w:t>https://www.researchgate.net/publication/333710583_A_police_service_in_transformation_implications_for_women_police_officers</w:t>
        </w:r>
      </w:hyperlink>
    </w:p>
    <w:p w14:paraId="0CF7EAD1" w14:textId="77777777" w:rsidR="00F922FB" w:rsidRPr="00F922FB" w:rsidRDefault="00F922FB" w:rsidP="00F922FB">
      <w:pPr>
        <w:pStyle w:val="ListParagraph"/>
        <w:rPr>
          <w:lang w:val="en-US"/>
        </w:rPr>
      </w:pPr>
    </w:p>
    <w:p w14:paraId="4902D6D1" w14:textId="77777777" w:rsidR="00F922FB" w:rsidRPr="00F922FB" w:rsidRDefault="00F922FB" w:rsidP="00F922FB">
      <w:pPr>
        <w:pStyle w:val="ListParagraph"/>
        <w:spacing w:after="160"/>
        <w:rPr>
          <w:lang w:val="en-US"/>
        </w:rPr>
      </w:pPr>
    </w:p>
    <w:p w14:paraId="4163B1D0" w14:textId="77777777" w:rsidR="001F3EC6" w:rsidRDefault="001F3EC6" w:rsidP="00F922FB">
      <w:pPr>
        <w:pStyle w:val="ListParagraph"/>
        <w:numPr>
          <w:ilvl w:val="0"/>
          <w:numId w:val="1"/>
        </w:numPr>
        <w:spacing w:after="160"/>
        <w:rPr>
          <w:lang w:val="en-US"/>
        </w:rPr>
      </w:pPr>
      <w:r w:rsidRPr="00F922FB">
        <w:rPr>
          <w:lang w:val="en-US"/>
        </w:rPr>
        <w:t xml:space="preserve">Brown, J., </w:t>
      </w:r>
      <w:proofErr w:type="spellStart"/>
      <w:r w:rsidRPr="00F922FB">
        <w:rPr>
          <w:lang w:val="en-US"/>
        </w:rPr>
        <w:t>Belur</w:t>
      </w:r>
      <w:proofErr w:type="spellEnd"/>
      <w:r w:rsidRPr="00F922FB">
        <w:rPr>
          <w:lang w:val="en-US"/>
        </w:rPr>
        <w:t xml:space="preserve">, J., </w:t>
      </w:r>
      <w:proofErr w:type="spellStart"/>
      <w:r w:rsidRPr="00F922FB">
        <w:rPr>
          <w:lang w:val="en-US"/>
        </w:rPr>
        <w:t>Tompson</w:t>
      </w:r>
      <w:proofErr w:type="spellEnd"/>
      <w:r w:rsidRPr="00F922FB">
        <w:rPr>
          <w:lang w:val="en-US"/>
        </w:rPr>
        <w:t>, L., McDowall, A., Hunter, G. and May, T. (2018). Extending the remit of evidence-based policing. International Journal of Police Science &amp; Management, [online] 20(1), pp.38–51. doi:10.1177/1461355717750173.</w:t>
      </w:r>
    </w:p>
    <w:p w14:paraId="4C454B68" w14:textId="5FE5BCCF" w:rsidR="00F922FB" w:rsidRPr="00F922FB" w:rsidRDefault="00F922FB" w:rsidP="00F922FB">
      <w:pPr>
        <w:spacing w:after="160"/>
        <w:rPr>
          <w:lang w:val="en-US"/>
        </w:rPr>
      </w:pPr>
    </w:p>
    <w:p w14:paraId="4163B1D1" w14:textId="77777777" w:rsidR="001F3EC6" w:rsidRDefault="001F3EC6" w:rsidP="00F922FB">
      <w:pPr>
        <w:pStyle w:val="ListParagraph"/>
        <w:numPr>
          <w:ilvl w:val="0"/>
          <w:numId w:val="1"/>
        </w:numPr>
        <w:spacing w:after="160"/>
        <w:rPr>
          <w:lang w:val="en-US"/>
        </w:rPr>
      </w:pPr>
      <w:proofErr w:type="spellStart"/>
      <w:r w:rsidRPr="00F922FB">
        <w:rPr>
          <w:lang w:val="en-US"/>
        </w:rPr>
        <w:t>Buil</w:t>
      </w:r>
      <w:proofErr w:type="spellEnd"/>
      <w:r w:rsidRPr="00F922FB">
        <w:rPr>
          <w:lang w:val="en-US"/>
        </w:rPr>
        <w:t>-Gil, D., Moretti, A. and Langton, S.H. (2021). The accuracy of crime statistics: assessing the impact of police data bias on geographic crime analysis. Journal of Experimental Criminology. [online] doi:10.1007/s11292-021-09457-y.</w:t>
      </w:r>
    </w:p>
    <w:p w14:paraId="2D7AB44D" w14:textId="73327C07" w:rsidR="00F922FB" w:rsidRPr="00F922FB" w:rsidRDefault="00F922FB" w:rsidP="00F922FB">
      <w:pPr>
        <w:spacing w:after="160"/>
        <w:rPr>
          <w:lang w:val="en-US"/>
        </w:rPr>
      </w:pPr>
    </w:p>
    <w:p w14:paraId="4163B1D2" w14:textId="77777777" w:rsidR="001F3EC6" w:rsidRPr="00F922FB" w:rsidRDefault="001F3EC6" w:rsidP="00F922FB">
      <w:pPr>
        <w:pStyle w:val="ListParagraph"/>
        <w:numPr>
          <w:ilvl w:val="0"/>
          <w:numId w:val="1"/>
        </w:numPr>
        <w:spacing w:after="160"/>
        <w:rPr>
          <w:lang w:val="en-US"/>
        </w:rPr>
      </w:pPr>
      <w:r w:rsidRPr="00F922FB">
        <w:rPr>
          <w:lang w:val="en-US"/>
        </w:rPr>
        <w:t>Bullock, K. and Tilley, N. (2009). Evidence-Based Policing and Crime Reduction. Policing, [online] 3(4), pp.381–387. doi:10.1093/police/pap032.</w:t>
      </w:r>
    </w:p>
    <w:p w14:paraId="4944E23B" w14:textId="4EAD553C" w:rsidR="00BA6362" w:rsidRDefault="001F3EC6" w:rsidP="00BA6362">
      <w:pPr>
        <w:pStyle w:val="ListParagraph"/>
        <w:numPr>
          <w:ilvl w:val="0"/>
          <w:numId w:val="1"/>
        </w:numPr>
        <w:spacing w:after="160"/>
        <w:rPr>
          <w:lang w:val="en-US"/>
        </w:rPr>
      </w:pPr>
      <w:r w:rsidRPr="00F922FB">
        <w:rPr>
          <w:lang w:val="en-US"/>
        </w:rPr>
        <w:lastRenderedPageBreak/>
        <w:t xml:space="preserve">Bullock, K., Sidebottom, A., Armitage, R., Ashby, M.P., </w:t>
      </w:r>
      <w:proofErr w:type="spellStart"/>
      <w:r w:rsidRPr="00F922FB">
        <w:rPr>
          <w:lang w:val="en-US"/>
        </w:rPr>
        <w:t>Clemmow</w:t>
      </w:r>
      <w:proofErr w:type="spellEnd"/>
      <w:r w:rsidRPr="00F922FB">
        <w:rPr>
          <w:lang w:val="en-US"/>
        </w:rPr>
        <w:t>, C., Kirby, S., Laycock, G. and Tilley, N. (2022). Police perceptions of problem-oriented policing and evidence-based policing: evidence from England and Wales - UCL Discovery. Ucl.ac.uk. [online] doi:https://discovery.ucl.ac.uk/id/eprint/10145380/1/Police%20perceptions%20of%20problem%20oriented%20policing.pdf.</w:t>
      </w:r>
    </w:p>
    <w:p w14:paraId="57056BD6" w14:textId="77777777" w:rsidR="00BA6362" w:rsidRPr="00BA6362" w:rsidRDefault="00BA6362" w:rsidP="00BA6362">
      <w:pPr>
        <w:spacing w:after="160"/>
        <w:rPr>
          <w:lang w:val="en-US"/>
        </w:rPr>
      </w:pPr>
    </w:p>
    <w:p w14:paraId="4163B1D4" w14:textId="4DCD451A" w:rsidR="001F3EC6" w:rsidRDefault="001F3EC6" w:rsidP="00F922FB">
      <w:pPr>
        <w:pStyle w:val="ListParagraph"/>
        <w:numPr>
          <w:ilvl w:val="0"/>
          <w:numId w:val="1"/>
        </w:numPr>
        <w:spacing w:after="160"/>
        <w:rPr>
          <w:lang w:val="en-US"/>
        </w:rPr>
      </w:pPr>
      <w:r w:rsidRPr="00F922FB">
        <w:rPr>
          <w:lang w:val="en-US"/>
        </w:rPr>
        <w:t xml:space="preserve">Dshs-koeln.de. (2021). Evidence-based policing or reflexive policing: a commentary on </w:t>
      </w:r>
      <w:proofErr w:type="spellStart"/>
      <w:r w:rsidRPr="00F922FB">
        <w:rPr>
          <w:lang w:val="en-US"/>
        </w:rPr>
        <w:t>Koziarski</w:t>
      </w:r>
      <w:proofErr w:type="spellEnd"/>
      <w:r w:rsidRPr="00F922FB">
        <w:rPr>
          <w:lang w:val="en-US"/>
        </w:rPr>
        <w:t xml:space="preserve"> and Huey - DSHS. [online] Available at: </w:t>
      </w:r>
      <w:hyperlink r:id="rId19" w:history="1">
        <w:r w:rsidR="00BA6362" w:rsidRPr="00227DB2">
          <w:rPr>
            <w:rStyle w:val="Hyperlink"/>
            <w:lang w:val="en-US"/>
          </w:rPr>
          <w:t>https://fis.dshs-koeln.de/portal/en/publications/evidencebased-policing-or-reflexive-policing-a-commentary-on-koziarski-and-huey(5d1c1c29-cd4b-4a18-ae9a-3de622576fe4).html</w:t>
        </w:r>
      </w:hyperlink>
    </w:p>
    <w:p w14:paraId="6AB4FFAF" w14:textId="77777777" w:rsidR="00BA6362" w:rsidRPr="00BA6362" w:rsidRDefault="00BA6362" w:rsidP="00BA6362">
      <w:pPr>
        <w:spacing w:after="160"/>
        <w:rPr>
          <w:lang w:val="en-US"/>
        </w:rPr>
      </w:pPr>
    </w:p>
    <w:p w14:paraId="4163B1D5" w14:textId="77777777" w:rsidR="001F3EC6" w:rsidRDefault="001F3EC6" w:rsidP="00F922FB">
      <w:pPr>
        <w:pStyle w:val="ListParagraph"/>
        <w:numPr>
          <w:ilvl w:val="0"/>
          <w:numId w:val="1"/>
        </w:numPr>
        <w:spacing w:after="160"/>
        <w:rPr>
          <w:lang w:val="en-US"/>
        </w:rPr>
      </w:pPr>
      <w:r w:rsidRPr="00F922FB">
        <w:rPr>
          <w:lang w:val="en-US"/>
        </w:rPr>
        <w:t>Fleming, J. and Rhodes, R. (2017). Can experience be evidence? Craft knowledge and evidence-based policing. Policy &amp; Politics. [online] doi:10.1332/030557317x14957211514333.</w:t>
      </w:r>
    </w:p>
    <w:p w14:paraId="70D1C9D7" w14:textId="77777777" w:rsidR="00BA6362" w:rsidRPr="00BA6362" w:rsidRDefault="00BA6362" w:rsidP="00BA6362">
      <w:pPr>
        <w:pStyle w:val="ListParagraph"/>
        <w:rPr>
          <w:lang w:val="en-US"/>
        </w:rPr>
      </w:pPr>
    </w:p>
    <w:p w14:paraId="7E2BC92D" w14:textId="77777777" w:rsidR="00BA6362" w:rsidRPr="00F922FB" w:rsidRDefault="00BA6362" w:rsidP="00BA6362">
      <w:pPr>
        <w:pStyle w:val="ListParagraph"/>
        <w:spacing w:after="160"/>
        <w:rPr>
          <w:lang w:val="en-US"/>
        </w:rPr>
      </w:pPr>
    </w:p>
    <w:p w14:paraId="169D7B94" w14:textId="132AF2C8" w:rsidR="00BA6362" w:rsidRDefault="001F3EC6" w:rsidP="00BA6362">
      <w:pPr>
        <w:pStyle w:val="ListParagraph"/>
        <w:numPr>
          <w:ilvl w:val="0"/>
          <w:numId w:val="1"/>
        </w:numPr>
        <w:spacing w:after="160"/>
        <w:rPr>
          <w:lang w:val="en-US"/>
        </w:rPr>
      </w:pPr>
      <w:r w:rsidRPr="00F922FB">
        <w:rPr>
          <w:lang w:val="en-US"/>
        </w:rPr>
        <w:t>Giles, S. and Alison, L. (2021). Prioritizing Indecent Image Offenders: A Systematic Review and Economic Approach to Understand the Benefits of Evidence-Based Policing Strategies. Frontiers in Psychology, [online] 12. doi:10.3389/fpsyg.2021.606731.</w:t>
      </w:r>
    </w:p>
    <w:p w14:paraId="1DCA300B" w14:textId="77777777" w:rsidR="00BA6362" w:rsidRPr="00BA6362" w:rsidRDefault="00BA6362" w:rsidP="00BA6362">
      <w:pPr>
        <w:spacing w:after="160"/>
        <w:rPr>
          <w:lang w:val="en-US"/>
        </w:rPr>
      </w:pPr>
    </w:p>
    <w:p w14:paraId="4163B1D7" w14:textId="77777777" w:rsidR="001F3EC6" w:rsidRPr="00F922FB" w:rsidRDefault="001F3EC6" w:rsidP="00F922FB">
      <w:pPr>
        <w:pStyle w:val="ListParagraph"/>
        <w:numPr>
          <w:ilvl w:val="0"/>
          <w:numId w:val="1"/>
        </w:numPr>
        <w:spacing w:after="160"/>
        <w:rPr>
          <w:lang w:val="en-US"/>
        </w:rPr>
      </w:pPr>
      <w:proofErr w:type="spellStart"/>
      <w:r w:rsidRPr="00F922FB">
        <w:rPr>
          <w:lang w:val="en-US"/>
        </w:rPr>
        <w:t>Kalyal</w:t>
      </w:r>
      <w:proofErr w:type="spellEnd"/>
      <w:r w:rsidRPr="00F922FB">
        <w:rPr>
          <w:lang w:val="en-US"/>
        </w:rPr>
        <w:t>, H.J. (2019). ‘Well, there’s a more scientific way to do it!’: factors influencing receptivity to evidence-based... [online] ResearchGate. Available at: https://www.researchgate.net/publication/332560793_Well_there’s_a_more_scientific_way_to_do_it_factors_influencing_receptivity_to_evidence-based_practices_in_police_organizations</w:t>
      </w:r>
    </w:p>
    <w:p w14:paraId="635CC6F3" w14:textId="3798DA28" w:rsidR="00BA6362" w:rsidRDefault="001F3EC6" w:rsidP="00BA6362">
      <w:pPr>
        <w:pStyle w:val="ListParagraph"/>
        <w:numPr>
          <w:ilvl w:val="0"/>
          <w:numId w:val="1"/>
        </w:numPr>
        <w:spacing w:after="160"/>
        <w:rPr>
          <w:lang w:val="en-US"/>
        </w:rPr>
      </w:pPr>
      <w:proofErr w:type="spellStart"/>
      <w:r w:rsidRPr="00F922FB">
        <w:rPr>
          <w:lang w:val="en-US"/>
        </w:rPr>
        <w:lastRenderedPageBreak/>
        <w:t>Koziarski</w:t>
      </w:r>
      <w:proofErr w:type="spellEnd"/>
      <w:r w:rsidRPr="00F922FB">
        <w:rPr>
          <w:lang w:val="en-US"/>
        </w:rPr>
        <w:t xml:space="preserve">, J. and </w:t>
      </w:r>
      <w:proofErr w:type="spellStart"/>
      <w:r w:rsidRPr="00F922FB">
        <w:rPr>
          <w:lang w:val="en-US"/>
        </w:rPr>
        <w:t>Jin</w:t>
      </w:r>
      <w:proofErr w:type="spellEnd"/>
      <w:r w:rsidRPr="00F922FB">
        <w:rPr>
          <w:lang w:val="en-US"/>
        </w:rPr>
        <w:t xml:space="preserve"> </w:t>
      </w:r>
      <w:proofErr w:type="spellStart"/>
      <w:r w:rsidRPr="00F922FB">
        <w:rPr>
          <w:lang w:val="en-US"/>
        </w:rPr>
        <w:t>Ree</w:t>
      </w:r>
      <w:proofErr w:type="spellEnd"/>
      <w:r w:rsidRPr="00F922FB">
        <w:rPr>
          <w:lang w:val="en-US"/>
        </w:rPr>
        <w:t xml:space="preserve"> Lee (2020). Connecting Evidence-Based Policing and Cybercrime. [online] ResearchGate. Available at: </w:t>
      </w:r>
      <w:hyperlink r:id="rId20" w:history="1">
        <w:r w:rsidR="00BA6362" w:rsidRPr="00227DB2">
          <w:rPr>
            <w:rStyle w:val="Hyperlink"/>
            <w:lang w:val="en-US"/>
          </w:rPr>
          <w:t>https://www.researchgate.net/publication/351014898_Connecting_Evidence-Based_Policing_and_Cybercrime</w:t>
        </w:r>
      </w:hyperlink>
    </w:p>
    <w:p w14:paraId="5F7218CA" w14:textId="77777777" w:rsidR="00BA6362" w:rsidRPr="00BA6362" w:rsidRDefault="00BA6362" w:rsidP="00BA6362">
      <w:pPr>
        <w:spacing w:after="160"/>
        <w:rPr>
          <w:lang w:val="en-US"/>
        </w:rPr>
      </w:pPr>
    </w:p>
    <w:p w14:paraId="4163B1D9" w14:textId="77777777" w:rsidR="001F3EC6" w:rsidRDefault="001F3EC6" w:rsidP="00F922FB">
      <w:pPr>
        <w:pStyle w:val="ListParagraph"/>
        <w:numPr>
          <w:ilvl w:val="0"/>
          <w:numId w:val="1"/>
        </w:numPr>
        <w:spacing w:after="160"/>
        <w:rPr>
          <w:lang w:val="en-US"/>
        </w:rPr>
      </w:pPr>
      <w:r w:rsidRPr="00F922FB">
        <w:rPr>
          <w:lang w:val="en-US"/>
        </w:rPr>
        <w:t xml:space="preserve">‌Liebling, A., </w:t>
      </w:r>
      <w:proofErr w:type="spellStart"/>
      <w:r w:rsidRPr="00F922FB">
        <w:rPr>
          <w:lang w:val="en-US"/>
        </w:rPr>
        <w:t>Shapland</w:t>
      </w:r>
      <w:proofErr w:type="spellEnd"/>
      <w:r w:rsidRPr="00F922FB">
        <w:rPr>
          <w:lang w:val="en-US"/>
        </w:rPr>
        <w:t xml:space="preserve">, J., Sparks, R. and </w:t>
      </w:r>
      <w:proofErr w:type="spellStart"/>
      <w:r w:rsidRPr="00F922FB">
        <w:rPr>
          <w:lang w:val="en-US"/>
        </w:rPr>
        <w:t>Tankebe</w:t>
      </w:r>
      <w:proofErr w:type="spellEnd"/>
      <w:r w:rsidRPr="00F922FB">
        <w:rPr>
          <w:lang w:val="en-US"/>
        </w:rPr>
        <w:t xml:space="preserve">, J., 2022. Crime, Justice, and Social Order: Essays in </w:t>
      </w:r>
      <w:proofErr w:type="spellStart"/>
      <w:r w:rsidRPr="00F922FB">
        <w:rPr>
          <w:lang w:val="en-US"/>
        </w:rPr>
        <w:t>Honour</w:t>
      </w:r>
      <w:proofErr w:type="spellEnd"/>
      <w:r w:rsidRPr="00F922FB">
        <w:rPr>
          <w:lang w:val="en-US"/>
        </w:rPr>
        <w:t xml:space="preserve"> of AE Bottoms. Oxford University Press.</w:t>
      </w:r>
    </w:p>
    <w:p w14:paraId="7BE8E5DA" w14:textId="66C9FEE5" w:rsidR="00BA6362" w:rsidRPr="00BA6362" w:rsidRDefault="00BA6362" w:rsidP="00BA6362">
      <w:pPr>
        <w:spacing w:after="160"/>
        <w:rPr>
          <w:lang w:val="en-US"/>
        </w:rPr>
      </w:pPr>
    </w:p>
    <w:p w14:paraId="4163B1DA" w14:textId="77777777" w:rsidR="001F3EC6" w:rsidRDefault="001F3EC6" w:rsidP="00F922FB">
      <w:pPr>
        <w:pStyle w:val="ListParagraph"/>
        <w:numPr>
          <w:ilvl w:val="0"/>
          <w:numId w:val="1"/>
        </w:numPr>
        <w:spacing w:after="160"/>
        <w:rPr>
          <w:lang w:val="en-US"/>
        </w:rPr>
      </w:pPr>
      <w:r w:rsidRPr="00F922FB">
        <w:rPr>
          <w:lang w:val="en-US"/>
        </w:rPr>
        <w:t>‌Lumsden, K. (2016). Police Officer and Civilian Staff Receptivity to Research and Evidence-Based Policing in the UK: Providing a Contextual Understanding through Qualitative Interviews. Policing, [online] p.paw036. doi:10.1093/police/paw036.</w:t>
      </w:r>
    </w:p>
    <w:p w14:paraId="6DFB363F" w14:textId="26A140CD" w:rsidR="00BA6362" w:rsidRPr="00BA6362" w:rsidRDefault="00BA6362" w:rsidP="00BA6362">
      <w:pPr>
        <w:spacing w:after="160"/>
        <w:rPr>
          <w:lang w:val="en-US"/>
        </w:rPr>
      </w:pPr>
    </w:p>
    <w:p w14:paraId="4163B1DB" w14:textId="77777777" w:rsidR="001F3EC6" w:rsidRDefault="001F3EC6" w:rsidP="00F922FB">
      <w:pPr>
        <w:pStyle w:val="ListParagraph"/>
        <w:numPr>
          <w:ilvl w:val="0"/>
          <w:numId w:val="1"/>
        </w:numPr>
        <w:spacing w:after="160"/>
        <w:rPr>
          <w:lang w:val="en-US"/>
        </w:rPr>
      </w:pPr>
      <w:proofErr w:type="spellStart"/>
      <w:r w:rsidRPr="00F922FB">
        <w:rPr>
          <w:lang w:val="en-US"/>
        </w:rPr>
        <w:t>Monteuuis</w:t>
      </w:r>
      <w:proofErr w:type="spellEnd"/>
      <w:r w:rsidRPr="00F922FB">
        <w:rPr>
          <w:lang w:val="en-US"/>
        </w:rPr>
        <w:t xml:space="preserve">, J.P., </w:t>
      </w:r>
      <w:proofErr w:type="spellStart"/>
      <w:r w:rsidRPr="00F922FB">
        <w:rPr>
          <w:lang w:val="en-US"/>
        </w:rPr>
        <w:t>Boudguiga</w:t>
      </w:r>
      <w:proofErr w:type="spellEnd"/>
      <w:r w:rsidRPr="00F922FB">
        <w:rPr>
          <w:lang w:val="en-US"/>
        </w:rPr>
        <w:t xml:space="preserve">, A., Zhang, J., </w:t>
      </w:r>
      <w:proofErr w:type="spellStart"/>
      <w:r w:rsidRPr="00F922FB">
        <w:rPr>
          <w:lang w:val="en-US"/>
        </w:rPr>
        <w:t>Labiod</w:t>
      </w:r>
      <w:proofErr w:type="spellEnd"/>
      <w:r w:rsidRPr="00F922FB">
        <w:rPr>
          <w:lang w:val="en-US"/>
        </w:rPr>
        <w:t xml:space="preserve">, H., </w:t>
      </w:r>
      <w:proofErr w:type="spellStart"/>
      <w:r w:rsidRPr="00F922FB">
        <w:rPr>
          <w:lang w:val="en-US"/>
        </w:rPr>
        <w:t>Servel</w:t>
      </w:r>
      <w:proofErr w:type="spellEnd"/>
      <w:r w:rsidRPr="00F922FB">
        <w:rPr>
          <w:lang w:val="en-US"/>
        </w:rPr>
        <w:t xml:space="preserve">, A. and </w:t>
      </w:r>
      <w:proofErr w:type="spellStart"/>
      <w:r w:rsidRPr="00F922FB">
        <w:rPr>
          <w:lang w:val="en-US"/>
        </w:rPr>
        <w:t>Urien</w:t>
      </w:r>
      <w:proofErr w:type="spellEnd"/>
      <w:r w:rsidRPr="00F922FB">
        <w:rPr>
          <w:lang w:val="en-US"/>
        </w:rPr>
        <w:t>, P., 2018, May. Sara: Security automotive risk analysis method. In Proceedings of the 4th ACM Workshop on Cyber-Physical System Security (pp. 3-14).</w:t>
      </w:r>
    </w:p>
    <w:p w14:paraId="38D2C136" w14:textId="77777777" w:rsidR="00BA6362" w:rsidRPr="00BA6362" w:rsidRDefault="00BA6362" w:rsidP="00BA6362">
      <w:pPr>
        <w:spacing w:after="160"/>
        <w:rPr>
          <w:lang w:val="en-US"/>
        </w:rPr>
      </w:pPr>
    </w:p>
    <w:p w14:paraId="4163B1DC" w14:textId="77777777" w:rsidR="001F3EC6" w:rsidRDefault="001F3EC6" w:rsidP="00F922FB">
      <w:pPr>
        <w:pStyle w:val="ListParagraph"/>
        <w:numPr>
          <w:ilvl w:val="0"/>
          <w:numId w:val="1"/>
        </w:numPr>
        <w:spacing w:after="160"/>
        <w:rPr>
          <w:lang w:val="en-US"/>
        </w:rPr>
      </w:pPr>
      <w:r w:rsidRPr="00F922FB">
        <w:rPr>
          <w:lang w:val="en-US"/>
        </w:rPr>
        <w:t>Scott, M.S. (2017). Reconciling problem-oriented policing and evidence-based policing. Advances in Evidence-Based Policing, [online] pp.27–44. doi:10.4324/9781315518299-3.</w:t>
      </w:r>
    </w:p>
    <w:p w14:paraId="6D764725" w14:textId="77777777" w:rsidR="00BA6362" w:rsidRPr="00BA6362" w:rsidRDefault="00BA6362" w:rsidP="00BA6362">
      <w:pPr>
        <w:pStyle w:val="ListParagraph"/>
        <w:rPr>
          <w:lang w:val="en-US"/>
        </w:rPr>
      </w:pPr>
    </w:p>
    <w:p w14:paraId="53F4B2A5" w14:textId="77777777" w:rsidR="00BA6362" w:rsidRPr="00F922FB" w:rsidRDefault="00BA6362" w:rsidP="00BA6362">
      <w:pPr>
        <w:pStyle w:val="ListParagraph"/>
        <w:spacing w:after="160"/>
        <w:rPr>
          <w:lang w:val="en-US"/>
        </w:rPr>
      </w:pPr>
    </w:p>
    <w:p w14:paraId="4163B1DD" w14:textId="77777777" w:rsidR="001F3EC6" w:rsidRDefault="001F3EC6" w:rsidP="00F922FB">
      <w:pPr>
        <w:pStyle w:val="ListParagraph"/>
        <w:numPr>
          <w:ilvl w:val="0"/>
          <w:numId w:val="1"/>
        </w:numPr>
        <w:spacing w:after="160"/>
        <w:rPr>
          <w:lang w:val="en-US"/>
        </w:rPr>
      </w:pPr>
      <w:proofErr w:type="spellStart"/>
      <w:r w:rsidRPr="00F922FB">
        <w:rPr>
          <w:lang w:val="en-US"/>
        </w:rPr>
        <w:t>Telep</w:t>
      </w:r>
      <w:proofErr w:type="spellEnd"/>
      <w:r w:rsidRPr="00F922FB">
        <w:rPr>
          <w:lang w:val="en-US"/>
        </w:rPr>
        <w:t>, C.W. (2016). Police Officer Receptivity to Research and Evidence-Based Policing: Examining Variability Within and Across Agencies. Crime &amp; Delinquency, [online] 63(8), pp.976–999. doi:10.1177/0011128716642253.</w:t>
      </w:r>
    </w:p>
    <w:p w14:paraId="36AED0AE" w14:textId="77777777" w:rsidR="00BA6362" w:rsidRPr="00BA6362" w:rsidRDefault="00BA6362" w:rsidP="00BA6362">
      <w:pPr>
        <w:spacing w:after="160"/>
        <w:rPr>
          <w:lang w:val="en-US"/>
        </w:rPr>
      </w:pPr>
    </w:p>
    <w:p w14:paraId="4163B1DE" w14:textId="053F688C" w:rsidR="001F3EC6" w:rsidRDefault="001F3EC6" w:rsidP="00F922FB">
      <w:pPr>
        <w:pStyle w:val="ListParagraph"/>
        <w:numPr>
          <w:ilvl w:val="0"/>
          <w:numId w:val="1"/>
        </w:numPr>
        <w:spacing w:after="160"/>
        <w:rPr>
          <w:lang w:val="en-US"/>
        </w:rPr>
      </w:pPr>
      <w:proofErr w:type="spellStart"/>
      <w:r w:rsidRPr="00F922FB">
        <w:rPr>
          <w:lang w:val="en-US"/>
        </w:rPr>
        <w:lastRenderedPageBreak/>
        <w:t>Telep</w:t>
      </w:r>
      <w:proofErr w:type="spellEnd"/>
      <w:r w:rsidRPr="00F922FB">
        <w:rPr>
          <w:lang w:val="en-US"/>
        </w:rPr>
        <w:t xml:space="preserve">, C.W. and Somers, L.J. (2017). Examining police officer definitions of evidence-based policing: are we speaking the same language? [online] ResearchGate. Available at: </w:t>
      </w:r>
      <w:hyperlink r:id="rId21" w:history="1">
        <w:r w:rsidR="00BA6362" w:rsidRPr="00227DB2">
          <w:rPr>
            <w:rStyle w:val="Hyperlink"/>
            <w:lang w:val="en-US"/>
          </w:rPr>
          <w:t>https://www.researchgate.net/publication/319602744_Examining_police_officer_definitions_of_evidence-based_policing_are_we_speaking_the_same_language</w:t>
        </w:r>
      </w:hyperlink>
    </w:p>
    <w:p w14:paraId="3A2DAF42" w14:textId="77777777" w:rsidR="00BA6362" w:rsidRPr="00BA6362" w:rsidRDefault="00BA6362" w:rsidP="00BA6362">
      <w:pPr>
        <w:spacing w:after="160"/>
        <w:rPr>
          <w:lang w:val="en-US"/>
        </w:rPr>
      </w:pPr>
    </w:p>
    <w:p w14:paraId="4163B1DF" w14:textId="77777777" w:rsidR="00AE78A4" w:rsidRPr="00164CB2" w:rsidRDefault="001F3EC6" w:rsidP="00F922FB">
      <w:pPr>
        <w:pStyle w:val="ListParagraph"/>
        <w:numPr>
          <w:ilvl w:val="0"/>
          <w:numId w:val="1"/>
        </w:numPr>
        <w:spacing w:after="160"/>
      </w:pPr>
      <w:r w:rsidRPr="00F922FB">
        <w:rPr>
          <w:lang w:val="en-US"/>
        </w:rPr>
        <w:t>Tilley, N. and Laycock, G. (2017). The why, what, when and how of evidence-based policing. Advances in Evidence-Based Policing, [online] pp.10–26. doi:10.4324/9781315518299-2.</w:t>
      </w:r>
    </w:p>
    <w:sectPr w:rsidR="00AE78A4" w:rsidRPr="00164CB2">
      <w:head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3B1E6" w14:textId="77777777" w:rsidR="006F3571" w:rsidRDefault="006F3571">
      <w:pPr>
        <w:spacing w:line="240" w:lineRule="auto"/>
      </w:pPr>
      <w:r>
        <w:separator/>
      </w:r>
    </w:p>
  </w:endnote>
  <w:endnote w:type="continuationSeparator" w:id="0">
    <w:p w14:paraId="4163B1E7" w14:textId="77777777" w:rsidR="006F3571" w:rsidRDefault="006F35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3B1E4" w14:textId="77777777" w:rsidR="006F3571" w:rsidRDefault="006F3571">
      <w:pPr>
        <w:spacing w:after="0"/>
      </w:pPr>
      <w:r>
        <w:separator/>
      </w:r>
    </w:p>
  </w:footnote>
  <w:footnote w:type="continuationSeparator" w:id="0">
    <w:p w14:paraId="4163B1E5" w14:textId="77777777" w:rsidR="006F3571" w:rsidRDefault="006F357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6961461"/>
      <w:docPartObj>
        <w:docPartGallery w:val="Page Numbers (Top of Page)"/>
        <w:docPartUnique/>
      </w:docPartObj>
    </w:sdtPr>
    <w:sdtEndPr>
      <w:rPr>
        <w:noProof/>
      </w:rPr>
    </w:sdtEndPr>
    <w:sdtContent>
      <w:p w14:paraId="4163B1E8" w14:textId="729BCE0D" w:rsidR="00091B9F" w:rsidRDefault="00950DC4" w:rsidP="00950DC4">
        <w:pPr>
          <w:pStyle w:val="Header"/>
          <w:jc w:val="left"/>
        </w:pPr>
        <w:r>
          <w:rPr>
            <w:b/>
            <w:bCs/>
          </w:rPr>
          <w:t xml:space="preserve">1805526 – Rohid Hussain </w:t>
        </w:r>
      </w:p>
    </w:sdtContent>
  </w:sdt>
  <w:p w14:paraId="4163B1E9" w14:textId="77777777" w:rsidR="00091B9F" w:rsidRDefault="00091B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04158"/>
    <w:multiLevelType w:val="hybridMultilevel"/>
    <w:tmpl w:val="057A7F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3249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FB0"/>
    <w:rsid w:val="00017089"/>
    <w:rsid w:val="000332A0"/>
    <w:rsid w:val="000338A5"/>
    <w:rsid w:val="00036825"/>
    <w:rsid w:val="0004548A"/>
    <w:rsid w:val="00072D8F"/>
    <w:rsid w:val="00091B9F"/>
    <w:rsid w:val="000D3D62"/>
    <w:rsid w:val="00110B42"/>
    <w:rsid w:val="00113841"/>
    <w:rsid w:val="00140578"/>
    <w:rsid w:val="0014094C"/>
    <w:rsid w:val="001512D8"/>
    <w:rsid w:val="00164CB2"/>
    <w:rsid w:val="0017567D"/>
    <w:rsid w:val="00183D7E"/>
    <w:rsid w:val="001C5DEB"/>
    <w:rsid w:val="001D11A8"/>
    <w:rsid w:val="001D7BD8"/>
    <w:rsid w:val="001E6B7C"/>
    <w:rsid w:val="001F24AC"/>
    <w:rsid w:val="001F31F2"/>
    <w:rsid w:val="001F3EC6"/>
    <w:rsid w:val="001F4C49"/>
    <w:rsid w:val="0021232E"/>
    <w:rsid w:val="00232B1E"/>
    <w:rsid w:val="00256004"/>
    <w:rsid w:val="0025798B"/>
    <w:rsid w:val="00284B6A"/>
    <w:rsid w:val="00286B3E"/>
    <w:rsid w:val="002A3349"/>
    <w:rsid w:val="002C4396"/>
    <w:rsid w:val="002F04F4"/>
    <w:rsid w:val="002F24AD"/>
    <w:rsid w:val="00301764"/>
    <w:rsid w:val="00305EED"/>
    <w:rsid w:val="00307748"/>
    <w:rsid w:val="003465BE"/>
    <w:rsid w:val="00362835"/>
    <w:rsid w:val="00390061"/>
    <w:rsid w:val="003D21EB"/>
    <w:rsid w:val="003E4EBD"/>
    <w:rsid w:val="003F7081"/>
    <w:rsid w:val="00400264"/>
    <w:rsid w:val="004006EB"/>
    <w:rsid w:val="0040568D"/>
    <w:rsid w:val="00411561"/>
    <w:rsid w:val="00421D97"/>
    <w:rsid w:val="00427918"/>
    <w:rsid w:val="00430EB4"/>
    <w:rsid w:val="00440C12"/>
    <w:rsid w:val="004545F2"/>
    <w:rsid w:val="0046107F"/>
    <w:rsid w:val="004822AD"/>
    <w:rsid w:val="004B440A"/>
    <w:rsid w:val="004F4CEC"/>
    <w:rsid w:val="00503DEB"/>
    <w:rsid w:val="005125A7"/>
    <w:rsid w:val="005353D5"/>
    <w:rsid w:val="0054107E"/>
    <w:rsid w:val="00562DC7"/>
    <w:rsid w:val="005755AA"/>
    <w:rsid w:val="00583AD7"/>
    <w:rsid w:val="005A14BE"/>
    <w:rsid w:val="005A1E27"/>
    <w:rsid w:val="005C374D"/>
    <w:rsid w:val="005E727E"/>
    <w:rsid w:val="0060678B"/>
    <w:rsid w:val="006151DC"/>
    <w:rsid w:val="006401A5"/>
    <w:rsid w:val="006518E5"/>
    <w:rsid w:val="00657C17"/>
    <w:rsid w:val="006620E3"/>
    <w:rsid w:val="006828E3"/>
    <w:rsid w:val="006B23D1"/>
    <w:rsid w:val="006C11BB"/>
    <w:rsid w:val="006D7E73"/>
    <w:rsid w:val="006E0A4D"/>
    <w:rsid w:val="006F3571"/>
    <w:rsid w:val="007017C7"/>
    <w:rsid w:val="00713145"/>
    <w:rsid w:val="00734FE7"/>
    <w:rsid w:val="00741C26"/>
    <w:rsid w:val="00763432"/>
    <w:rsid w:val="00782A26"/>
    <w:rsid w:val="0078650D"/>
    <w:rsid w:val="007A4472"/>
    <w:rsid w:val="007A7D63"/>
    <w:rsid w:val="007D7924"/>
    <w:rsid w:val="007E2A97"/>
    <w:rsid w:val="0080164C"/>
    <w:rsid w:val="008038A7"/>
    <w:rsid w:val="00824695"/>
    <w:rsid w:val="00833C5F"/>
    <w:rsid w:val="008418CB"/>
    <w:rsid w:val="00841AEA"/>
    <w:rsid w:val="00855C76"/>
    <w:rsid w:val="008674BB"/>
    <w:rsid w:val="008966EF"/>
    <w:rsid w:val="008A4EC1"/>
    <w:rsid w:val="008A63F2"/>
    <w:rsid w:val="008D7E0D"/>
    <w:rsid w:val="008E0D02"/>
    <w:rsid w:val="008E35EC"/>
    <w:rsid w:val="008E4E32"/>
    <w:rsid w:val="00915339"/>
    <w:rsid w:val="0092006D"/>
    <w:rsid w:val="009364AC"/>
    <w:rsid w:val="00941997"/>
    <w:rsid w:val="00950DC4"/>
    <w:rsid w:val="0096035A"/>
    <w:rsid w:val="00973368"/>
    <w:rsid w:val="00993FCF"/>
    <w:rsid w:val="009A72AC"/>
    <w:rsid w:val="009D0D22"/>
    <w:rsid w:val="009E4052"/>
    <w:rsid w:val="009F01C7"/>
    <w:rsid w:val="009F3390"/>
    <w:rsid w:val="00A200A0"/>
    <w:rsid w:val="00A338B8"/>
    <w:rsid w:val="00A54716"/>
    <w:rsid w:val="00A63F6E"/>
    <w:rsid w:val="00A66809"/>
    <w:rsid w:val="00A672DA"/>
    <w:rsid w:val="00A77E3B"/>
    <w:rsid w:val="00AE172F"/>
    <w:rsid w:val="00AE78A4"/>
    <w:rsid w:val="00AF667A"/>
    <w:rsid w:val="00B036B5"/>
    <w:rsid w:val="00B13630"/>
    <w:rsid w:val="00B4526A"/>
    <w:rsid w:val="00B50293"/>
    <w:rsid w:val="00B55027"/>
    <w:rsid w:val="00B626CF"/>
    <w:rsid w:val="00B64D8E"/>
    <w:rsid w:val="00B94323"/>
    <w:rsid w:val="00BA55D4"/>
    <w:rsid w:val="00BA6362"/>
    <w:rsid w:val="00BC496F"/>
    <w:rsid w:val="00BF4887"/>
    <w:rsid w:val="00C05D59"/>
    <w:rsid w:val="00C1541F"/>
    <w:rsid w:val="00C16210"/>
    <w:rsid w:val="00C62267"/>
    <w:rsid w:val="00CA6B0E"/>
    <w:rsid w:val="00CD24DD"/>
    <w:rsid w:val="00CE639C"/>
    <w:rsid w:val="00D10C14"/>
    <w:rsid w:val="00D148D2"/>
    <w:rsid w:val="00D167E4"/>
    <w:rsid w:val="00D432C6"/>
    <w:rsid w:val="00D62770"/>
    <w:rsid w:val="00D66392"/>
    <w:rsid w:val="00D96646"/>
    <w:rsid w:val="00DA2400"/>
    <w:rsid w:val="00DB0DF3"/>
    <w:rsid w:val="00DC2D15"/>
    <w:rsid w:val="00E111CC"/>
    <w:rsid w:val="00E11A82"/>
    <w:rsid w:val="00E20CFB"/>
    <w:rsid w:val="00E301A2"/>
    <w:rsid w:val="00E64FB1"/>
    <w:rsid w:val="00EC088D"/>
    <w:rsid w:val="00EC2384"/>
    <w:rsid w:val="00EE6F85"/>
    <w:rsid w:val="00F0647B"/>
    <w:rsid w:val="00F35FB0"/>
    <w:rsid w:val="00F613DF"/>
    <w:rsid w:val="00F70729"/>
    <w:rsid w:val="00F922FB"/>
    <w:rsid w:val="00FC6DA8"/>
    <w:rsid w:val="63B323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3B172"/>
  <w15:docId w15:val="{92E17B89-A805-49A6-A2A1-BBE6C1FC7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qFormat="1"/>
    <w:lsdException w:name="Light List" w:uiPriority="61" w:qFormat="1"/>
    <w:lsdException w:name="Light Grid" w:uiPriority="62" w:qFormat="1"/>
    <w:lsdException w:name="Medium Shading 1" w:uiPriority="63" w:qFormat="1"/>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qFormat="1"/>
    <w:lsdException w:name="Light Grid Accent 5" w:uiPriority="62" w:qFormat="1"/>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qFormat="1"/>
    <w:lsdException w:name="Light Grid Accent 6" w:uiPriority="62" w:qFormat="1"/>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A26"/>
    <w:pPr>
      <w:spacing w:before="240" w:after="120" w:line="360" w:lineRule="auto"/>
      <w:jc w:val="both"/>
    </w:pPr>
    <w:rPr>
      <w:rFonts w:ascii="Times New Roman" w:hAnsi="Times New Roman"/>
      <w:sz w:val="24"/>
      <w:szCs w:val="22"/>
      <w:lang w:val="en-GB"/>
    </w:rPr>
  </w:style>
  <w:style w:type="paragraph" w:styleId="Heading1">
    <w:name w:val="heading 1"/>
    <w:basedOn w:val="Normal"/>
    <w:next w:val="Normal"/>
    <w:link w:val="Heading1Char"/>
    <w:uiPriority w:val="9"/>
    <w:qFormat/>
    <w:pPr>
      <w:keepNext/>
      <w:keepLines/>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pPr>
      <w:keepNext/>
      <w:keepLines/>
      <w:spacing w:before="40" w:after="0" w:line="259" w:lineRule="auto"/>
      <w:outlineLvl w:val="1"/>
    </w:pPr>
    <w:rPr>
      <w:rFonts w:eastAsiaTheme="majorEastAsia" w:cstheme="majorBidi"/>
      <w:b/>
      <w:color w:val="2E74B5" w:themeColor="accent1" w:themeShade="BF"/>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color w:val="2E74B5" w:themeColor="accent1" w:themeShade="BF"/>
      <w:sz w:val="28"/>
      <w:szCs w:val="26"/>
    </w:rPr>
  </w:style>
  <w:style w:type="paragraph" w:styleId="BalloonText">
    <w:name w:val="Balloon Text"/>
    <w:basedOn w:val="Normal"/>
    <w:link w:val="BalloonTextChar"/>
    <w:uiPriority w:val="99"/>
    <w:semiHidden/>
    <w:unhideWhenUsed/>
    <w:rsid w:val="00503D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DEB"/>
    <w:rPr>
      <w:rFonts w:ascii="Tahoma" w:hAnsi="Tahoma" w:cs="Tahoma"/>
      <w:sz w:val="16"/>
      <w:szCs w:val="16"/>
      <w:lang w:val="en-GB"/>
    </w:rPr>
  </w:style>
  <w:style w:type="paragraph" w:styleId="TOCHeading">
    <w:name w:val="TOC Heading"/>
    <w:basedOn w:val="Heading1"/>
    <w:next w:val="Normal"/>
    <w:uiPriority w:val="39"/>
    <w:unhideWhenUsed/>
    <w:qFormat/>
    <w:rsid w:val="00110B42"/>
    <w:pPr>
      <w:spacing w:before="480" w:after="0" w:line="276" w:lineRule="auto"/>
      <w:jc w:val="left"/>
      <w:outlineLvl w:val="9"/>
    </w:pPr>
    <w:rPr>
      <w:rFonts w:asciiTheme="majorHAnsi" w:hAnsiTheme="majorHAnsi"/>
      <w:bCs/>
      <w:color w:val="2E74B5" w:themeColor="accent1" w:themeShade="BF"/>
      <w:sz w:val="28"/>
      <w:szCs w:val="28"/>
      <w:lang w:val="en-US" w:eastAsia="ja-JP"/>
    </w:rPr>
  </w:style>
  <w:style w:type="paragraph" w:styleId="TOC1">
    <w:name w:val="toc 1"/>
    <w:basedOn w:val="Normal"/>
    <w:next w:val="Normal"/>
    <w:autoRedefine/>
    <w:uiPriority w:val="39"/>
    <w:unhideWhenUsed/>
    <w:rsid w:val="00110B42"/>
    <w:pPr>
      <w:spacing w:after="100"/>
    </w:pPr>
  </w:style>
  <w:style w:type="paragraph" w:styleId="Header">
    <w:name w:val="header"/>
    <w:basedOn w:val="Normal"/>
    <w:link w:val="HeaderChar"/>
    <w:uiPriority w:val="99"/>
    <w:unhideWhenUsed/>
    <w:rsid w:val="00091B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1B9F"/>
    <w:rPr>
      <w:rFonts w:ascii="Times New Roman" w:hAnsi="Times New Roman"/>
      <w:sz w:val="24"/>
      <w:szCs w:val="22"/>
      <w:lang w:val="en-GB"/>
    </w:rPr>
  </w:style>
  <w:style w:type="paragraph" w:styleId="Footer">
    <w:name w:val="footer"/>
    <w:basedOn w:val="Normal"/>
    <w:link w:val="FooterChar"/>
    <w:uiPriority w:val="99"/>
    <w:unhideWhenUsed/>
    <w:rsid w:val="00091B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1B9F"/>
    <w:rPr>
      <w:rFonts w:ascii="Times New Roman" w:hAnsi="Times New Roman"/>
      <w:sz w:val="24"/>
      <w:szCs w:val="22"/>
      <w:lang w:val="en-GB"/>
    </w:rPr>
  </w:style>
  <w:style w:type="paragraph" w:styleId="ListParagraph">
    <w:name w:val="List Paragraph"/>
    <w:basedOn w:val="Normal"/>
    <w:uiPriority w:val="99"/>
    <w:rsid w:val="00F922FB"/>
    <w:pPr>
      <w:ind w:left="720"/>
      <w:contextualSpacing/>
    </w:pPr>
  </w:style>
  <w:style w:type="character" w:styleId="UnresolvedMention">
    <w:name w:val="Unresolved Mention"/>
    <w:basedOn w:val="DefaultParagraphFont"/>
    <w:uiPriority w:val="99"/>
    <w:semiHidden/>
    <w:unhideWhenUsed/>
    <w:rsid w:val="00F922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7035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s://www.researchgate.net/publication/333710583_A_police_service_in_transformation_implications_for_women_police_officers" TargetMode="External"/><Relationship Id="rId3" Type="http://schemas.openxmlformats.org/officeDocument/2006/relationships/styles" Target="styles.xml"/><Relationship Id="rId21" Type="http://schemas.openxmlformats.org/officeDocument/2006/relationships/hyperlink" Target="https://www.researchgate.net/publication/319602744_Examining_police_officer_definitions_of_evidence-based_policing_are_we_speaking_the_same_language" TargetMode="Externa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www.researchgate.net/publication/351014898_Connecting_Evidence-Based_Policing_and_Cybercrim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hyperlink" Target="https://fis.dshs-koeln.de/portal/en/publications/evidencebased-policing-or-reflexive-policing-a-commentary-on-koziarski-and-huey(5d1c1c29-cd4b-4a18-ae9a-3de622576fe4).html"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1">
  <dgm:title val=""/>
  <dgm:desc val=""/>
  <dgm:catLst>
    <dgm:cat type="colorful" pri="10300"/>
  </dgm:catLst>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F92C2A94-8CE9-4522-9133-C4AF5F481C45}" type="doc">
      <dgm:prSet loTypeId="urn:microsoft.com/office/officeart/2005/8/layout/radial6" loCatId="cycle" qsTypeId="urn:microsoft.com/office/officeart/2005/8/quickstyle/simple1" qsCatId="simple" csTypeId="urn:microsoft.com/office/officeart/2005/8/colors/colorful3" csCatId="colorful" phldr="1"/>
      <dgm:spPr/>
      <dgm:t>
        <a:bodyPr/>
        <a:lstStyle/>
        <a:p>
          <a:endParaRPr lang="en-US"/>
        </a:p>
      </dgm:t>
    </dgm:pt>
    <dgm:pt modelId="{18FCACD0-AC9B-445B-B529-68F0C25533B4}">
      <dgm:prSet phldrT="[Text]" custT="1"/>
      <dgm:spPr/>
      <dgm:t>
        <a:bodyPr/>
        <a:lstStyle/>
        <a:p>
          <a:r>
            <a:rPr lang="en-US" sz="1800">
              <a:latin typeface="Times New Roman" pitchFamily="18" charset="0"/>
              <a:cs typeface="Times New Roman" pitchFamily="18" charset="0"/>
            </a:rPr>
            <a:t>Code of Ethics</a:t>
          </a:r>
        </a:p>
      </dgm:t>
    </dgm:pt>
    <dgm:pt modelId="{20E1CAFC-D998-4E15-B8D6-16F2D7F1FE46}" type="parTrans" cxnId="{C82066CE-1962-43BA-B118-5D6454B82FA1}">
      <dgm:prSet/>
      <dgm:spPr/>
      <dgm:t>
        <a:bodyPr/>
        <a:lstStyle/>
        <a:p>
          <a:endParaRPr lang="en-US"/>
        </a:p>
      </dgm:t>
    </dgm:pt>
    <dgm:pt modelId="{84E08AA4-C450-4569-B154-162AD50B5441}" type="sibTrans" cxnId="{C82066CE-1962-43BA-B118-5D6454B82FA1}">
      <dgm:prSet/>
      <dgm:spPr/>
      <dgm:t>
        <a:bodyPr/>
        <a:lstStyle/>
        <a:p>
          <a:endParaRPr lang="en-US"/>
        </a:p>
      </dgm:t>
    </dgm:pt>
    <dgm:pt modelId="{C8C57088-9852-4C6A-BCAB-703625B7D14E}">
      <dgm:prSet phldrT="[Text]" custT="1"/>
      <dgm:spPr/>
      <dgm:t>
        <a:bodyPr/>
        <a:lstStyle/>
        <a:p>
          <a:r>
            <a:rPr lang="en-US" sz="900">
              <a:latin typeface="Times New Roman" pitchFamily="18" charset="0"/>
              <a:cs typeface="Times New Roman" pitchFamily="18" charset="0"/>
            </a:rPr>
            <a:t>Collect information and intelligence</a:t>
          </a:r>
        </a:p>
      </dgm:t>
    </dgm:pt>
    <dgm:pt modelId="{25898678-8D1B-4881-AA14-1FCED5AC695A}" type="parTrans" cxnId="{08FF3537-D8C2-4D36-A57D-AE22E711BED2}">
      <dgm:prSet/>
      <dgm:spPr/>
      <dgm:t>
        <a:bodyPr/>
        <a:lstStyle/>
        <a:p>
          <a:endParaRPr lang="en-US"/>
        </a:p>
      </dgm:t>
    </dgm:pt>
    <dgm:pt modelId="{DFC6C9E0-7791-462C-A6FE-ABCE20605840}" type="sibTrans" cxnId="{08FF3537-D8C2-4D36-A57D-AE22E711BED2}">
      <dgm:prSet/>
      <dgm:spPr/>
      <dgm:t>
        <a:bodyPr/>
        <a:lstStyle/>
        <a:p>
          <a:endParaRPr lang="en-US"/>
        </a:p>
      </dgm:t>
    </dgm:pt>
    <dgm:pt modelId="{00F6E0B7-4851-49CC-AAE6-DE0158CB5C6D}">
      <dgm:prSet phldrT="[Text]" custT="1"/>
      <dgm:spPr/>
      <dgm:t>
        <a:bodyPr/>
        <a:lstStyle/>
        <a:p>
          <a:r>
            <a:rPr lang="en-US" sz="900">
              <a:latin typeface="Times New Roman" pitchFamily="18" charset="0"/>
              <a:cs typeface="Times New Roman" pitchFamily="18" charset="0"/>
            </a:rPr>
            <a:t>Considering the effective policy and power</a:t>
          </a:r>
        </a:p>
      </dgm:t>
    </dgm:pt>
    <dgm:pt modelId="{CB12EA9F-8044-4955-9B28-5BD38FEBF7D0}" type="parTrans" cxnId="{CE16C714-F017-4243-B3D4-8D7631328496}">
      <dgm:prSet/>
      <dgm:spPr/>
      <dgm:t>
        <a:bodyPr/>
        <a:lstStyle/>
        <a:p>
          <a:endParaRPr lang="en-US"/>
        </a:p>
      </dgm:t>
    </dgm:pt>
    <dgm:pt modelId="{D98B0DD5-9A04-49B6-88C0-BE91B80B9C8E}" type="sibTrans" cxnId="{CE16C714-F017-4243-B3D4-8D7631328496}">
      <dgm:prSet/>
      <dgm:spPr/>
      <dgm:t>
        <a:bodyPr/>
        <a:lstStyle/>
        <a:p>
          <a:endParaRPr lang="en-US"/>
        </a:p>
      </dgm:t>
    </dgm:pt>
    <dgm:pt modelId="{2F4B5C14-A9D2-4654-B233-28F5C04B2920}">
      <dgm:prSet phldrT="[Text]" custT="1"/>
      <dgm:spPr/>
      <dgm:t>
        <a:bodyPr/>
        <a:lstStyle/>
        <a:p>
          <a:r>
            <a:rPr lang="en-US" sz="900">
              <a:latin typeface="Times New Roman" pitchFamily="18" charset="0"/>
              <a:cs typeface="Times New Roman" pitchFamily="18" charset="0"/>
            </a:rPr>
            <a:t>Identify the contingencies </a:t>
          </a:r>
        </a:p>
      </dgm:t>
    </dgm:pt>
    <dgm:pt modelId="{403BD261-40BD-40D4-993B-575020F3957A}" type="parTrans" cxnId="{B061795A-F960-481D-9C0E-DE3EA92D0EB8}">
      <dgm:prSet/>
      <dgm:spPr/>
      <dgm:t>
        <a:bodyPr/>
        <a:lstStyle/>
        <a:p>
          <a:endParaRPr lang="en-US"/>
        </a:p>
      </dgm:t>
    </dgm:pt>
    <dgm:pt modelId="{C68B4FA5-3D3C-473A-97FB-968E5C67E6AB}" type="sibTrans" cxnId="{B061795A-F960-481D-9C0E-DE3EA92D0EB8}">
      <dgm:prSet/>
      <dgm:spPr/>
      <dgm:t>
        <a:bodyPr/>
        <a:lstStyle/>
        <a:p>
          <a:endParaRPr lang="en-US"/>
        </a:p>
      </dgm:t>
    </dgm:pt>
    <dgm:pt modelId="{F3E4A636-ACC9-4758-B50B-DD2ECB30CE0F}">
      <dgm:prSet phldrT="[Text]" custT="1"/>
      <dgm:spPr/>
      <dgm:t>
        <a:bodyPr/>
        <a:lstStyle/>
        <a:p>
          <a:r>
            <a:rPr lang="en-US" sz="900">
              <a:latin typeface="Times New Roman" pitchFamily="18" charset="0"/>
              <a:cs typeface="Times New Roman" pitchFamily="18" charset="0"/>
            </a:rPr>
            <a:t>Take the reuqired action plan and review th eprocess</a:t>
          </a:r>
        </a:p>
      </dgm:t>
    </dgm:pt>
    <dgm:pt modelId="{B11CFBE2-4509-4B70-B4F1-03B2ACB4D5ED}" type="parTrans" cxnId="{2329F857-9946-4547-8880-17493652A837}">
      <dgm:prSet/>
      <dgm:spPr/>
      <dgm:t>
        <a:bodyPr/>
        <a:lstStyle/>
        <a:p>
          <a:endParaRPr lang="en-US"/>
        </a:p>
      </dgm:t>
    </dgm:pt>
    <dgm:pt modelId="{B8E6ABE4-9334-4A9D-BB5E-738304CFD9BA}" type="sibTrans" cxnId="{2329F857-9946-4547-8880-17493652A837}">
      <dgm:prSet/>
      <dgm:spPr/>
      <dgm:t>
        <a:bodyPr/>
        <a:lstStyle/>
        <a:p>
          <a:endParaRPr lang="en-US"/>
        </a:p>
      </dgm:t>
    </dgm:pt>
    <dgm:pt modelId="{F394BB3D-9AE2-4A17-9C79-59923F7933E5}">
      <dgm:prSet phldrT="[Text]" custT="1"/>
      <dgm:spPr/>
      <dgm:t>
        <a:bodyPr/>
        <a:lstStyle/>
        <a:p>
          <a:r>
            <a:rPr lang="en-US" sz="900">
              <a:latin typeface="Times New Roman" pitchFamily="18" charset="0"/>
              <a:cs typeface="Times New Roman" pitchFamily="18" charset="0"/>
            </a:rPr>
            <a:t>Analyzing Risk and potential threats  and develop the effective strategy</a:t>
          </a:r>
        </a:p>
      </dgm:t>
    </dgm:pt>
    <dgm:pt modelId="{EF7126A2-89EB-42CC-BBDB-4299BE1392C7}" type="parTrans" cxnId="{EA02C958-068A-4998-B015-BC3EE11A8D9A}">
      <dgm:prSet/>
      <dgm:spPr/>
      <dgm:t>
        <a:bodyPr/>
        <a:lstStyle/>
        <a:p>
          <a:endParaRPr lang="en-US"/>
        </a:p>
      </dgm:t>
    </dgm:pt>
    <dgm:pt modelId="{691B9145-0109-46EE-89A9-EAA12770E913}" type="sibTrans" cxnId="{EA02C958-068A-4998-B015-BC3EE11A8D9A}">
      <dgm:prSet/>
      <dgm:spPr/>
      <dgm:t>
        <a:bodyPr/>
        <a:lstStyle/>
        <a:p>
          <a:endParaRPr lang="en-US"/>
        </a:p>
      </dgm:t>
    </dgm:pt>
    <dgm:pt modelId="{1EDD7FD6-140A-428F-80A6-42013DEBA9A5}" type="pres">
      <dgm:prSet presAssocID="{F92C2A94-8CE9-4522-9133-C4AF5F481C45}" presName="Name0" presStyleCnt="0">
        <dgm:presLayoutVars>
          <dgm:chMax val="1"/>
          <dgm:dir/>
          <dgm:animLvl val="ctr"/>
          <dgm:resizeHandles val="exact"/>
        </dgm:presLayoutVars>
      </dgm:prSet>
      <dgm:spPr/>
    </dgm:pt>
    <dgm:pt modelId="{92AF83CD-A50F-48CE-9FF0-B482E90689EF}" type="pres">
      <dgm:prSet presAssocID="{18FCACD0-AC9B-445B-B529-68F0C25533B4}" presName="centerShape" presStyleLbl="node0" presStyleIdx="0" presStyleCnt="1" custScaleX="80584" custScaleY="78725"/>
      <dgm:spPr/>
    </dgm:pt>
    <dgm:pt modelId="{FE0B906E-EF98-4291-A164-CAE45686F699}" type="pres">
      <dgm:prSet presAssocID="{C8C57088-9852-4C6A-BCAB-703625B7D14E}" presName="node" presStyleLbl="node1" presStyleIdx="0" presStyleCnt="5">
        <dgm:presLayoutVars>
          <dgm:bulletEnabled val="1"/>
        </dgm:presLayoutVars>
      </dgm:prSet>
      <dgm:spPr/>
    </dgm:pt>
    <dgm:pt modelId="{54A0B4A7-6329-4A38-A447-D141075F371A}" type="pres">
      <dgm:prSet presAssocID="{C8C57088-9852-4C6A-BCAB-703625B7D14E}" presName="dummy" presStyleCnt="0"/>
      <dgm:spPr/>
    </dgm:pt>
    <dgm:pt modelId="{6009D8DB-0B24-4511-AF46-244A508B68CB}" type="pres">
      <dgm:prSet presAssocID="{DFC6C9E0-7791-462C-A6FE-ABCE20605840}" presName="sibTrans" presStyleLbl="sibTrans2D1" presStyleIdx="0" presStyleCnt="5"/>
      <dgm:spPr/>
    </dgm:pt>
    <dgm:pt modelId="{2D0DA98D-F650-43F2-B054-110E5E5F3BD3}" type="pres">
      <dgm:prSet presAssocID="{F394BB3D-9AE2-4A17-9C79-59923F7933E5}" presName="node" presStyleLbl="node1" presStyleIdx="1" presStyleCnt="5" custScaleX="127441" custScaleY="115948">
        <dgm:presLayoutVars>
          <dgm:bulletEnabled val="1"/>
        </dgm:presLayoutVars>
      </dgm:prSet>
      <dgm:spPr/>
    </dgm:pt>
    <dgm:pt modelId="{3E6FF8EA-CDF4-4C67-9A21-23054EF1D140}" type="pres">
      <dgm:prSet presAssocID="{F394BB3D-9AE2-4A17-9C79-59923F7933E5}" presName="dummy" presStyleCnt="0"/>
      <dgm:spPr/>
    </dgm:pt>
    <dgm:pt modelId="{27C79E41-78ED-4D43-9625-48F0E76BA539}" type="pres">
      <dgm:prSet presAssocID="{691B9145-0109-46EE-89A9-EAA12770E913}" presName="sibTrans" presStyleLbl="sibTrans2D1" presStyleIdx="1" presStyleCnt="5"/>
      <dgm:spPr/>
    </dgm:pt>
    <dgm:pt modelId="{006BBF9E-5971-4EF1-B82B-68B5092977BA}" type="pres">
      <dgm:prSet presAssocID="{00F6E0B7-4851-49CC-AAE6-DE0158CB5C6D}" presName="node" presStyleLbl="node1" presStyleIdx="2" presStyleCnt="5">
        <dgm:presLayoutVars>
          <dgm:bulletEnabled val="1"/>
        </dgm:presLayoutVars>
      </dgm:prSet>
      <dgm:spPr/>
    </dgm:pt>
    <dgm:pt modelId="{5F5FCEC6-487F-4C41-9618-3870952DC3BB}" type="pres">
      <dgm:prSet presAssocID="{00F6E0B7-4851-49CC-AAE6-DE0158CB5C6D}" presName="dummy" presStyleCnt="0"/>
      <dgm:spPr/>
    </dgm:pt>
    <dgm:pt modelId="{BBBB4ACA-BAFC-4C41-8577-0278E56E778E}" type="pres">
      <dgm:prSet presAssocID="{D98B0DD5-9A04-49B6-88C0-BE91B80B9C8E}" presName="sibTrans" presStyleLbl="sibTrans2D1" presStyleIdx="2" presStyleCnt="5"/>
      <dgm:spPr/>
    </dgm:pt>
    <dgm:pt modelId="{0381ADBE-C9D9-44E5-9080-B26B1F84A1CD}" type="pres">
      <dgm:prSet presAssocID="{2F4B5C14-A9D2-4654-B233-28F5C04B2920}" presName="node" presStyleLbl="node1" presStyleIdx="3" presStyleCnt="5">
        <dgm:presLayoutVars>
          <dgm:bulletEnabled val="1"/>
        </dgm:presLayoutVars>
      </dgm:prSet>
      <dgm:spPr/>
    </dgm:pt>
    <dgm:pt modelId="{B2093FB9-0517-4FD2-ACAE-37E08381B006}" type="pres">
      <dgm:prSet presAssocID="{2F4B5C14-A9D2-4654-B233-28F5C04B2920}" presName="dummy" presStyleCnt="0"/>
      <dgm:spPr/>
    </dgm:pt>
    <dgm:pt modelId="{77479CF2-44A7-44A5-B806-80D09E598D93}" type="pres">
      <dgm:prSet presAssocID="{C68B4FA5-3D3C-473A-97FB-968E5C67E6AB}" presName="sibTrans" presStyleLbl="sibTrans2D1" presStyleIdx="3" presStyleCnt="5"/>
      <dgm:spPr/>
    </dgm:pt>
    <dgm:pt modelId="{F87F8314-BE56-4791-BA22-CDA90D4E94F2}" type="pres">
      <dgm:prSet presAssocID="{F3E4A636-ACC9-4758-B50B-DD2ECB30CE0F}" presName="node" presStyleLbl="node1" presStyleIdx="4" presStyleCnt="5" custScaleX="111248" custScaleY="123458">
        <dgm:presLayoutVars>
          <dgm:bulletEnabled val="1"/>
        </dgm:presLayoutVars>
      </dgm:prSet>
      <dgm:spPr/>
    </dgm:pt>
    <dgm:pt modelId="{EB5E73A1-9E7D-42C9-844E-633E4630A09A}" type="pres">
      <dgm:prSet presAssocID="{F3E4A636-ACC9-4758-B50B-DD2ECB30CE0F}" presName="dummy" presStyleCnt="0"/>
      <dgm:spPr/>
    </dgm:pt>
    <dgm:pt modelId="{F0D17C86-69A5-4928-A955-81B363A73373}" type="pres">
      <dgm:prSet presAssocID="{B8E6ABE4-9334-4A9D-BB5E-738304CFD9BA}" presName="sibTrans" presStyleLbl="sibTrans2D1" presStyleIdx="4" presStyleCnt="5"/>
      <dgm:spPr/>
    </dgm:pt>
  </dgm:ptLst>
  <dgm:cxnLst>
    <dgm:cxn modelId="{0886F105-CB41-42B9-BBEC-E10DEB467962}" type="presOf" srcId="{B8E6ABE4-9334-4A9D-BB5E-738304CFD9BA}" destId="{F0D17C86-69A5-4928-A955-81B363A73373}" srcOrd="0" destOrd="0" presId="urn:microsoft.com/office/officeart/2005/8/layout/radial6"/>
    <dgm:cxn modelId="{A2DB530F-499C-45AF-A12C-FA8DADBF9AAC}" type="presOf" srcId="{DFC6C9E0-7791-462C-A6FE-ABCE20605840}" destId="{6009D8DB-0B24-4511-AF46-244A508B68CB}" srcOrd="0" destOrd="0" presId="urn:microsoft.com/office/officeart/2005/8/layout/radial6"/>
    <dgm:cxn modelId="{CE16C714-F017-4243-B3D4-8D7631328496}" srcId="{18FCACD0-AC9B-445B-B529-68F0C25533B4}" destId="{00F6E0B7-4851-49CC-AAE6-DE0158CB5C6D}" srcOrd="2" destOrd="0" parTransId="{CB12EA9F-8044-4955-9B28-5BD38FEBF7D0}" sibTransId="{D98B0DD5-9A04-49B6-88C0-BE91B80B9C8E}"/>
    <dgm:cxn modelId="{08FF3537-D8C2-4D36-A57D-AE22E711BED2}" srcId="{18FCACD0-AC9B-445B-B529-68F0C25533B4}" destId="{C8C57088-9852-4C6A-BCAB-703625B7D14E}" srcOrd="0" destOrd="0" parTransId="{25898678-8D1B-4881-AA14-1FCED5AC695A}" sibTransId="{DFC6C9E0-7791-462C-A6FE-ABCE20605840}"/>
    <dgm:cxn modelId="{36C7DD64-687E-4E8B-A08C-44B8996FC4B3}" type="presOf" srcId="{18FCACD0-AC9B-445B-B529-68F0C25533B4}" destId="{92AF83CD-A50F-48CE-9FF0-B482E90689EF}" srcOrd="0" destOrd="0" presId="urn:microsoft.com/office/officeart/2005/8/layout/radial6"/>
    <dgm:cxn modelId="{003FF266-47E9-4AF3-AA48-DBE71FF56CC5}" type="presOf" srcId="{C68B4FA5-3D3C-473A-97FB-968E5C67E6AB}" destId="{77479CF2-44A7-44A5-B806-80D09E598D93}" srcOrd="0" destOrd="0" presId="urn:microsoft.com/office/officeart/2005/8/layout/radial6"/>
    <dgm:cxn modelId="{2329F857-9946-4547-8880-17493652A837}" srcId="{18FCACD0-AC9B-445B-B529-68F0C25533B4}" destId="{F3E4A636-ACC9-4758-B50B-DD2ECB30CE0F}" srcOrd="4" destOrd="0" parTransId="{B11CFBE2-4509-4B70-B4F1-03B2ACB4D5ED}" sibTransId="{B8E6ABE4-9334-4A9D-BB5E-738304CFD9BA}"/>
    <dgm:cxn modelId="{EA02C958-068A-4998-B015-BC3EE11A8D9A}" srcId="{18FCACD0-AC9B-445B-B529-68F0C25533B4}" destId="{F394BB3D-9AE2-4A17-9C79-59923F7933E5}" srcOrd="1" destOrd="0" parTransId="{EF7126A2-89EB-42CC-BBDB-4299BE1392C7}" sibTransId="{691B9145-0109-46EE-89A9-EAA12770E913}"/>
    <dgm:cxn modelId="{B061795A-F960-481D-9C0E-DE3EA92D0EB8}" srcId="{18FCACD0-AC9B-445B-B529-68F0C25533B4}" destId="{2F4B5C14-A9D2-4654-B233-28F5C04B2920}" srcOrd="3" destOrd="0" parTransId="{403BD261-40BD-40D4-993B-575020F3957A}" sibTransId="{C68B4FA5-3D3C-473A-97FB-968E5C67E6AB}"/>
    <dgm:cxn modelId="{7E2F0D91-D00A-439E-B9FA-6B11791085C5}" type="presOf" srcId="{F92C2A94-8CE9-4522-9133-C4AF5F481C45}" destId="{1EDD7FD6-140A-428F-80A6-42013DEBA9A5}" srcOrd="0" destOrd="0" presId="urn:microsoft.com/office/officeart/2005/8/layout/radial6"/>
    <dgm:cxn modelId="{093EA696-C45B-4E67-B2ED-DA363D83BD70}" type="presOf" srcId="{F3E4A636-ACC9-4758-B50B-DD2ECB30CE0F}" destId="{F87F8314-BE56-4791-BA22-CDA90D4E94F2}" srcOrd="0" destOrd="0" presId="urn:microsoft.com/office/officeart/2005/8/layout/radial6"/>
    <dgm:cxn modelId="{4481ABA0-3E04-4853-B06F-646ED6AA91CF}" type="presOf" srcId="{D98B0DD5-9A04-49B6-88C0-BE91B80B9C8E}" destId="{BBBB4ACA-BAFC-4C41-8577-0278E56E778E}" srcOrd="0" destOrd="0" presId="urn:microsoft.com/office/officeart/2005/8/layout/radial6"/>
    <dgm:cxn modelId="{24EEF8AC-0D5C-437C-9406-6B302D890F97}" type="presOf" srcId="{F394BB3D-9AE2-4A17-9C79-59923F7933E5}" destId="{2D0DA98D-F650-43F2-B054-110E5E5F3BD3}" srcOrd="0" destOrd="0" presId="urn:microsoft.com/office/officeart/2005/8/layout/radial6"/>
    <dgm:cxn modelId="{EEA919BE-5931-40C4-A947-A9FC61B1B19B}" type="presOf" srcId="{00F6E0B7-4851-49CC-AAE6-DE0158CB5C6D}" destId="{006BBF9E-5971-4EF1-B82B-68B5092977BA}" srcOrd="0" destOrd="0" presId="urn:microsoft.com/office/officeart/2005/8/layout/radial6"/>
    <dgm:cxn modelId="{C82066CE-1962-43BA-B118-5D6454B82FA1}" srcId="{F92C2A94-8CE9-4522-9133-C4AF5F481C45}" destId="{18FCACD0-AC9B-445B-B529-68F0C25533B4}" srcOrd="0" destOrd="0" parTransId="{20E1CAFC-D998-4E15-B8D6-16F2D7F1FE46}" sibTransId="{84E08AA4-C450-4569-B154-162AD50B5441}"/>
    <dgm:cxn modelId="{C70884D0-804A-46C2-AEAC-7EFB9E7CA247}" type="presOf" srcId="{691B9145-0109-46EE-89A9-EAA12770E913}" destId="{27C79E41-78ED-4D43-9625-48F0E76BA539}" srcOrd="0" destOrd="0" presId="urn:microsoft.com/office/officeart/2005/8/layout/radial6"/>
    <dgm:cxn modelId="{F9B445E0-3CB1-43FA-96A8-0CA07007D985}" type="presOf" srcId="{2F4B5C14-A9D2-4654-B233-28F5C04B2920}" destId="{0381ADBE-C9D9-44E5-9080-B26B1F84A1CD}" srcOrd="0" destOrd="0" presId="urn:microsoft.com/office/officeart/2005/8/layout/radial6"/>
    <dgm:cxn modelId="{C41153F3-DB27-448D-A763-84412ADC8128}" type="presOf" srcId="{C8C57088-9852-4C6A-BCAB-703625B7D14E}" destId="{FE0B906E-EF98-4291-A164-CAE45686F699}" srcOrd="0" destOrd="0" presId="urn:microsoft.com/office/officeart/2005/8/layout/radial6"/>
    <dgm:cxn modelId="{CC49CE14-0960-411F-82F2-5C1EFE9B53E3}" type="presParOf" srcId="{1EDD7FD6-140A-428F-80A6-42013DEBA9A5}" destId="{92AF83CD-A50F-48CE-9FF0-B482E90689EF}" srcOrd="0" destOrd="0" presId="urn:microsoft.com/office/officeart/2005/8/layout/radial6"/>
    <dgm:cxn modelId="{7E1643D1-0D69-4357-B906-C5CCABD1BF7D}" type="presParOf" srcId="{1EDD7FD6-140A-428F-80A6-42013DEBA9A5}" destId="{FE0B906E-EF98-4291-A164-CAE45686F699}" srcOrd="1" destOrd="0" presId="urn:microsoft.com/office/officeart/2005/8/layout/radial6"/>
    <dgm:cxn modelId="{5DE07F31-5091-4D93-8B06-12D6B2606200}" type="presParOf" srcId="{1EDD7FD6-140A-428F-80A6-42013DEBA9A5}" destId="{54A0B4A7-6329-4A38-A447-D141075F371A}" srcOrd="2" destOrd="0" presId="urn:microsoft.com/office/officeart/2005/8/layout/radial6"/>
    <dgm:cxn modelId="{716E9C1D-19ED-410F-A775-F74DE1450062}" type="presParOf" srcId="{1EDD7FD6-140A-428F-80A6-42013DEBA9A5}" destId="{6009D8DB-0B24-4511-AF46-244A508B68CB}" srcOrd="3" destOrd="0" presId="urn:microsoft.com/office/officeart/2005/8/layout/radial6"/>
    <dgm:cxn modelId="{F6AB8068-5F62-4808-A53C-668AC432B89F}" type="presParOf" srcId="{1EDD7FD6-140A-428F-80A6-42013DEBA9A5}" destId="{2D0DA98D-F650-43F2-B054-110E5E5F3BD3}" srcOrd="4" destOrd="0" presId="urn:microsoft.com/office/officeart/2005/8/layout/radial6"/>
    <dgm:cxn modelId="{91DB8305-C610-42D0-909E-814FC89867B2}" type="presParOf" srcId="{1EDD7FD6-140A-428F-80A6-42013DEBA9A5}" destId="{3E6FF8EA-CDF4-4C67-9A21-23054EF1D140}" srcOrd="5" destOrd="0" presId="urn:microsoft.com/office/officeart/2005/8/layout/radial6"/>
    <dgm:cxn modelId="{37E99ED9-2BB1-41AF-A4E2-98BD97351B73}" type="presParOf" srcId="{1EDD7FD6-140A-428F-80A6-42013DEBA9A5}" destId="{27C79E41-78ED-4D43-9625-48F0E76BA539}" srcOrd="6" destOrd="0" presId="urn:microsoft.com/office/officeart/2005/8/layout/radial6"/>
    <dgm:cxn modelId="{1073BA88-B7A2-43E6-B760-45AA2761122D}" type="presParOf" srcId="{1EDD7FD6-140A-428F-80A6-42013DEBA9A5}" destId="{006BBF9E-5971-4EF1-B82B-68B5092977BA}" srcOrd="7" destOrd="0" presId="urn:microsoft.com/office/officeart/2005/8/layout/radial6"/>
    <dgm:cxn modelId="{148B7EA3-8552-4EBB-995B-50B64F0EF393}" type="presParOf" srcId="{1EDD7FD6-140A-428F-80A6-42013DEBA9A5}" destId="{5F5FCEC6-487F-4C41-9618-3870952DC3BB}" srcOrd="8" destOrd="0" presId="urn:microsoft.com/office/officeart/2005/8/layout/radial6"/>
    <dgm:cxn modelId="{8F6A465B-EB3E-4D5F-B46D-5D5EEA5C2BA3}" type="presParOf" srcId="{1EDD7FD6-140A-428F-80A6-42013DEBA9A5}" destId="{BBBB4ACA-BAFC-4C41-8577-0278E56E778E}" srcOrd="9" destOrd="0" presId="urn:microsoft.com/office/officeart/2005/8/layout/radial6"/>
    <dgm:cxn modelId="{83BF762B-3E03-48C1-8620-6F387B91AD4C}" type="presParOf" srcId="{1EDD7FD6-140A-428F-80A6-42013DEBA9A5}" destId="{0381ADBE-C9D9-44E5-9080-B26B1F84A1CD}" srcOrd="10" destOrd="0" presId="urn:microsoft.com/office/officeart/2005/8/layout/radial6"/>
    <dgm:cxn modelId="{1EE05A51-B77F-42B2-ABE5-AFEB4AFE74A4}" type="presParOf" srcId="{1EDD7FD6-140A-428F-80A6-42013DEBA9A5}" destId="{B2093FB9-0517-4FD2-ACAE-37E08381B006}" srcOrd="11" destOrd="0" presId="urn:microsoft.com/office/officeart/2005/8/layout/radial6"/>
    <dgm:cxn modelId="{4177F165-4F1B-4FC0-A81E-7F0F0E4C6B93}" type="presParOf" srcId="{1EDD7FD6-140A-428F-80A6-42013DEBA9A5}" destId="{77479CF2-44A7-44A5-B806-80D09E598D93}" srcOrd="12" destOrd="0" presId="urn:microsoft.com/office/officeart/2005/8/layout/radial6"/>
    <dgm:cxn modelId="{DB5B06CF-37D7-484B-9FD2-EBFC4053BAD1}" type="presParOf" srcId="{1EDD7FD6-140A-428F-80A6-42013DEBA9A5}" destId="{F87F8314-BE56-4791-BA22-CDA90D4E94F2}" srcOrd="13" destOrd="0" presId="urn:microsoft.com/office/officeart/2005/8/layout/radial6"/>
    <dgm:cxn modelId="{13DD1E83-921D-49D2-8C88-FB22B9721C68}" type="presParOf" srcId="{1EDD7FD6-140A-428F-80A6-42013DEBA9A5}" destId="{EB5E73A1-9E7D-42C9-844E-633E4630A09A}" srcOrd="14" destOrd="0" presId="urn:microsoft.com/office/officeart/2005/8/layout/radial6"/>
    <dgm:cxn modelId="{1272DA90-4CCB-4644-BE2A-1D279121A28A}" type="presParOf" srcId="{1EDD7FD6-140A-428F-80A6-42013DEBA9A5}" destId="{F0D17C86-69A5-4928-A955-81B363A73373}" srcOrd="15"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10FC1AA-9141-4C7C-A39D-F92BA6CBD02B}" type="doc">
      <dgm:prSet loTypeId="urn:microsoft.com/office/officeart/2005/8/layout/hProcess9#1" loCatId="process" qsTypeId="urn:microsoft.com/office/officeart/2005/8/quickstyle/simple1#1" qsCatId="simple" csTypeId="urn:microsoft.com/office/officeart/2005/8/colors/colorful3#1" csCatId="colorful" phldr="1"/>
      <dgm:spPr/>
      <dgm:t>
        <a:bodyPr/>
        <a:lstStyle/>
        <a:p>
          <a:endParaRPr lang="en-US"/>
        </a:p>
      </dgm:t>
    </dgm:pt>
    <dgm:pt modelId="{CB19B276-F4DD-4F03-B1FF-1F5394210E7D}">
      <dgm:prSet phldrT="[Text]"/>
      <dgm:spPr/>
      <dgm:t>
        <a:bodyPr/>
        <a:lstStyle/>
        <a:p>
          <a:r>
            <a:rPr lang="en-US"/>
            <a:t>Scanning </a:t>
          </a:r>
        </a:p>
      </dgm:t>
    </dgm:pt>
    <dgm:pt modelId="{51C6BC2A-9156-4242-95FE-7203CCD61425}" type="parTrans" cxnId="{51800B9D-BDA3-4D58-A7E4-4562B95DD85F}">
      <dgm:prSet/>
      <dgm:spPr/>
      <dgm:t>
        <a:bodyPr/>
        <a:lstStyle/>
        <a:p>
          <a:endParaRPr lang="en-US"/>
        </a:p>
      </dgm:t>
    </dgm:pt>
    <dgm:pt modelId="{E0CB3FB1-6933-4A71-9EBC-232D308C2672}" type="sibTrans" cxnId="{51800B9D-BDA3-4D58-A7E4-4562B95DD85F}">
      <dgm:prSet/>
      <dgm:spPr/>
      <dgm:t>
        <a:bodyPr/>
        <a:lstStyle/>
        <a:p>
          <a:endParaRPr lang="en-US"/>
        </a:p>
      </dgm:t>
    </dgm:pt>
    <dgm:pt modelId="{266E1D0C-3E69-4114-8B12-BB2E46F9FF67}">
      <dgm:prSet phldrT="[Text]"/>
      <dgm:spPr/>
      <dgm:t>
        <a:bodyPr/>
        <a:lstStyle/>
        <a:p>
          <a:r>
            <a:rPr lang="en-US"/>
            <a:t>Analysis</a:t>
          </a:r>
        </a:p>
      </dgm:t>
    </dgm:pt>
    <dgm:pt modelId="{09B402D3-1708-4CC2-B0C5-BE99B12325A1}" type="parTrans" cxnId="{1F72B484-05F7-42A5-BA21-DD12D4219B2F}">
      <dgm:prSet/>
      <dgm:spPr/>
      <dgm:t>
        <a:bodyPr/>
        <a:lstStyle/>
        <a:p>
          <a:endParaRPr lang="en-US"/>
        </a:p>
      </dgm:t>
    </dgm:pt>
    <dgm:pt modelId="{A050A84C-DA65-473B-A295-F1FB747C9350}" type="sibTrans" cxnId="{1F72B484-05F7-42A5-BA21-DD12D4219B2F}">
      <dgm:prSet/>
      <dgm:spPr/>
      <dgm:t>
        <a:bodyPr/>
        <a:lstStyle/>
        <a:p>
          <a:endParaRPr lang="en-US"/>
        </a:p>
      </dgm:t>
    </dgm:pt>
    <dgm:pt modelId="{8E7D4083-4604-489E-B345-3880F80AC67A}">
      <dgm:prSet phldrT="[Text]"/>
      <dgm:spPr/>
      <dgm:t>
        <a:bodyPr/>
        <a:lstStyle/>
        <a:p>
          <a:r>
            <a:rPr lang="en-US"/>
            <a:t>Response</a:t>
          </a:r>
        </a:p>
      </dgm:t>
    </dgm:pt>
    <dgm:pt modelId="{12DE97AE-00D6-45B6-ADA5-6E8FC2788830}" type="parTrans" cxnId="{DB6EA9B9-2C48-4CC4-A4E9-15BFCEC98958}">
      <dgm:prSet/>
      <dgm:spPr/>
      <dgm:t>
        <a:bodyPr/>
        <a:lstStyle/>
        <a:p>
          <a:endParaRPr lang="en-US"/>
        </a:p>
      </dgm:t>
    </dgm:pt>
    <dgm:pt modelId="{2C35BFFC-A939-4CB7-8998-90AE42A82550}" type="sibTrans" cxnId="{DB6EA9B9-2C48-4CC4-A4E9-15BFCEC98958}">
      <dgm:prSet/>
      <dgm:spPr/>
      <dgm:t>
        <a:bodyPr/>
        <a:lstStyle/>
        <a:p>
          <a:endParaRPr lang="en-US"/>
        </a:p>
      </dgm:t>
    </dgm:pt>
    <dgm:pt modelId="{73D2F923-2E33-4BBF-840C-087B1DDD6816}">
      <dgm:prSet phldrT="[Text]"/>
      <dgm:spPr/>
      <dgm:t>
        <a:bodyPr/>
        <a:lstStyle/>
        <a:p>
          <a:r>
            <a:rPr lang="en-US"/>
            <a:t>Assessment</a:t>
          </a:r>
        </a:p>
      </dgm:t>
    </dgm:pt>
    <dgm:pt modelId="{1099742A-7DFF-47A8-8453-44ED0E8747AA}" type="parTrans" cxnId="{9FCF72C2-BE1E-490F-B56B-AFCFB8DC266D}">
      <dgm:prSet/>
      <dgm:spPr/>
      <dgm:t>
        <a:bodyPr/>
        <a:lstStyle/>
        <a:p>
          <a:endParaRPr lang="en-US"/>
        </a:p>
      </dgm:t>
    </dgm:pt>
    <dgm:pt modelId="{B36C61B8-C557-4B58-AC89-F8F44C89F8D3}" type="sibTrans" cxnId="{9FCF72C2-BE1E-490F-B56B-AFCFB8DC266D}">
      <dgm:prSet/>
      <dgm:spPr/>
      <dgm:t>
        <a:bodyPr/>
        <a:lstStyle/>
        <a:p>
          <a:endParaRPr lang="en-US"/>
        </a:p>
      </dgm:t>
    </dgm:pt>
    <dgm:pt modelId="{927FF364-E5AD-4C2A-B694-5998CF9DF215}" type="pres">
      <dgm:prSet presAssocID="{610FC1AA-9141-4C7C-A39D-F92BA6CBD02B}" presName="CompostProcess" presStyleCnt="0">
        <dgm:presLayoutVars>
          <dgm:dir/>
          <dgm:resizeHandles val="exact"/>
        </dgm:presLayoutVars>
      </dgm:prSet>
      <dgm:spPr/>
    </dgm:pt>
    <dgm:pt modelId="{41335B86-7310-4DEA-8033-8FA8912B90F7}" type="pres">
      <dgm:prSet presAssocID="{610FC1AA-9141-4C7C-A39D-F92BA6CBD02B}" presName="arrow" presStyleLbl="bgShp" presStyleIdx="0" presStyleCnt="1"/>
      <dgm:spPr/>
    </dgm:pt>
    <dgm:pt modelId="{3425F62A-8DD8-4CBF-B6F9-20C441DA743E}" type="pres">
      <dgm:prSet presAssocID="{610FC1AA-9141-4C7C-A39D-F92BA6CBD02B}" presName="linearProcess" presStyleCnt="0"/>
      <dgm:spPr/>
    </dgm:pt>
    <dgm:pt modelId="{9DBC9097-A9AF-4DD1-BB34-DBA98BB6DBF9}" type="pres">
      <dgm:prSet presAssocID="{CB19B276-F4DD-4F03-B1FF-1F5394210E7D}" presName="textNode" presStyleLbl="node1" presStyleIdx="0" presStyleCnt="4">
        <dgm:presLayoutVars>
          <dgm:bulletEnabled val="1"/>
        </dgm:presLayoutVars>
      </dgm:prSet>
      <dgm:spPr/>
    </dgm:pt>
    <dgm:pt modelId="{C68304E4-77B8-4066-B28A-F2C7BD9CAFAE}" type="pres">
      <dgm:prSet presAssocID="{E0CB3FB1-6933-4A71-9EBC-232D308C2672}" presName="sibTrans" presStyleCnt="0"/>
      <dgm:spPr/>
    </dgm:pt>
    <dgm:pt modelId="{28FB27CA-8A70-4279-B49C-D18CED3AA39E}" type="pres">
      <dgm:prSet presAssocID="{266E1D0C-3E69-4114-8B12-BB2E46F9FF67}" presName="textNode" presStyleLbl="node1" presStyleIdx="1" presStyleCnt="4">
        <dgm:presLayoutVars>
          <dgm:bulletEnabled val="1"/>
        </dgm:presLayoutVars>
      </dgm:prSet>
      <dgm:spPr/>
    </dgm:pt>
    <dgm:pt modelId="{28D8A5AD-4F82-4540-8DF6-5DB133B7CAB3}" type="pres">
      <dgm:prSet presAssocID="{A050A84C-DA65-473B-A295-F1FB747C9350}" presName="sibTrans" presStyleCnt="0"/>
      <dgm:spPr/>
    </dgm:pt>
    <dgm:pt modelId="{6D940CA6-2B7E-45E4-B7DE-2BCEE2289E97}" type="pres">
      <dgm:prSet presAssocID="{8E7D4083-4604-489E-B345-3880F80AC67A}" presName="textNode" presStyleLbl="node1" presStyleIdx="2" presStyleCnt="4">
        <dgm:presLayoutVars>
          <dgm:bulletEnabled val="1"/>
        </dgm:presLayoutVars>
      </dgm:prSet>
      <dgm:spPr/>
    </dgm:pt>
    <dgm:pt modelId="{14AC31C2-16E5-4604-B498-0A44418B17CC}" type="pres">
      <dgm:prSet presAssocID="{2C35BFFC-A939-4CB7-8998-90AE42A82550}" presName="sibTrans" presStyleCnt="0"/>
      <dgm:spPr/>
    </dgm:pt>
    <dgm:pt modelId="{AA6596C9-B04E-4B6D-9B26-934FCFD5CE7A}" type="pres">
      <dgm:prSet presAssocID="{73D2F923-2E33-4BBF-840C-087B1DDD6816}" presName="textNode" presStyleLbl="node1" presStyleIdx="3" presStyleCnt="4">
        <dgm:presLayoutVars>
          <dgm:bulletEnabled val="1"/>
        </dgm:presLayoutVars>
      </dgm:prSet>
      <dgm:spPr/>
    </dgm:pt>
  </dgm:ptLst>
  <dgm:cxnLst>
    <dgm:cxn modelId="{DB7F7303-8492-4F4B-A04E-9D2E9B5DEA64}" type="presOf" srcId="{73D2F923-2E33-4BBF-840C-087B1DDD6816}" destId="{AA6596C9-B04E-4B6D-9B26-934FCFD5CE7A}" srcOrd="0" destOrd="0" presId="urn:microsoft.com/office/officeart/2005/8/layout/hProcess9#1"/>
    <dgm:cxn modelId="{5A6D122A-5664-4440-B8B9-975AFD178C88}" type="presOf" srcId="{CB19B276-F4DD-4F03-B1FF-1F5394210E7D}" destId="{9DBC9097-A9AF-4DD1-BB34-DBA98BB6DBF9}" srcOrd="0" destOrd="0" presId="urn:microsoft.com/office/officeart/2005/8/layout/hProcess9#1"/>
    <dgm:cxn modelId="{1F72B484-05F7-42A5-BA21-DD12D4219B2F}" srcId="{610FC1AA-9141-4C7C-A39D-F92BA6CBD02B}" destId="{266E1D0C-3E69-4114-8B12-BB2E46F9FF67}" srcOrd="1" destOrd="0" parTransId="{09B402D3-1708-4CC2-B0C5-BE99B12325A1}" sibTransId="{A050A84C-DA65-473B-A295-F1FB747C9350}"/>
    <dgm:cxn modelId="{9CE2BB87-13B1-4026-9697-82F79EA54E92}" type="presOf" srcId="{8E7D4083-4604-489E-B345-3880F80AC67A}" destId="{6D940CA6-2B7E-45E4-B7DE-2BCEE2289E97}" srcOrd="0" destOrd="0" presId="urn:microsoft.com/office/officeart/2005/8/layout/hProcess9#1"/>
    <dgm:cxn modelId="{FFC7FC88-007F-477C-B0F4-453DDB2AD8D3}" type="presOf" srcId="{610FC1AA-9141-4C7C-A39D-F92BA6CBD02B}" destId="{927FF364-E5AD-4C2A-B694-5998CF9DF215}" srcOrd="0" destOrd="0" presId="urn:microsoft.com/office/officeart/2005/8/layout/hProcess9#1"/>
    <dgm:cxn modelId="{37DF5C92-3EF8-4EBA-81FD-D84DD3F46115}" type="presOf" srcId="{266E1D0C-3E69-4114-8B12-BB2E46F9FF67}" destId="{28FB27CA-8A70-4279-B49C-D18CED3AA39E}" srcOrd="0" destOrd="0" presId="urn:microsoft.com/office/officeart/2005/8/layout/hProcess9#1"/>
    <dgm:cxn modelId="{51800B9D-BDA3-4D58-A7E4-4562B95DD85F}" srcId="{610FC1AA-9141-4C7C-A39D-F92BA6CBD02B}" destId="{CB19B276-F4DD-4F03-B1FF-1F5394210E7D}" srcOrd="0" destOrd="0" parTransId="{51C6BC2A-9156-4242-95FE-7203CCD61425}" sibTransId="{E0CB3FB1-6933-4A71-9EBC-232D308C2672}"/>
    <dgm:cxn modelId="{DB6EA9B9-2C48-4CC4-A4E9-15BFCEC98958}" srcId="{610FC1AA-9141-4C7C-A39D-F92BA6CBD02B}" destId="{8E7D4083-4604-489E-B345-3880F80AC67A}" srcOrd="2" destOrd="0" parTransId="{12DE97AE-00D6-45B6-ADA5-6E8FC2788830}" sibTransId="{2C35BFFC-A939-4CB7-8998-90AE42A82550}"/>
    <dgm:cxn modelId="{9FCF72C2-BE1E-490F-B56B-AFCFB8DC266D}" srcId="{610FC1AA-9141-4C7C-A39D-F92BA6CBD02B}" destId="{73D2F923-2E33-4BBF-840C-087B1DDD6816}" srcOrd="3" destOrd="0" parTransId="{1099742A-7DFF-47A8-8453-44ED0E8747AA}" sibTransId="{B36C61B8-C557-4B58-AC89-F8F44C89F8D3}"/>
    <dgm:cxn modelId="{BF758A11-36A2-4D99-B957-B4E19E7EEC8F}" type="presParOf" srcId="{927FF364-E5AD-4C2A-B694-5998CF9DF215}" destId="{41335B86-7310-4DEA-8033-8FA8912B90F7}" srcOrd="0" destOrd="0" presId="urn:microsoft.com/office/officeart/2005/8/layout/hProcess9#1"/>
    <dgm:cxn modelId="{18358E17-FC52-4137-BACF-E619597FCBA5}" type="presParOf" srcId="{927FF364-E5AD-4C2A-B694-5998CF9DF215}" destId="{3425F62A-8DD8-4CBF-B6F9-20C441DA743E}" srcOrd="1" destOrd="0" presId="urn:microsoft.com/office/officeart/2005/8/layout/hProcess9#1"/>
    <dgm:cxn modelId="{A39A7ECE-A8C8-4D0E-AC79-916AD0337037}" type="presParOf" srcId="{3425F62A-8DD8-4CBF-B6F9-20C441DA743E}" destId="{9DBC9097-A9AF-4DD1-BB34-DBA98BB6DBF9}" srcOrd="0" destOrd="0" presId="urn:microsoft.com/office/officeart/2005/8/layout/hProcess9#1"/>
    <dgm:cxn modelId="{7A65FC5F-5D89-4145-8AF9-6C1FAAA19392}" type="presParOf" srcId="{3425F62A-8DD8-4CBF-B6F9-20C441DA743E}" destId="{C68304E4-77B8-4066-B28A-F2C7BD9CAFAE}" srcOrd="1" destOrd="0" presId="urn:microsoft.com/office/officeart/2005/8/layout/hProcess9#1"/>
    <dgm:cxn modelId="{40D121FD-35C4-4FB5-A611-F1B91137B447}" type="presParOf" srcId="{3425F62A-8DD8-4CBF-B6F9-20C441DA743E}" destId="{28FB27CA-8A70-4279-B49C-D18CED3AA39E}" srcOrd="2" destOrd="0" presId="urn:microsoft.com/office/officeart/2005/8/layout/hProcess9#1"/>
    <dgm:cxn modelId="{EFFA55AD-55BE-4085-8100-5046AB55D616}" type="presParOf" srcId="{3425F62A-8DD8-4CBF-B6F9-20C441DA743E}" destId="{28D8A5AD-4F82-4540-8DF6-5DB133B7CAB3}" srcOrd="3" destOrd="0" presId="urn:microsoft.com/office/officeart/2005/8/layout/hProcess9#1"/>
    <dgm:cxn modelId="{0118E9F3-3867-40A1-A99C-5A7C7DD209A9}" type="presParOf" srcId="{3425F62A-8DD8-4CBF-B6F9-20C441DA743E}" destId="{6D940CA6-2B7E-45E4-B7DE-2BCEE2289E97}" srcOrd="4" destOrd="0" presId="urn:microsoft.com/office/officeart/2005/8/layout/hProcess9#1"/>
    <dgm:cxn modelId="{0148F297-99AF-42EC-86DF-03F980946703}" type="presParOf" srcId="{3425F62A-8DD8-4CBF-B6F9-20C441DA743E}" destId="{14AC31C2-16E5-4604-B498-0A44418B17CC}" srcOrd="5" destOrd="0" presId="urn:microsoft.com/office/officeart/2005/8/layout/hProcess9#1"/>
    <dgm:cxn modelId="{01871126-08BF-44A7-B914-EDA4F7B3F04F}" type="presParOf" srcId="{3425F62A-8DD8-4CBF-B6F9-20C441DA743E}" destId="{AA6596C9-B04E-4B6D-9B26-934FCFD5CE7A}" srcOrd="6" destOrd="0" presId="urn:microsoft.com/office/officeart/2005/8/layout/hProcess9#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D17C86-69A5-4928-A955-81B363A73373}">
      <dsp:nvSpPr>
        <dsp:cNvPr id="0" name=""/>
        <dsp:cNvSpPr/>
      </dsp:nvSpPr>
      <dsp:spPr>
        <a:xfrm>
          <a:off x="1391682" y="395494"/>
          <a:ext cx="2634257" cy="2634257"/>
        </a:xfrm>
        <a:prstGeom prst="blockArc">
          <a:avLst>
            <a:gd name="adj1" fmla="val 11880000"/>
            <a:gd name="adj2" fmla="val 16200000"/>
            <a:gd name="adj3" fmla="val 4644"/>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7479CF2-44A7-44A5-B806-80D09E598D93}">
      <dsp:nvSpPr>
        <dsp:cNvPr id="0" name=""/>
        <dsp:cNvSpPr/>
      </dsp:nvSpPr>
      <dsp:spPr>
        <a:xfrm>
          <a:off x="1391682" y="395494"/>
          <a:ext cx="2634257" cy="2634257"/>
        </a:xfrm>
        <a:prstGeom prst="blockArc">
          <a:avLst>
            <a:gd name="adj1" fmla="val 7560000"/>
            <a:gd name="adj2" fmla="val 11880000"/>
            <a:gd name="adj3" fmla="val 4644"/>
          </a:avLst>
        </a:prstGeom>
        <a:solidFill>
          <a:schemeClr val="accent3">
            <a:hueOff val="2032949"/>
            <a:satOff val="75000"/>
            <a:lumOff val="-1102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BBB4ACA-BAFC-4C41-8577-0278E56E778E}">
      <dsp:nvSpPr>
        <dsp:cNvPr id="0" name=""/>
        <dsp:cNvSpPr/>
      </dsp:nvSpPr>
      <dsp:spPr>
        <a:xfrm>
          <a:off x="1391682" y="395494"/>
          <a:ext cx="2634257" cy="2634257"/>
        </a:xfrm>
        <a:prstGeom prst="blockArc">
          <a:avLst>
            <a:gd name="adj1" fmla="val 3240000"/>
            <a:gd name="adj2" fmla="val 7560000"/>
            <a:gd name="adj3" fmla="val 4644"/>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7C79E41-78ED-4D43-9625-48F0E76BA539}">
      <dsp:nvSpPr>
        <dsp:cNvPr id="0" name=""/>
        <dsp:cNvSpPr/>
      </dsp:nvSpPr>
      <dsp:spPr>
        <a:xfrm>
          <a:off x="1391682" y="395494"/>
          <a:ext cx="2634257" cy="2634257"/>
        </a:xfrm>
        <a:prstGeom prst="blockArc">
          <a:avLst>
            <a:gd name="adj1" fmla="val 20520000"/>
            <a:gd name="adj2" fmla="val 3240000"/>
            <a:gd name="adj3" fmla="val 4644"/>
          </a:avLst>
        </a:prstGeom>
        <a:solidFill>
          <a:schemeClr val="accent3">
            <a:hueOff val="677650"/>
            <a:satOff val="25000"/>
            <a:lumOff val="-367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009D8DB-0B24-4511-AF46-244A508B68CB}">
      <dsp:nvSpPr>
        <dsp:cNvPr id="0" name=""/>
        <dsp:cNvSpPr/>
      </dsp:nvSpPr>
      <dsp:spPr>
        <a:xfrm>
          <a:off x="1391682" y="395494"/>
          <a:ext cx="2634257" cy="2634257"/>
        </a:xfrm>
        <a:prstGeom prst="blockArc">
          <a:avLst>
            <a:gd name="adj1" fmla="val 16200000"/>
            <a:gd name="adj2" fmla="val 20520000"/>
            <a:gd name="adj3" fmla="val 4644"/>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2AF83CD-A50F-48CE-9FF0-B482E90689EF}">
      <dsp:nvSpPr>
        <dsp:cNvPr id="0" name=""/>
        <dsp:cNvSpPr/>
      </dsp:nvSpPr>
      <dsp:spPr>
        <a:xfrm>
          <a:off x="2219849" y="1234941"/>
          <a:ext cx="977922" cy="95536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kern="1200">
              <a:latin typeface="Times New Roman" pitchFamily="18" charset="0"/>
              <a:cs typeface="Times New Roman" pitchFamily="18" charset="0"/>
            </a:rPr>
            <a:t>Code of Ethics</a:t>
          </a:r>
        </a:p>
      </dsp:txBody>
      <dsp:txXfrm>
        <a:off x="2363062" y="1374851"/>
        <a:ext cx="691496" cy="675542"/>
      </dsp:txXfrm>
    </dsp:sp>
    <dsp:sp modelId="{FE0B906E-EF98-4291-A164-CAE45686F699}">
      <dsp:nvSpPr>
        <dsp:cNvPr id="0" name=""/>
        <dsp:cNvSpPr/>
      </dsp:nvSpPr>
      <dsp:spPr>
        <a:xfrm>
          <a:off x="2284070" y="1335"/>
          <a:ext cx="849481" cy="849481"/>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Collect information and intelligence</a:t>
          </a:r>
        </a:p>
      </dsp:txBody>
      <dsp:txXfrm>
        <a:off x="2408474" y="125739"/>
        <a:ext cx="600673" cy="600673"/>
      </dsp:txXfrm>
    </dsp:sp>
    <dsp:sp modelId="{2D0DA98D-F650-43F2-B054-110E5E5F3BD3}">
      <dsp:nvSpPr>
        <dsp:cNvPr id="0" name=""/>
        <dsp:cNvSpPr/>
      </dsp:nvSpPr>
      <dsp:spPr>
        <a:xfrm>
          <a:off x="3391096" y="822580"/>
          <a:ext cx="1082587" cy="984956"/>
        </a:xfrm>
        <a:prstGeom prst="ellipse">
          <a:avLst/>
        </a:prstGeom>
        <a:solidFill>
          <a:schemeClr val="accent3">
            <a:hueOff val="677650"/>
            <a:satOff val="25000"/>
            <a:lumOff val="-36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Analyzing Risk and potential threats  and develop the effective strategy</a:t>
          </a:r>
        </a:p>
      </dsp:txBody>
      <dsp:txXfrm>
        <a:off x="3549637" y="966823"/>
        <a:ext cx="765505" cy="696470"/>
      </dsp:txXfrm>
    </dsp:sp>
    <dsp:sp modelId="{006BBF9E-5971-4EF1-B82B-68B5092977BA}">
      <dsp:nvSpPr>
        <dsp:cNvPr id="0" name=""/>
        <dsp:cNvSpPr/>
      </dsp:nvSpPr>
      <dsp:spPr>
        <a:xfrm>
          <a:off x="3040283" y="2328721"/>
          <a:ext cx="849481" cy="849481"/>
        </a:xfrm>
        <a:prstGeom prst="ellipse">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Considering the effective policy and power</a:t>
          </a:r>
        </a:p>
      </dsp:txBody>
      <dsp:txXfrm>
        <a:off x="3164687" y="2453125"/>
        <a:ext cx="600673" cy="600673"/>
      </dsp:txXfrm>
    </dsp:sp>
    <dsp:sp modelId="{0381ADBE-C9D9-44E5-9080-B26B1F84A1CD}">
      <dsp:nvSpPr>
        <dsp:cNvPr id="0" name=""/>
        <dsp:cNvSpPr/>
      </dsp:nvSpPr>
      <dsp:spPr>
        <a:xfrm>
          <a:off x="1527856" y="2328721"/>
          <a:ext cx="849481" cy="849481"/>
        </a:xfrm>
        <a:prstGeom prst="ellipse">
          <a:avLst/>
        </a:prstGeom>
        <a:solidFill>
          <a:schemeClr val="accent3">
            <a:hueOff val="2032949"/>
            <a:satOff val="75000"/>
            <a:lumOff val="-1102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Identify the contingencies </a:t>
          </a:r>
        </a:p>
      </dsp:txBody>
      <dsp:txXfrm>
        <a:off x="1652260" y="2453125"/>
        <a:ext cx="600673" cy="600673"/>
      </dsp:txXfrm>
    </dsp:sp>
    <dsp:sp modelId="{F87F8314-BE56-4791-BA22-CDA90D4E94F2}">
      <dsp:nvSpPr>
        <dsp:cNvPr id="0" name=""/>
        <dsp:cNvSpPr/>
      </dsp:nvSpPr>
      <dsp:spPr>
        <a:xfrm>
          <a:off x="1012716" y="790682"/>
          <a:ext cx="945030" cy="1048752"/>
        </a:xfrm>
        <a:prstGeom prst="ellips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itchFamily="18" charset="0"/>
              <a:cs typeface="Times New Roman" pitchFamily="18" charset="0"/>
            </a:rPr>
            <a:t>Take the reuqired action plan and review th eprocess</a:t>
          </a:r>
        </a:p>
      </dsp:txBody>
      <dsp:txXfrm>
        <a:off x="1151112" y="944268"/>
        <a:ext cx="668238" cy="7415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335B86-7310-4DEA-8033-8FA8912B90F7}">
      <dsp:nvSpPr>
        <dsp:cNvPr id="0" name=""/>
        <dsp:cNvSpPr/>
      </dsp:nvSpPr>
      <dsp:spPr>
        <a:xfrm>
          <a:off x="357253" y="0"/>
          <a:ext cx="4048878" cy="1148316"/>
        </a:xfrm>
        <a:prstGeom prst="rightArrow">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DBC9097-A9AF-4DD1-BB34-DBA98BB6DBF9}">
      <dsp:nvSpPr>
        <dsp:cNvPr id="0" name=""/>
        <dsp:cNvSpPr/>
      </dsp:nvSpPr>
      <dsp:spPr>
        <a:xfrm>
          <a:off x="1889" y="344494"/>
          <a:ext cx="1133906" cy="459326"/>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Scanning </a:t>
          </a:r>
        </a:p>
      </dsp:txBody>
      <dsp:txXfrm>
        <a:off x="24311" y="366916"/>
        <a:ext cx="1089062" cy="414482"/>
      </dsp:txXfrm>
    </dsp:sp>
    <dsp:sp modelId="{28FB27CA-8A70-4279-B49C-D18CED3AA39E}">
      <dsp:nvSpPr>
        <dsp:cNvPr id="0" name=""/>
        <dsp:cNvSpPr/>
      </dsp:nvSpPr>
      <dsp:spPr>
        <a:xfrm>
          <a:off x="1210456" y="344494"/>
          <a:ext cx="1133906" cy="459326"/>
        </a:xfrm>
        <a:prstGeom prst="round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Analysis</a:t>
          </a:r>
        </a:p>
      </dsp:txBody>
      <dsp:txXfrm>
        <a:off x="1232878" y="366916"/>
        <a:ext cx="1089062" cy="414482"/>
      </dsp:txXfrm>
    </dsp:sp>
    <dsp:sp modelId="{6D940CA6-2B7E-45E4-B7DE-2BCEE2289E97}">
      <dsp:nvSpPr>
        <dsp:cNvPr id="0" name=""/>
        <dsp:cNvSpPr/>
      </dsp:nvSpPr>
      <dsp:spPr>
        <a:xfrm>
          <a:off x="2419023" y="344494"/>
          <a:ext cx="1133906" cy="459326"/>
        </a:xfrm>
        <a:prstGeom prst="round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Response</a:t>
          </a:r>
        </a:p>
      </dsp:txBody>
      <dsp:txXfrm>
        <a:off x="2441445" y="366916"/>
        <a:ext cx="1089062" cy="414482"/>
      </dsp:txXfrm>
    </dsp:sp>
    <dsp:sp modelId="{AA6596C9-B04E-4B6D-9B26-934FCFD5CE7A}">
      <dsp:nvSpPr>
        <dsp:cNvPr id="0" name=""/>
        <dsp:cNvSpPr/>
      </dsp:nvSpPr>
      <dsp:spPr>
        <a:xfrm>
          <a:off x="3627589" y="344494"/>
          <a:ext cx="1133906" cy="459326"/>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t>Assessment</a:t>
          </a:r>
        </a:p>
      </dsp:txBody>
      <dsp:txXfrm>
        <a:off x="3650011" y="366916"/>
        <a:ext cx="1089062" cy="414482"/>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1">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vertAlign" val="mid"/>
      <dgm:param type="horzAlign" val="ctr"/>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F1AC43AD-1F8E-4987-ACEC-FF1647182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2864</Words>
  <Characters>16330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Rohid Hussain</cp:lastModifiedBy>
  <cp:revision>14</cp:revision>
  <dcterms:created xsi:type="dcterms:W3CDTF">2022-06-15T21:10:00Z</dcterms:created>
  <dcterms:modified xsi:type="dcterms:W3CDTF">2022-06-17T19:06:00Z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1033-11.2.0.11156</vt:lpwstr>
  </property>
  <property fmtid="{D5CDD505-2E9C-101B-9397-08002B2CF9AE}" pid="3" name="ICV">
    <vt:lpwstr>BAA05AEF79254CA8B3557F2AAA190BB1</vt:lpwstr>
  </property>
</Properties>
</file>