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5016B62" w:rsidR="003C154B" w:rsidRPr="00753CE4" w:rsidRDefault="00442296" w:rsidP="00945CEC">
            <w:pPr>
              <w:rPr>
                <w:sz w:val="28"/>
                <w:szCs w:val="28"/>
              </w:rPr>
            </w:pPr>
            <w:r>
              <w:rPr>
                <w:sz w:val="28"/>
                <w:szCs w:val="28"/>
              </w:rPr>
              <w:t xml:space="preserve">Dearna Havard </w:t>
            </w:r>
            <w:r w:rsidR="009047AE">
              <w:rPr>
                <w:sz w:val="28"/>
                <w:szCs w:val="28"/>
              </w:rPr>
              <w:t xml:space="preserve">- </w:t>
            </w:r>
            <w:r>
              <w:rPr>
                <w:sz w:val="28"/>
                <w:szCs w:val="28"/>
              </w:rPr>
              <w:t>2100056</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5108072A" w:rsidR="009648D6" w:rsidRPr="009047AE" w:rsidRDefault="00442296" w:rsidP="00945CEC">
            <w:pPr>
              <w:rPr>
                <w:iCs/>
              </w:rPr>
            </w:pPr>
            <w:r w:rsidRPr="009047AE">
              <w:rPr>
                <w:iCs/>
              </w:rPr>
              <w:t>Judith Marshall</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57344DA5" w:rsidR="00F80900" w:rsidRPr="00D95451" w:rsidRDefault="00442296" w:rsidP="00C15547">
            <w:pPr>
              <w:rPr>
                <w:rFonts w:ascii="Arial" w:hAnsi="Arial" w:cs="Arial"/>
                <w:b/>
                <w:bCs/>
                <w:sz w:val="20"/>
                <w:szCs w:val="20"/>
              </w:rPr>
            </w:pPr>
            <w:r w:rsidRPr="00D95451">
              <w:rPr>
                <w:rFonts w:ascii="Arial" w:hAnsi="Arial" w:cs="Arial"/>
                <w:b/>
                <w:bCs/>
                <w:sz w:val="20"/>
                <w:szCs w:val="20"/>
              </w:rPr>
              <w:t>yes</w:t>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00573DD0" w:rsidR="002F3741" w:rsidRPr="00D95451" w:rsidRDefault="00D95451" w:rsidP="00F73A03">
            <w:pPr>
              <w:rPr>
                <w:rFonts w:ascii="Arial" w:hAnsi="Arial" w:cs="Arial"/>
                <w:b/>
                <w:bCs/>
                <w:sz w:val="20"/>
                <w:szCs w:val="20"/>
              </w:rPr>
            </w:pPr>
            <w:r>
              <w:rPr>
                <w:rFonts w:ascii="Arial" w:hAnsi="Arial" w:cs="Arial"/>
                <w:b/>
                <w:bCs/>
                <w:sz w:val="20"/>
                <w:szCs w:val="20"/>
              </w:rPr>
              <w:t>Y</w:t>
            </w:r>
            <w:r w:rsidR="00442296" w:rsidRPr="00D95451">
              <w:rPr>
                <w:rFonts w:ascii="Arial" w:hAnsi="Arial" w:cs="Arial"/>
                <w:b/>
                <w:bCs/>
                <w:sz w:val="20"/>
                <w:szCs w:val="20"/>
              </w:rPr>
              <w:t>es</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2F73D24D" w14:textId="77777777" w:rsidR="0031057E" w:rsidRDefault="00DA7F18" w:rsidP="00F73A03">
            <w:pPr>
              <w:rPr>
                <w:rFonts w:ascii="Arial" w:hAnsi="Arial" w:cs="Arial"/>
                <w:sz w:val="20"/>
                <w:szCs w:val="20"/>
              </w:rPr>
            </w:pPr>
            <w:r>
              <w:rPr>
                <w:rFonts w:ascii="Arial" w:hAnsi="Arial" w:cs="Arial"/>
                <w:sz w:val="20"/>
                <w:szCs w:val="20"/>
              </w:rPr>
              <w:t>Focus Groups</w:t>
            </w:r>
          </w:p>
          <w:p w14:paraId="75B797CC" w14:textId="56CBC999" w:rsidR="00442296" w:rsidRPr="00D95451" w:rsidRDefault="00442296" w:rsidP="00F73A03">
            <w:pPr>
              <w:rPr>
                <w:rFonts w:ascii="Arial" w:hAnsi="Arial" w:cs="Arial"/>
                <w:b/>
                <w:bCs/>
                <w:sz w:val="20"/>
                <w:szCs w:val="20"/>
              </w:rPr>
            </w:pPr>
            <w:r w:rsidRPr="00D95451">
              <w:rPr>
                <w:rFonts w:ascii="Arial" w:hAnsi="Arial" w:cs="Arial"/>
                <w:b/>
                <w:bCs/>
                <w:sz w:val="20"/>
                <w:szCs w:val="20"/>
              </w:rPr>
              <w:t>Yes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41D31541" w14:textId="77777777" w:rsidR="00442296" w:rsidRDefault="00442296" w:rsidP="00C15547">
            <w:pPr>
              <w:rPr>
                <w:rFonts w:ascii="Arial" w:hAnsi="Arial" w:cs="Arial"/>
                <w:sz w:val="20"/>
              </w:rPr>
            </w:pPr>
          </w:p>
          <w:p w14:paraId="02690306" w14:textId="63F01E96" w:rsidR="00A5268F" w:rsidRDefault="009047AE" w:rsidP="00C15547">
            <w:pPr>
              <w:rPr>
                <w:rStyle w:val="eop"/>
                <w:color w:val="374151"/>
                <w:shd w:val="clear" w:color="auto" w:fill="FFFFFF"/>
              </w:rPr>
            </w:pPr>
            <w:r>
              <w:rPr>
                <w:rStyle w:val="normaltextrun"/>
                <w:color w:val="374151"/>
                <w:shd w:val="clear" w:color="auto" w:fill="FFFFFF"/>
              </w:rPr>
              <w:t>Examining the Influence of Media Portrayals on Public Perceptions of Dyslexia: A Social Psychological Perspective.</w:t>
            </w:r>
            <w:r>
              <w:rPr>
                <w:rStyle w:val="eop"/>
                <w:color w:val="374151"/>
                <w:shd w:val="clear" w:color="auto" w:fill="FFFFFF"/>
              </w:rPr>
              <w:t> </w:t>
            </w:r>
          </w:p>
          <w:p w14:paraId="60C022C5" w14:textId="77777777" w:rsidR="009047AE" w:rsidRDefault="009047AE"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29233E84" w14:textId="77777777" w:rsidR="00D30E38" w:rsidRPr="00D30E38" w:rsidRDefault="00D30E38" w:rsidP="00D95451">
            <w:pPr>
              <w:pStyle w:val="NormalWeb"/>
              <w:spacing w:line="480" w:lineRule="auto"/>
              <w:rPr>
                <w:color w:val="0E101A"/>
              </w:rPr>
            </w:pPr>
            <w:r w:rsidRPr="00D30E38">
              <w:rPr>
                <w:color w:val="0E101A"/>
              </w:rPr>
              <w:t>The study aims to investigate the impact of media portrayals on public perceptions of dyslexia from a social-psychological perspective. Dyslexia, a neurodevelopmental disorder affecting reading and writing skills, often faces misconceptions and stigmatisation (Peterson et al., 2018). Understanding how media representations shape public attitudes towards dyslexia is crucial for reducing stigma, promoting inclusivity, and fostering supportive environments (Lindsay et al., 2021).</w:t>
            </w:r>
          </w:p>
          <w:p w14:paraId="48220F11" w14:textId="77777777" w:rsidR="00D30E38" w:rsidRPr="00D30E38" w:rsidRDefault="00D30E38" w:rsidP="00D95451">
            <w:pPr>
              <w:pStyle w:val="NormalWeb"/>
              <w:spacing w:line="480" w:lineRule="auto"/>
              <w:rPr>
                <w:color w:val="0E101A"/>
              </w:rPr>
            </w:pPr>
            <w:r w:rsidRPr="00D30E38">
              <w:rPr>
                <w:color w:val="0E101A"/>
              </w:rPr>
              <w:t>The cultivation theory posits that prolonged exposure to media content shapes individuals' perceptions of reality, influencing shared beliefs and attitudes (Gerbner et al., 2002). While empirical research has explored media effects on perceptions of disabilities and mental health, dyslexia has received limited attention (</w:t>
            </w:r>
            <w:proofErr w:type="spellStart"/>
            <w:r w:rsidRPr="00D30E38">
              <w:rPr>
                <w:color w:val="0E101A"/>
              </w:rPr>
              <w:t>Agerström</w:t>
            </w:r>
            <w:proofErr w:type="spellEnd"/>
            <w:r w:rsidRPr="00D30E38">
              <w:rPr>
                <w:color w:val="0E101A"/>
              </w:rPr>
              <w:t xml:space="preserve"> &amp; Carlsson, 2017; </w:t>
            </w:r>
            <w:proofErr w:type="spellStart"/>
            <w:r w:rsidRPr="00D30E38">
              <w:rPr>
                <w:color w:val="0E101A"/>
              </w:rPr>
              <w:t>Thornborrow</w:t>
            </w:r>
            <w:proofErr w:type="spellEnd"/>
            <w:r w:rsidRPr="00D30E38">
              <w:rPr>
                <w:color w:val="0E101A"/>
              </w:rPr>
              <w:t xml:space="preserve"> &amp; Morris, 2020). This study aims to bridge this gap by investigating the influence of media portrayals on the perception of people with dyslexia.</w:t>
            </w:r>
          </w:p>
          <w:p w14:paraId="5DA8D318" w14:textId="77777777" w:rsidR="00D30E38" w:rsidRPr="00D30E38" w:rsidRDefault="00D30E38" w:rsidP="00D95451">
            <w:pPr>
              <w:pStyle w:val="NormalWeb"/>
              <w:spacing w:line="480" w:lineRule="auto"/>
              <w:rPr>
                <w:color w:val="0E101A"/>
              </w:rPr>
            </w:pPr>
            <w:r w:rsidRPr="00D30E38">
              <w:rPr>
                <w:color w:val="0E101A"/>
              </w:rPr>
              <w:t xml:space="preserve">Relevant social theories, such as social identity theory and social constructionist perspectives, provide a foundation for understanding how media representations interact with social concepts (Tajfel &amp; Turner, 1979; Berger &amp; </w:t>
            </w:r>
            <w:proofErr w:type="spellStart"/>
            <w:r w:rsidRPr="00D30E38">
              <w:rPr>
                <w:color w:val="0E101A"/>
              </w:rPr>
              <w:t>Luckmann</w:t>
            </w:r>
            <w:proofErr w:type="spellEnd"/>
            <w:r w:rsidRPr="00D30E38">
              <w:rPr>
                <w:color w:val="0E101A"/>
              </w:rPr>
              <w:t>, 1966). These theories highlight the role of social categorisation, meaning-making, and societal attitudes in the perception of people with dyslexia.</w:t>
            </w:r>
          </w:p>
          <w:p w14:paraId="76BE96A4" w14:textId="30B72A58" w:rsidR="00DD5303" w:rsidRDefault="00D30E38" w:rsidP="00D95451">
            <w:pPr>
              <w:pStyle w:val="NormalWeb"/>
              <w:spacing w:before="0" w:beforeAutospacing="0" w:after="0" w:afterAutospacing="0" w:line="480" w:lineRule="auto"/>
              <w:rPr>
                <w:color w:val="0E101A"/>
              </w:rPr>
            </w:pPr>
            <w:r w:rsidRPr="00D30E38">
              <w:rPr>
                <w:color w:val="0E101A"/>
              </w:rPr>
              <w:t>To date, empirical research on the influence of media portrayals on individuals with dyslexia is scarce (Brown &amp; Hoole, 2018; Bohnenberger et al., 2019; Keil et al., 2020; Durkin et al., 2020; Carroll et al., 2021). This study can contribute to the existing literature by examining this relationship and filling gaps in understanding the media's influence on the perception of people with dyslexia. Moreover, it can shed light on potential areas for intervention and awareness campaigns to promote accurate and supportive attitudes towards dyslexia.</w:t>
            </w:r>
          </w:p>
          <w:p w14:paraId="2CBC9021" w14:textId="77777777" w:rsidR="00D95451" w:rsidRDefault="00D95451" w:rsidP="00DD5303">
            <w:pPr>
              <w:pStyle w:val="NormalWeb"/>
              <w:spacing w:before="0" w:beforeAutospacing="0" w:after="0" w:afterAutospacing="0"/>
              <w:rPr>
                <w:color w:val="0E101A"/>
              </w:rPr>
            </w:pPr>
          </w:p>
          <w:p w14:paraId="56BE7841" w14:textId="77777777" w:rsidR="00D95451" w:rsidRDefault="00D95451" w:rsidP="00DD5303">
            <w:pPr>
              <w:pStyle w:val="NormalWeb"/>
              <w:spacing w:before="0" w:beforeAutospacing="0" w:after="0" w:afterAutospacing="0"/>
              <w:rPr>
                <w:color w:val="0E101A"/>
              </w:rPr>
            </w:pPr>
          </w:p>
          <w:p w14:paraId="0ED2E776" w14:textId="77777777" w:rsidR="00D95451" w:rsidRDefault="00D95451" w:rsidP="00DD5303">
            <w:pPr>
              <w:pStyle w:val="NormalWeb"/>
              <w:spacing w:before="0" w:beforeAutospacing="0" w:after="0" w:afterAutospacing="0"/>
              <w:rPr>
                <w:color w:val="0E101A"/>
              </w:rPr>
            </w:pPr>
          </w:p>
          <w:p w14:paraId="23886588" w14:textId="64182F13" w:rsidR="00DD5303" w:rsidRDefault="00DD5303" w:rsidP="00DD5303">
            <w:pPr>
              <w:pStyle w:val="NormalWeb"/>
              <w:spacing w:before="0" w:beforeAutospacing="0" w:after="0" w:afterAutospacing="0"/>
              <w:rPr>
                <w:color w:val="0E101A"/>
              </w:rPr>
            </w:pPr>
            <w:r>
              <w:rPr>
                <w:color w:val="0E101A"/>
              </w:rPr>
              <w:lastRenderedPageBreak/>
              <w:t>References:</w:t>
            </w:r>
          </w:p>
          <w:p w14:paraId="77F0AC28" w14:textId="77777777" w:rsidR="00346FD5" w:rsidRDefault="00346FD5" w:rsidP="00DD5303">
            <w:pPr>
              <w:pStyle w:val="NormalWeb"/>
              <w:spacing w:before="0" w:beforeAutospacing="0" w:after="0" w:afterAutospacing="0"/>
              <w:rPr>
                <w:color w:val="0E101A"/>
              </w:rPr>
            </w:pPr>
          </w:p>
          <w:p w14:paraId="118A519B"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proofErr w:type="spellStart"/>
            <w:r w:rsidRPr="00D95451">
              <w:rPr>
                <w:rStyle w:val="normaltextrun"/>
                <w:rFonts w:ascii="Arial" w:hAnsi="Arial" w:cs="Arial"/>
              </w:rPr>
              <w:t>Agerström</w:t>
            </w:r>
            <w:proofErr w:type="spellEnd"/>
            <w:r w:rsidRPr="00D95451">
              <w:rPr>
                <w:rStyle w:val="normaltextrun"/>
                <w:rFonts w:ascii="Arial" w:hAnsi="Arial" w:cs="Arial"/>
              </w:rPr>
              <w:t>, J., &amp; Carlsson, R. (2017). The effects of media literacy interventions on reducing prejudice and stereotyping: A meta-analysis. Journal of Communication, 67(4), 571-590. </w:t>
            </w:r>
            <w:hyperlink r:id="rId9" w:tgtFrame="_blank" w:history="1">
              <w:r w:rsidRPr="00D95451">
                <w:rPr>
                  <w:rStyle w:val="normaltextrun"/>
                  <w:rFonts w:ascii="Arial" w:hAnsi="Arial" w:cs="Arial"/>
                  <w:u w:val="single"/>
                </w:rPr>
                <w:t>https://doi.org/10.1111/jcom.12313</w:t>
              </w:r>
            </w:hyperlink>
            <w:r w:rsidRPr="00D95451">
              <w:rPr>
                <w:rStyle w:val="eop"/>
                <w:rFonts w:ascii="Arial" w:hAnsi="Arial" w:cs="Arial"/>
              </w:rPr>
              <w:t> </w:t>
            </w:r>
          </w:p>
          <w:p w14:paraId="026964D4"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 xml:space="preserve">Berger, P. L., &amp; </w:t>
            </w:r>
            <w:proofErr w:type="spellStart"/>
            <w:r w:rsidRPr="00D95451">
              <w:rPr>
                <w:rStyle w:val="normaltextrun"/>
                <w:rFonts w:ascii="Arial" w:hAnsi="Arial" w:cs="Arial"/>
              </w:rPr>
              <w:t>Luckmann</w:t>
            </w:r>
            <w:proofErr w:type="spellEnd"/>
            <w:r w:rsidRPr="00D95451">
              <w:rPr>
                <w:rStyle w:val="normaltextrun"/>
                <w:rFonts w:ascii="Arial" w:hAnsi="Arial" w:cs="Arial"/>
              </w:rPr>
              <w:t>, T. (1966). The social construction of reality: A treatise in the sociology of knowledge. Doubleday.</w:t>
            </w:r>
            <w:r w:rsidRPr="00D95451">
              <w:rPr>
                <w:rStyle w:val="eop"/>
                <w:rFonts w:ascii="Arial" w:hAnsi="Arial" w:cs="Arial"/>
              </w:rPr>
              <w:t> </w:t>
            </w:r>
          </w:p>
          <w:p w14:paraId="204DD15D"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 xml:space="preserve">Bohnenberger, J., Kohn, J., Holler, J., Mann, L., &amp; </w:t>
            </w:r>
            <w:proofErr w:type="spellStart"/>
            <w:r w:rsidRPr="00D95451">
              <w:rPr>
                <w:rStyle w:val="normaltextrun"/>
                <w:rFonts w:ascii="Arial" w:hAnsi="Arial" w:cs="Arial"/>
              </w:rPr>
              <w:t>Hutzler</w:t>
            </w:r>
            <w:proofErr w:type="spellEnd"/>
            <w:r w:rsidRPr="00D95451">
              <w:rPr>
                <w:rStyle w:val="normaltextrun"/>
                <w:rFonts w:ascii="Arial" w:hAnsi="Arial" w:cs="Arial"/>
              </w:rPr>
              <w:t>, F. (2019). Understanding dyslexia by the book: How science is represented in children's books on dyslexia. Dyslexia, 25(2), 152-170. </w:t>
            </w:r>
            <w:hyperlink r:id="rId10" w:tgtFrame="_blank" w:history="1">
              <w:r w:rsidRPr="00D95451">
                <w:rPr>
                  <w:rStyle w:val="normaltextrun"/>
                  <w:rFonts w:ascii="Arial" w:hAnsi="Arial" w:cs="Arial"/>
                  <w:u w:val="single"/>
                </w:rPr>
                <w:t>https://doi.org/10.1002/dys.1612</w:t>
              </w:r>
            </w:hyperlink>
            <w:r w:rsidRPr="00D95451">
              <w:rPr>
                <w:rStyle w:val="eop"/>
                <w:rFonts w:ascii="Arial" w:hAnsi="Arial" w:cs="Arial"/>
              </w:rPr>
              <w:t> </w:t>
            </w:r>
          </w:p>
          <w:p w14:paraId="6465A70A"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Brown, H. M., &amp; Hoole, E. (2018). Understanding dyslexia through metaphor: A social model analysis of UK newspapers. Dyslexia, 24(4), 302-321. </w:t>
            </w:r>
            <w:hyperlink r:id="rId11" w:tgtFrame="_blank" w:history="1">
              <w:r w:rsidRPr="00D95451">
                <w:rPr>
                  <w:rStyle w:val="normaltextrun"/>
                  <w:rFonts w:ascii="Arial" w:hAnsi="Arial" w:cs="Arial"/>
                  <w:u w:val="single"/>
                </w:rPr>
                <w:t>https://doi.org/10.1002/dys.1607</w:t>
              </w:r>
            </w:hyperlink>
            <w:r w:rsidRPr="00D95451">
              <w:rPr>
                <w:rStyle w:val="eop"/>
                <w:rFonts w:ascii="Arial" w:hAnsi="Arial" w:cs="Arial"/>
              </w:rPr>
              <w:t> </w:t>
            </w:r>
          </w:p>
          <w:p w14:paraId="2AC61BB4"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Carroll, J. M., Mundy, E., White, M., McCormack, P., &amp; Keeble, S. (2021). Public understanding and portrayal of dyslexia in the UK: An analysis of national and regional newspaper coverage. Annals of Dyslexia, 71(1), 33-57. </w:t>
            </w:r>
            <w:hyperlink r:id="rId12" w:tgtFrame="_blank" w:history="1">
              <w:r w:rsidRPr="00D95451">
                <w:rPr>
                  <w:rStyle w:val="normaltextrun"/>
                  <w:rFonts w:ascii="Arial" w:hAnsi="Arial" w:cs="Arial"/>
                  <w:u w:val="single"/>
                </w:rPr>
                <w:t>https://doi.org/10.1007/s11881-021-00240-7</w:t>
              </w:r>
            </w:hyperlink>
            <w:r w:rsidRPr="00D95451">
              <w:rPr>
                <w:rStyle w:val="eop"/>
                <w:rFonts w:ascii="Arial" w:hAnsi="Arial" w:cs="Arial"/>
              </w:rPr>
              <w:t> </w:t>
            </w:r>
          </w:p>
          <w:p w14:paraId="0D217F8B"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Durkin, K., Conti-Ramsden, G., &amp; Walker, A. J. (2020). UK newspaper portrayal of dyslexia: Accuracy, support, and stigma. Annals of Dyslexia, 70(2), 212-235. </w:t>
            </w:r>
            <w:hyperlink r:id="rId13" w:tgtFrame="_blank" w:history="1">
              <w:r w:rsidRPr="00D95451">
                <w:rPr>
                  <w:rStyle w:val="normaltextrun"/>
                  <w:rFonts w:ascii="Arial" w:hAnsi="Arial" w:cs="Arial"/>
                  <w:u w:val="single"/>
                </w:rPr>
                <w:t>https://doi.org/10.1007/s11881-019-00188-0</w:t>
              </w:r>
            </w:hyperlink>
            <w:r w:rsidRPr="00D95451">
              <w:rPr>
                <w:rStyle w:val="eop"/>
                <w:rFonts w:ascii="Arial" w:hAnsi="Arial" w:cs="Arial"/>
              </w:rPr>
              <w:t> </w:t>
            </w:r>
          </w:p>
          <w:p w14:paraId="59269EFB"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 xml:space="preserve">Gerbner, G., Gross, L., Morgan, M., </w:t>
            </w:r>
            <w:proofErr w:type="spellStart"/>
            <w:r w:rsidRPr="00D95451">
              <w:rPr>
                <w:rStyle w:val="normaltextrun"/>
                <w:rFonts w:ascii="Arial" w:hAnsi="Arial" w:cs="Arial"/>
              </w:rPr>
              <w:t>Signorielli</w:t>
            </w:r>
            <w:proofErr w:type="spellEnd"/>
            <w:r w:rsidRPr="00D95451">
              <w:rPr>
                <w:rStyle w:val="normaltextrun"/>
                <w:rFonts w:ascii="Arial" w:hAnsi="Arial" w:cs="Arial"/>
              </w:rPr>
              <w:t xml:space="preserve">, N., &amp; Shanahan, J. (2002). Growing up with television: The cultivation perspective. In J. Bryant &amp; D. </w:t>
            </w:r>
            <w:proofErr w:type="spellStart"/>
            <w:r w:rsidRPr="00D95451">
              <w:rPr>
                <w:rStyle w:val="normaltextrun"/>
                <w:rFonts w:ascii="Arial" w:hAnsi="Arial" w:cs="Arial"/>
              </w:rPr>
              <w:t>Zillmann</w:t>
            </w:r>
            <w:proofErr w:type="spellEnd"/>
            <w:r w:rsidRPr="00D95451">
              <w:rPr>
                <w:rStyle w:val="normaltextrun"/>
                <w:rFonts w:ascii="Arial" w:hAnsi="Arial" w:cs="Arial"/>
              </w:rPr>
              <w:t xml:space="preserve"> (Eds.), Media effects: Advances in theory and research (2nd ed., pp. 43-67). Lawrence Erlbaum Associates Publishers.</w:t>
            </w:r>
            <w:r w:rsidRPr="00D95451">
              <w:rPr>
                <w:rStyle w:val="eop"/>
                <w:rFonts w:ascii="Arial" w:hAnsi="Arial" w:cs="Arial"/>
              </w:rPr>
              <w:t> </w:t>
            </w:r>
          </w:p>
          <w:p w14:paraId="39ADF8D2"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Keil, S., Johnson, A., Mitchell, R., &amp; Hart, J. (2020). Media representations of dyslexia in the UK: An analysis of newspaper articles from 2000 to 2018. Dyslexia, 26(3), 298-319. </w:t>
            </w:r>
            <w:hyperlink r:id="rId14" w:tgtFrame="_blank" w:history="1">
              <w:r w:rsidRPr="00D95451">
                <w:rPr>
                  <w:rStyle w:val="normaltextrun"/>
                  <w:rFonts w:ascii="Arial" w:hAnsi="Arial" w:cs="Arial"/>
                  <w:u w:val="single"/>
                </w:rPr>
                <w:t>https://doi.org/10.1002/dys.1659</w:t>
              </w:r>
            </w:hyperlink>
            <w:r w:rsidRPr="00D95451">
              <w:rPr>
                <w:rStyle w:val="eop"/>
                <w:rFonts w:ascii="Arial" w:hAnsi="Arial" w:cs="Arial"/>
              </w:rPr>
              <w:t> </w:t>
            </w:r>
          </w:p>
          <w:p w14:paraId="622F70DF"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 xml:space="preserve">Lindsay, G., </w:t>
            </w:r>
            <w:proofErr w:type="spellStart"/>
            <w:r w:rsidRPr="00D95451">
              <w:rPr>
                <w:rStyle w:val="normaltextrun"/>
                <w:rFonts w:ascii="Arial" w:hAnsi="Arial" w:cs="Arial"/>
              </w:rPr>
              <w:t>Dockrell</w:t>
            </w:r>
            <w:proofErr w:type="spellEnd"/>
            <w:r w:rsidRPr="00D95451">
              <w:rPr>
                <w:rStyle w:val="normaltextrun"/>
                <w:rFonts w:ascii="Arial" w:hAnsi="Arial" w:cs="Arial"/>
              </w:rPr>
              <w:t xml:space="preserve">, J., &amp; </w:t>
            </w:r>
            <w:proofErr w:type="spellStart"/>
            <w:r w:rsidRPr="00D95451">
              <w:rPr>
                <w:rStyle w:val="normaltextrun"/>
                <w:rFonts w:ascii="Arial" w:hAnsi="Arial" w:cs="Arial"/>
              </w:rPr>
              <w:t>Desforges</w:t>
            </w:r>
            <w:proofErr w:type="spellEnd"/>
            <w:r w:rsidRPr="00D95451">
              <w:rPr>
                <w:rStyle w:val="normaltextrun"/>
                <w:rFonts w:ascii="Arial" w:hAnsi="Arial" w:cs="Arial"/>
              </w:rPr>
              <w:t>, M. (2021). Media representations of dyslexia: A systematic review. Dyslexia, 27(3), 475-493. </w:t>
            </w:r>
            <w:hyperlink r:id="rId15" w:tgtFrame="_blank" w:history="1">
              <w:r w:rsidRPr="00D95451">
                <w:rPr>
                  <w:rStyle w:val="normaltextrun"/>
                  <w:rFonts w:ascii="Arial" w:hAnsi="Arial" w:cs="Arial"/>
                  <w:u w:val="single"/>
                </w:rPr>
                <w:t>https://doi.org/10.1002/dys.1674</w:t>
              </w:r>
            </w:hyperlink>
            <w:r w:rsidRPr="00D95451">
              <w:rPr>
                <w:rStyle w:val="eop"/>
                <w:rFonts w:ascii="Arial" w:hAnsi="Arial" w:cs="Arial"/>
              </w:rPr>
              <w:t> </w:t>
            </w:r>
          </w:p>
          <w:p w14:paraId="5109FA05"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Peterson, R. L., Pennington, B. F., &amp; Olson, R. K. (2018). Subtypes of developmental dyslexia: Testing the predictions of the dual-route and phonological deficit models. Cognition, 172, 97-105. </w:t>
            </w:r>
            <w:hyperlink r:id="rId16" w:tgtFrame="_blank" w:history="1">
              <w:r w:rsidRPr="00D95451">
                <w:rPr>
                  <w:rStyle w:val="normaltextrun"/>
                  <w:rFonts w:ascii="Arial" w:hAnsi="Arial" w:cs="Arial"/>
                  <w:u w:val="single"/>
                </w:rPr>
                <w:t>https://doi.org/10.1016/j.cognition.2017.12.012</w:t>
              </w:r>
            </w:hyperlink>
            <w:r w:rsidRPr="00D95451">
              <w:rPr>
                <w:rStyle w:val="eop"/>
                <w:rFonts w:ascii="Arial" w:hAnsi="Arial" w:cs="Arial"/>
              </w:rPr>
              <w:t> </w:t>
            </w:r>
          </w:p>
          <w:p w14:paraId="06C977F3"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r w:rsidRPr="00D95451">
              <w:rPr>
                <w:rStyle w:val="normaltextrun"/>
                <w:rFonts w:ascii="Arial" w:hAnsi="Arial" w:cs="Arial"/>
              </w:rPr>
              <w:t xml:space="preserve">Tajfel, H., &amp; Turner, J. C. (1979). An integrative theory of intergroup conflict. In W. G. Austin &amp; S. </w:t>
            </w:r>
            <w:proofErr w:type="spellStart"/>
            <w:r w:rsidRPr="00D95451">
              <w:rPr>
                <w:rStyle w:val="normaltextrun"/>
                <w:rFonts w:ascii="Arial" w:hAnsi="Arial" w:cs="Arial"/>
              </w:rPr>
              <w:t>Wchel</w:t>
            </w:r>
            <w:proofErr w:type="spellEnd"/>
            <w:r w:rsidRPr="00D95451">
              <w:rPr>
                <w:rStyle w:val="normaltextrun"/>
                <w:rFonts w:ascii="Arial" w:hAnsi="Arial" w:cs="Arial"/>
              </w:rPr>
              <w:t xml:space="preserve"> (Eds.), The social psychology of intergroup relations (pp. 33-47). Brooks/Cole Publishing.</w:t>
            </w:r>
            <w:r w:rsidRPr="00D95451">
              <w:rPr>
                <w:rStyle w:val="eop"/>
                <w:rFonts w:ascii="Arial" w:hAnsi="Arial" w:cs="Arial"/>
              </w:rPr>
              <w:t> </w:t>
            </w:r>
          </w:p>
          <w:p w14:paraId="7A0B487E" w14:textId="77777777" w:rsidR="00346FD5" w:rsidRPr="00D95451" w:rsidRDefault="00346FD5" w:rsidP="00346FD5">
            <w:pPr>
              <w:pStyle w:val="paragraph"/>
              <w:spacing w:before="0" w:beforeAutospacing="0" w:after="0" w:afterAutospacing="0"/>
              <w:ind w:left="720" w:hanging="720"/>
              <w:textAlignment w:val="baseline"/>
              <w:rPr>
                <w:rFonts w:ascii="Arial" w:hAnsi="Arial" w:cs="Arial"/>
              </w:rPr>
            </w:pPr>
            <w:proofErr w:type="spellStart"/>
            <w:r w:rsidRPr="00D95451">
              <w:rPr>
                <w:rStyle w:val="normaltextrun"/>
                <w:rFonts w:ascii="Arial" w:hAnsi="Arial" w:cs="Arial"/>
              </w:rPr>
              <w:t>Thornborrow</w:t>
            </w:r>
            <w:proofErr w:type="spellEnd"/>
            <w:r w:rsidRPr="00D95451">
              <w:rPr>
                <w:rStyle w:val="normaltextrun"/>
                <w:rFonts w:ascii="Arial" w:hAnsi="Arial" w:cs="Arial"/>
              </w:rPr>
              <w:t>, J., &amp; Morris, D. (2020). Power, agency, and the linguistic shaping of stereotype maintenance and change. Journal of Language and Social Psychology, 39(4), 387-408. </w:t>
            </w:r>
            <w:hyperlink r:id="rId17" w:tgtFrame="_blank" w:history="1">
              <w:r w:rsidRPr="00D95451">
                <w:rPr>
                  <w:rStyle w:val="normaltextrun"/>
                  <w:rFonts w:ascii="Arial" w:hAnsi="Arial" w:cs="Arial"/>
                  <w:u w:val="single"/>
                </w:rPr>
                <w:t>https://doi.org/10.1177/0261927X20909377</w:t>
              </w:r>
            </w:hyperlink>
            <w:r w:rsidRPr="00D95451">
              <w:rPr>
                <w:rStyle w:val="eop"/>
                <w:rFonts w:ascii="Arial" w:hAnsi="Arial" w:cs="Arial"/>
              </w:rPr>
              <w:t> </w:t>
            </w:r>
          </w:p>
          <w:p w14:paraId="3B1B36D5" w14:textId="77777777" w:rsidR="00DD5303" w:rsidRDefault="00DD5303"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4922F5A2" w14:textId="0AFF39C8" w:rsidR="00622263" w:rsidRDefault="00D30E38" w:rsidP="00D95451">
            <w:pPr>
              <w:spacing w:line="480" w:lineRule="auto"/>
              <w:rPr>
                <w:rFonts w:ascii="Arial" w:hAnsi="Arial" w:cs="Arial"/>
                <w:b/>
                <w:sz w:val="20"/>
              </w:rPr>
            </w:pPr>
            <w:r>
              <w:rPr>
                <w:rStyle w:val="Strong"/>
                <w:color w:val="0E101A"/>
              </w:rPr>
              <w:t>What is the influence of media portrayals of people with dyslexia, and how do those portrayals influence and contribute to the formation of perceptions, beliefs, and attitudes of the public towards people with dyslexia?</w:t>
            </w:r>
          </w:p>
          <w:p w14:paraId="5B709416" w14:textId="642B7C1A" w:rsidR="00DD5303" w:rsidRDefault="00622263" w:rsidP="00B24417">
            <w:pPr>
              <w:rPr>
                <w:rFonts w:ascii="Arial" w:hAnsi="Arial" w:cs="Arial"/>
                <w:b/>
                <w:sz w:val="20"/>
              </w:rPr>
            </w:pPr>
            <w:r>
              <w:rPr>
                <w:rFonts w:ascii="Arial" w:hAnsi="Arial" w:cs="Arial"/>
                <w:b/>
                <w:sz w:val="20"/>
              </w:rPr>
              <w:t xml:space="preserve"> </w:t>
            </w: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0A765FC9" w14:textId="77777777" w:rsidR="00346FD5" w:rsidRDefault="00346FD5" w:rsidP="00C15052">
            <w:pPr>
              <w:rPr>
                <w:rFonts w:ascii="Arial" w:hAnsi="Arial" w:cs="Arial"/>
                <w:b/>
              </w:rPr>
            </w:pPr>
          </w:p>
          <w:p w14:paraId="2C137318" w14:textId="77777777" w:rsidR="00D30E38" w:rsidRDefault="00D30E38" w:rsidP="00D30E38">
            <w:pPr>
              <w:pStyle w:val="NormalWeb"/>
              <w:spacing w:before="0" w:beforeAutospacing="0" w:after="0" w:afterAutospacing="0"/>
              <w:rPr>
                <w:color w:val="0E101A"/>
              </w:rPr>
            </w:pPr>
            <w:r>
              <w:rPr>
                <w:rStyle w:val="Strong"/>
                <w:color w:val="0E101A"/>
              </w:rPr>
              <w:t>Participants: </w:t>
            </w:r>
          </w:p>
          <w:p w14:paraId="013318BE" w14:textId="77777777" w:rsidR="00D30E38" w:rsidRDefault="00D30E38" w:rsidP="00D30E38">
            <w:pPr>
              <w:pStyle w:val="NormalWeb"/>
              <w:spacing w:before="0" w:beforeAutospacing="0" w:after="0" w:afterAutospacing="0"/>
              <w:rPr>
                <w:color w:val="0E101A"/>
              </w:rPr>
            </w:pPr>
          </w:p>
          <w:p w14:paraId="2048ED45" w14:textId="77777777" w:rsidR="00D30E38" w:rsidRPr="00D95451" w:rsidRDefault="00D30E38" w:rsidP="00D95451">
            <w:pPr>
              <w:pStyle w:val="NormalWeb"/>
              <w:spacing w:before="0" w:beforeAutospacing="0" w:after="0" w:afterAutospacing="0" w:line="480" w:lineRule="auto"/>
              <w:rPr>
                <w:b/>
                <w:bCs/>
                <w:color w:val="0E101A"/>
              </w:rPr>
            </w:pPr>
            <w:r w:rsidRPr="00D95451">
              <w:rPr>
                <w:rStyle w:val="Strong"/>
                <w:b w:val="0"/>
                <w:bCs w:val="0"/>
                <w:color w:val="0E101A"/>
              </w:rPr>
              <w:t>The participants will consist of psychology-related students from UWTSD EMS. Interested students will be provided information about the study and invited to participate voluntarily. A minimum of six participants will be sought, but additional participants may be included to enhance data richness and saturation.</w:t>
            </w:r>
          </w:p>
          <w:p w14:paraId="28C3250B" w14:textId="77777777" w:rsidR="00D30E38" w:rsidRDefault="00D30E38" w:rsidP="00D30E38">
            <w:pPr>
              <w:pStyle w:val="NormalWeb"/>
              <w:spacing w:before="0" w:beforeAutospacing="0" w:after="0" w:afterAutospacing="0"/>
              <w:rPr>
                <w:color w:val="0E101A"/>
              </w:rPr>
            </w:pPr>
          </w:p>
          <w:p w14:paraId="433795F9" w14:textId="77777777" w:rsidR="00D30E38" w:rsidRDefault="00D30E38" w:rsidP="00D30E38">
            <w:pPr>
              <w:pStyle w:val="NormalWeb"/>
              <w:spacing w:before="0" w:beforeAutospacing="0" w:after="0" w:afterAutospacing="0"/>
              <w:rPr>
                <w:color w:val="0E101A"/>
              </w:rPr>
            </w:pPr>
            <w:r>
              <w:rPr>
                <w:rStyle w:val="Strong"/>
                <w:color w:val="0E101A"/>
              </w:rPr>
              <w:t>Design:</w:t>
            </w:r>
          </w:p>
          <w:p w14:paraId="468147A0" w14:textId="77777777" w:rsidR="00D30E38" w:rsidRDefault="00D30E38" w:rsidP="00D30E38">
            <w:pPr>
              <w:pStyle w:val="NormalWeb"/>
              <w:spacing w:before="0" w:beforeAutospacing="0" w:after="0" w:afterAutospacing="0"/>
              <w:rPr>
                <w:color w:val="0E101A"/>
              </w:rPr>
            </w:pPr>
          </w:p>
          <w:p w14:paraId="68A59A9E" w14:textId="77777777" w:rsidR="00D30E38" w:rsidRPr="00D95451" w:rsidRDefault="00D30E38" w:rsidP="00D95451">
            <w:pPr>
              <w:pStyle w:val="NormalWeb"/>
              <w:spacing w:before="0" w:beforeAutospacing="0" w:after="0" w:afterAutospacing="0" w:line="480" w:lineRule="auto"/>
              <w:rPr>
                <w:b/>
                <w:bCs/>
                <w:color w:val="0E101A"/>
              </w:rPr>
            </w:pPr>
            <w:r w:rsidRPr="00D95451">
              <w:rPr>
                <w:rStyle w:val="Strong"/>
                <w:b w:val="0"/>
                <w:bCs w:val="0"/>
                <w:color w:val="0E101A"/>
              </w:rPr>
              <w:t> The study will utilise a qualitative approach, explicitly employing group-focused interviews as the primary data collection method. The interviews will be semi-structured, allowing for open-ended discussions and exploration of participants' perspectives on media portrayals of dyslexia and the impact on perception.</w:t>
            </w:r>
          </w:p>
          <w:p w14:paraId="342982E7" w14:textId="77777777" w:rsidR="00D30E38" w:rsidRDefault="00D30E38" w:rsidP="00D30E38">
            <w:pPr>
              <w:pStyle w:val="NormalWeb"/>
              <w:spacing w:before="0" w:beforeAutospacing="0" w:after="0" w:afterAutospacing="0"/>
              <w:rPr>
                <w:color w:val="0E101A"/>
              </w:rPr>
            </w:pPr>
          </w:p>
          <w:p w14:paraId="1FE522AB" w14:textId="621467EC" w:rsidR="00D30E38" w:rsidRDefault="00D30E38" w:rsidP="00D30E38">
            <w:pPr>
              <w:pStyle w:val="NormalWeb"/>
              <w:spacing w:before="0" w:beforeAutospacing="0" w:after="0" w:afterAutospacing="0"/>
              <w:rPr>
                <w:rStyle w:val="Strong"/>
                <w:color w:val="0E101A"/>
              </w:rPr>
            </w:pPr>
            <w:r>
              <w:rPr>
                <w:rStyle w:val="Strong"/>
                <w:color w:val="0E101A"/>
              </w:rPr>
              <w:t>Materials</w:t>
            </w:r>
          </w:p>
          <w:p w14:paraId="12EE6464" w14:textId="77777777" w:rsidR="00D95451" w:rsidRDefault="00D95451" w:rsidP="00D30E38">
            <w:pPr>
              <w:pStyle w:val="NormalWeb"/>
              <w:spacing w:before="0" w:beforeAutospacing="0" w:after="0" w:afterAutospacing="0"/>
              <w:rPr>
                <w:color w:val="0E101A"/>
              </w:rPr>
            </w:pPr>
          </w:p>
          <w:p w14:paraId="346FABF3" w14:textId="77777777" w:rsidR="00D30E38" w:rsidRPr="00D95451" w:rsidRDefault="00D30E38" w:rsidP="00D95451">
            <w:pPr>
              <w:pStyle w:val="NormalWeb"/>
              <w:spacing w:before="0" w:beforeAutospacing="0" w:after="0" w:afterAutospacing="0" w:line="480" w:lineRule="auto"/>
              <w:rPr>
                <w:color w:val="0E101A"/>
              </w:rPr>
            </w:pPr>
            <w:r w:rsidRPr="00D95451">
              <w:rPr>
                <w:rStyle w:val="Strong"/>
                <w:b w:val="0"/>
                <w:bCs w:val="0"/>
                <w:color w:val="0E101A"/>
              </w:rPr>
              <w:t>The primary material required for the study is an interview guide. The guide will include a set of open-ended questions and prompts designed to elicit participants' views and experiences related to media portrayals of dyslexia. The questions will focus on participants' perceptions of dyslexia, their exposure to media portrayals, and how these portrayals may shape their understanding and attitudes. The group-focused interview will be recorded via a Dictaphone and then transcribed in the UWTSD psych lab to ensure ethical procedure and confidentiality are adhered to. </w:t>
            </w:r>
          </w:p>
          <w:p w14:paraId="7CC7B568" w14:textId="0EAEDEF8" w:rsidR="00D30E38" w:rsidRDefault="00D30E38" w:rsidP="00D30E38">
            <w:pPr>
              <w:pStyle w:val="NormalWeb"/>
              <w:spacing w:before="0" w:beforeAutospacing="0" w:after="0" w:afterAutospacing="0"/>
              <w:rPr>
                <w:rStyle w:val="Strong"/>
                <w:color w:val="0E101A"/>
              </w:rPr>
            </w:pPr>
            <w:r>
              <w:rPr>
                <w:rStyle w:val="Strong"/>
                <w:color w:val="0E101A"/>
              </w:rPr>
              <w:t>Procedure</w:t>
            </w:r>
          </w:p>
          <w:p w14:paraId="29CCA0D8" w14:textId="77777777" w:rsidR="00D95451" w:rsidRDefault="00D95451" w:rsidP="00D30E38">
            <w:pPr>
              <w:pStyle w:val="NormalWeb"/>
              <w:spacing w:before="0" w:beforeAutospacing="0" w:after="0" w:afterAutospacing="0"/>
              <w:rPr>
                <w:color w:val="0E101A"/>
              </w:rPr>
            </w:pPr>
          </w:p>
          <w:p w14:paraId="14874321" w14:textId="77777777" w:rsidR="00D30E38" w:rsidRPr="00D95451" w:rsidRDefault="00D30E38" w:rsidP="00D95451">
            <w:pPr>
              <w:pStyle w:val="NormalWeb"/>
              <w:spacing w:before="0" w:beforeAutospacing="0" w:after="0" w:afterAutospacing="0" w:line="480" w:lineRule="auto"/>
              <w:rPr>
                <w:color w:val="0E101A"/>
              </w:rPr>
            </w:pPr>
            <w:r w:rsidRPr="00D95451">
              <w:rPr>
                <w:rStyle w:val="Strong"/>
                <w:b w:val="0"/>
                <w:bCs w:val="0"/>
                <w:color w:val="0E101A"/>
              </w:rPr>
              <w:t xml:space="preserve">First, interested psychology-related students will receive detailed information about the study's objectives and the voluntary nature of participation, ensuring confidentiality of their responses. Physical </w:t>
            </w:r>
            <w:r w:rsidRPr="00D95451">
              <w:rPr>
                <w:rStyle w:val="Strong"/>
                <w:b w:val="0"/>
                <w:bCs w:val="0"/>
                <w:color w:val="0E101A"/>
              </w:rPr>
              <w:lastRenderedPageBreak/>
              <w:t>consent forms will be provided for participants to review and sign at the beginning of the group-focused interviews. (BPS, 2020). However, the consent form will detail that participants can withdraw at any process stage without penalty.</w:t>
            </w:r>
          </w:p>
          <w:p w14:paraId="242715A4" w14:textId="77777777" w:rsidR="00D30E38" w:rsidRPr="00D95451" w:rsidRDefault="00D30E38" w:rsidP="00D95451">
            <w:pPr>
              <w:pStyle w:val="NormalWeb"/>
              <w:spacing w:before="0" w:beforeAutospacing="0" w:after="0" w:afterAutospacing="0" w:line="480" w:lineRule="auto"/>
              <w:rPr>
                <w:color w:val="0E101A"/>
              </w:rPr>
            </w:pPr>
            <w:r w:rsidRPr="00D95451">
              <w:rPr>
                <w:rStyle w:val="Strong"/>
                <w:b w:val="0"/>
                <w:bCs w:val="0"/>
                <w:color w:val="0E101A"/>
              </w:rPr>
              <w:t>Participants will be assigned to one of three interview groups, each consisting of at least two participants. The interviews will take place at a suitable location within UWTSD EMS and will be audio-recorded with participants' consent (BPS, 2020). The researcher will utilise an interview guide to facilitate discussions, allowing participants to share their perspectives and experiences regarding media portrayals of dyslexia.</w:t>
            </w:r>
          </w:p>
          <w:p w14:paraId="0A760774" w14:textId="77777777" w:rsidR="00D30E38" w:rsidRPr="00D95451" w:rsidRDefault="00D30E38" w:rsidP="00D95451">
            <w:pPr>
              <w:pStyle w:val="NormalWeb"/>
              <w:spacing w:before="0" w:beforeAutospacing="0" w:after="0" w:afterAutospacing="0" w:line="480" w:lineRule="auto"/>
              <w:rPr>
                <w:color w:val="0E101A"/>
              </w:rPr>
            </w:pPr>
          </w:p>
          <w:p w14:paraId="6D089C91" w14:textId="77777777" w:rsidR="00D30E38" w:rsidRPr="00D95451" w:rsidRDefault="00D30E38" w:rsidP="00D95451">
            <w:pPr>
              <w:pStyle w:val="NormalWeb"/>
              <w:spacing w:before="0" w:beforeAutospacing="0" w:after="0" w:afterAutospacing="0" w:line="480" w:lineRule="auto"/>
              <w:rPr>
                <w:color w:val="0E101A"/>
              </w:rPr>
            </w:pPr>
            <w:r w:rsidRPr="00D95451">
              <w:rPr>
                <w:rStyle w:val="Strong"/>
                <w:b w:val="0"/>
                <w:bCs w:val="0"/>
                <w:color w:val="0E101A"/>
              </w:rPr>
              <w:t>After the interviews, the audio recordings will be transcribed verbatim. Thematic analysis will identify common themes, patterns, and perspectives within the data. The data will be systematically coded and categorised to derive meaningful insights and identify key findings related to the research question.</w:t>
            </w:r>
          </w:p>
          <w:p w14:paraId="7E6B660D" w14:textId="77777777" w:rsidR="00D30E38" w:rsidRPr="00D95451" w:rsidRDefault="00D30E38" w:rsidP="00D95451">
            <w:pPr>
              <w:pStyle w:val="NormalWeb"/>
              <w:spacing w:before="0" w:beforeAutospacing="0" w:after="0" w:afterAutospacing="0" w:line="480" w:lineRule="auto"/>
              <w:rPr>
                <w:color w:val="0E101A"/>
              </w:rPr>
            </w:pPr>
          </w:p>
          <w:p w14:paraId="7936F8D4" w14:textId="77777777" w:rsidR="00D30E38" w:rsidRPr="00D95451" w:rsidRDefault="00D30E38" w:rsidP="00D95451">
            <w:pPr>
              <w:pStyle w:val="NormalWeb"/>
              <w:spacing w:before="0" w:beforeAutospacing="0" w:after="0" w:afterAutospacing="0" w:line="480" w:lineRule="auto"/>
              <w:rPr>
                <w:color w:val="0E101A"/>
              </w:rPr>
            </w:pPr>
            <w:r w:rsidRPr="00D95451">
              <w:rPr>
                <w:rStyle w:val="Strong"/>
                <w:b w:val="0"/>
                <w:bCs w:val="0"/>
                <w:color w:val="0E101A"/>
              </w:rPr>
              <w:t>Participants will have the opportunity to engage in a debriefing session after the data analysis is completed (BPS, 2020). They will be able to discuss the study's findings, ask questions, and receive information about the confidentiality of their responses. Participants will also be informed of their right to withdraw their data if desired (BPS, 2020).</w:t>
            </w:r>
          </w:p>
          <w:p w14:paraId="4CF4E3D0" w14:textId="77777777" w:rsidR="00D30E38" w:rsidRPr="00D95451" w:rsidRDefault="00D30E38" w:rsidP="00D95451">
            <w:pPr>
              <w:pStyle w:val="NormalWeb"/>
              <w:spacing w:before="0" w:beforeAutospacing="0" w:after="0" w:afterAutospacing="0" w:line="480" w:lineRule="auto"/>
              <w:rPr>
                <w:color w:val="0E101A"/>
              </w:rPr>
            </w:pPr>
          </w:p>
          <w:p w14:paraId="35B4EA3E" w14:textId="2BD737DA" w:rsidR="00BA756C" w:rsidRPr="00D95451" w:rsidRDefault="00D30E38" w:rsidP="00D95451">
            <w:pPr>
              <w:pStyle w:val="NormalWeb"/>
              <w:spacing w:before="0" w:beforeAutospacing="0" w:after="0" w:afterAutospacing="0" w:line="480" w:lineRule="auto"/>
              <w:rPr>
                <w:color w:val="0E101A"/>
              </w:rPr>
            </w:pPr>
            <w:r w:rsidRPr="00D95451">
              <w:rPr>
                <w:rStyle w:val="Strong"/>
                <w:b w:val="0"/>
                <w:bCs w:val="0"/>
                <w:color w:val="0E101A"/>
              </w:rPr>
              <w:t>Therefore, the procedure involves recruiting psychology-related students who will receive detailed information and provide voluntary consent. Participants will be assigned a unique code to protect their identity throughout the study (BPS, 2020). Group-focused interviews will be conducted, allowing participants to share their perspectives on media portrayals of dyslexia. The interviews will be audio-recorded and transcribed for thematic analysis. Participants' anonymity will be maintained during the data analysis process (BPS, 2020). Participants will have the opportunity to discuss the study's findings during a debriefing session, with confidentiality and the right to withdraw their data ensured, adhering to the BPS code of ethics (2020). This approach aims to gather qualitative data, prioritise participant safety and anonymity, and gain insights into how media portrayals influence dyslexia perception.</w:t>
            </w: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06A44BB9" w14:textId="77777777" w:rsidR="00C15052" w:rsidRDefault="00C15052" w:rsidP="00E24E04">
            <w:pPr>
              <w:rPr>
                <w:rFonts w:ascii="Arial" w:hAnsi="Arial" w:cs="Arial"/>
                <w:bCs/>
                <w:i/>
                <w:iCs/>
                <w:sz w:val="22"/>
                <w:szCs w:val="22"/>
              </w:rPr>
            </w:pPr>
          </w:p>
          <w:p w14:paraId="1B51C231" w14:textId="77777777" w:rsidR="00D30E38" w:rsidRPr="00D95451" w:rsidRDefault="00D30E38" w:rsidP="00D95451">
            <w:pPr>
              <w:spacing w:line="480" w:lineRule="auto"/>
              <w:rPr>
                <w:rStyle w:val="normaltextrun"/>
                <w:color w:val="000000"/>
                <w:shd w:val="clear" w:color="auto" w:fill="FFFFFF"/>
              </w:rPr>
            </w:pPr>
            <w:r w:rsidRPr="00D95451">
              <w:rPr>
                <w:rStyle w:val="normaltextrun"/>
                <w:color w:val="000000"/>
                <w:shd w:val="clear" w:color="auto" w:fill="FFFFFF"/>
              </w:rPr>
              <w:t xml:space="preserve">The project will adhere to the BPS (British Psychological Society) code of human research ethics (BPS, 2020). Receiving informed consent guarantees that participants know the project's objectives, potential risks, and benefits. This transparency allows participants to choose </w:t>
            </w:r>
            <w:proofErr w:type="gramStart"/>
            <w:r w:rsidRPr="00D95451">
              <w:rPr>
                <w:rStyle w:val="normaltextrun"/>
                <w:color w:val="000000"/>
                <w:shd w:val="clear" w:color="auto" w:fill="FFFFFF"/>
              </w:rPr>
              <w:t>whether or not</w:t>
            </w:r>
            <w:proofErr w:type="gramEnd"/>
            <w:r w:rsidRPr="00D95451">
              <w:rPr>
                <w:rStyle w:val="normaltextrun"/>
                <w:color w:val="000000"/>
                <w:shd w:val="clear" w:color="auto" w:fill="FFFFFF"/>
              </w:rPr>
              <w:t xml:space="preserve"> to participate, potentially reducing any anxiety that might develop from feeling misinformed or unaware of the project's specifics.</w:t>
            </w:r>
          </w:p>
          <w:p w14:paraId="5446F8B5" w14:textId="2A938A99" w:rsidR="00D30E38" w:rsidRPr="00D95451" w:rsidRDefault="00D30E38" w:rsidP="00D95451">
            <w:pPr>
              <w:spacing w:line="480" w:lineRule="auto"/>
              <w:rPr>
                <w:rStyle w:val="normaltextrun"/>
                <w:color w:val="000000"/>
                <w:shd w:val="clear" w:color="auto" w:fill="FFFFFF"/>
              </w:rPr>
            </w:pPr>
            <w:r w:rsidRPr="00D95451">
              <w:rPr>
                <w:rStyle w:val="normaltextrun"/>
                <w:color w:val="000000"/>
                <w:shd w:val="clear" w:color="auto" w:fill="FFFFFF"/>
              </w:rPr>
              <w:t>By including dyslexia's negative and positive aspects, images and news articles, the project avoids concentrating only on its difficulties and potentially upsetting stories. Due to this fair representation, participants may feel more empowered, understood, and less stigmatised, which may lessen distress. Moreover, providing participants with appropriate resources, such as the contact details of the supervisor and support organisations, demonstrates a commitment to their well-being. In turn, this can support participants to feel more secure and less distressed, knowing that help and assistance are available.</w:t>
            </w:r>
          </w:p>
          <w:p w14:paraId="4C4DB970" w14:textId="4A88D23B" w:rsidR="00B4120B" w:rsidRDefault="00B4120B" w:rsidP="00D95451">
            <w:pPr>
              <w:spacing w:line="480" w:lineRule="auto"/>
              <w:rPr>
                <w:rStyle w:val="normaltextrun"/>
                <w:shd w:val="clear" w:color="auto" w:fill="FFFFFF"/>
              </w:rPr>
            </w:pPr>
            <w:r w:rsidRPr="00B4120B">
              <w:rPr>
                <w:rStyle w:val="normaltextrun"/>
                <w:shd w:val="clear" w:color="auto" w:fill="FFFFFF"/>
              </w:rPr>
              <w:t>In addition, group-focused interviews also eliminate</w:t>
            </w:r>
            <w:r>
              <w:rPr>
                <w:rStyle w:val="normaltextrun"/>
                <w:shd w:val="clear" w:color="auto" w:fill="FFFFFF"/>
              </w:rPr>
              <w:t xml:space="preserve">s </w:t>
            </w:r>
            <w:r w:rsidRPr="00B4120B">
              <w:rPr>
                <w:rStyle w:val="normaltextrun"/>
                <w:shd w:val="clear" w:color="auto" w:fill="FFFFFF"/>
              </w:rPr>
              <w:t>any risk of harm to the researcher.</w:t>
            </w:r>
          </w:p>
          <w:p w14:paraId="2D977BB0" w14:textId="77777777" w:rsidR="00B4120B" w:rsidRDefault="00B4120B" w:rsidP="00D95451">
            <w:pPr>
              <w:spacing w:line="480" w:lineRule="auto"/>
              <w:rPr>
                <w:rStyle w:val="normaltextrun"/>
                <w:shd w:val="clear" w:color="auto" w:fill="FFFFFF"/>
              </w:rPr>
            </w:pPr>
          </w:p>
          <w:p w14:paraId="64BE7D75" w14:textId="5CCFDE7E" w:rsidR="00B4120B" w:rsidRDefault="00B4120B" w:rsidP="00D95451">
            <w:pPr>
              <w:spacing w:line="480" w:lineRule="auto"/>
              <w:rPr>
                <w:rStyle w:val="normaltextrun"/>
                <w:shd w:val="clear" w:color="auto" w:fill="FFFFFF"/>
              </w:rPr>
            </w:pPr>
            <w:r>
              <w:rPr>
                <w:rStyle w:val="normaltextrun"/>
                <w:shd w:val="clear" w:color="auto" w:fill="FFFFFF"/>
              </w:rPr>
              <w:t>Reference.</w:t>
            </w:r>
          </w:p>
          <w:p w14:paraId="561594AE" w14:textId="27E08853" w:rsidR="00C15052" w:rsidRPr="00D95451" w:rsidRDefault="00B4120B" w:rsidP="00D95451">
            <w:pPr>
              <w:spacing w:line="480" w:lineRule="auto"/>
              <w:rPr>
                <w:rStyle w:val="eop"/>
                <w:color w:val="000000"/>
                <w:shd w:val="clear" w:color="auto" w:fill="FFFFFF"/>
              </w:rPr>
            </w:pPr>
            <w:r>
              <w:rPr>
                <w:rFonts w:ascii="Segoe UI" w:hAnsi="Segoe UI" w:cs="Segoe UI"/>
                <w:color w:val="374151"/>
                <w:shd w:val="clear" w:color="auto" w:fill="F7F7F8"/>
              </w:rPr>
              <w:t xml:space="preserve">British Psychological Society. (2020). </w:t>
            </w:r>
            <w:r w:rsidRPr="00B4120B">
              <w:rPr>
                <w:rFonts w:ascii="Segoe UI" w:hAnsi="Segoe UI" w:cs="Segoe UI"/>
                <w:i/>
                <w:iCs/>
                <w:color w:val="374151"/>
                <w:shd w:val="clear" w:color="auto" w:fill="F7F7F8"/>
              </w:rPr>
              <w:t>BPS Code of Human Research</w:t>
            </w:r>
            <w:r w:rsidRPr="00B4120B">
              <w:rPr>
                <w:rFonts w:ascii="Segoe UI" w:hAnsi="Segoe UI" w:cs="Segoe UI"/>
                <w:i/>
                <w:iCs/>
                <w:color w:val="374151"/>
                <w:shd w:val="clear" w:color="auto" w:fill="F7F7F8"/>
              </w:rPr>
              <w:t xml:space="preserve"> </w:t>
            </w:r>
            <w:r w:rsidRPr="00B4120B">
              <w:rPr>
                <w:rFonts w:ascii="Segoe UI" w:hAnsi="Segoe UI" w:cs="Segoe UI"/>
                <w:i/>
                <w:iCs/>
                <w:color w:val="374151"/>
                <w:shd w:val="clear" w:color="auto" w:fill="F7F7F8"/>
              </w:rPr>
              <w:t>Ethics</w:t>
            </w:r>
            <w:r>
              <w:rPr>
                <w:rFonts w:ascii="Segoe UI" w:hAnsi="Segoe UI" w:cs="Segoe UI"/>
                <w:color w:val="374151"/>
                <w:shd w:val="clear" w:color="auto" w:fill="F7F7F8"/>
              </w:rPr>
              <w:t>.</w:t>
            </w:r>
            <w:r>
              <w:rPr>
                <w:rFonts w:ascii="Segoe UI" w:hAnsi="Segoe UI" w:cs="Segoe UI"/>
                <w:color w:val="374151"/>
                <w:shd w:val="clear" w:color="auto" w:fill="F7F7F8"/>
              </w:rPr>
              <w:t xml:space="preserve"> </w:t>
            </w:r>
            <w:hyperlink r:id="rId18" w:history="1">
              <w:r w:rsidRPr="004E182C">
                <w:rPr>
                  <w:rStyle w:val="Hyperlink"/>
                  <w:shd w:val="clear" w:color="auto" w:fill="FFFFFF"/>
                </w:rPr>
                <w:t>https://www.bps.org.uk/news-and-policy/bps-code-human-research-ethics</w:t>
              </w:r>
            </w:hyperlink>
            <w:r w:rsidR="00C15052" w:rsidRPr="00D95451">
              <w:rPr>
                <w:rStyle w:val="eop"/>
                <w:color w:val="000000"/>
                <w:shd w:val="clear" w:color="auto" w:fill="FFFFFF"/>
              </w:rPr>
              <w:t> </w:t>
            </w:r>
          </w:p>
          <w:p w14:paraId="2C6883C5" w14:textId="77777777" w:rsidR="00C15052" w:rsidRPr="00A34C36" w:rsidRDefault="00C15052" w:rsidP="00E24E04">
            <w:pPr>
              <w:rPr>
                <w:rFonts w:ascii="Arial" w:hAnsi="Arial" w:cs="Arial"/>
                <w:bCs/>
                <w:i/>
                <w:iCs/>
                <w:sz w:val="22"/>
                <w:szCs w:val="22"/>
              </w:rPr>
            </w:pP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9"/>
      <w:footerReference w:type="default" r:id="rId2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73193" w14:textId="77777777" w:rsidR="00D1070D" w:rsidRDefault="00D1070D">
      <w:r>
        <w:separator/>
      </w:r>
    </w:p>
  </w:endnote>
  <w:endnote w:type="continuationSeparator" w:id="0">
    <w:p w14:paraId="6D1FD5DF" w14:textId="77777777" w:rsidR="00D1070D" w:rsidRDefault="00D10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2EAF1" w14:textId="77777777" w:rsidR="00D1070D" w:rsidRDefault="00D1070D">
      <w:r>
        <w:separator/>
      </w:r>
    </w:p>
  </w:footnote>
  <w:footnote w:type="continuationSeparator" w:id="0">
    <w:p w14:paraId="36138757" w14:textId="77777777" w:rsidR="00D1070D" w:rsidRDefault="00D107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26412"/>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3BEC"/>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6FD5"/>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07B89"/>
    <w:rsid w:val="00410411"/>
    <w:rsid w:val="00430197"/>
    <w:rsid w:val="004319CC"/>
    <w:rsid w:val="00441243"/>
    <w:rsid w:val="00442296"/>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263"/>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047AE"/>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B0B14"/>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20B"/>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15052"/>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070D"/>
    <w:rsid w:val="00D128EA"/>
    <w:rsid w:val="00D2461D"/>
    <w:rsid w:val="00D30E38"/>
    <w:rsid w:val="00D40D39"/>
    <w:rsid w:val="00D7426D"/>
    <w:rsid w:val="00D744CC"/>
    <w:rsid w:val="00D83BA6"/>
    <w:rsid w:val="00D9285C"/>
    <w:rsid w:val="00D92BA9"/>
    <w:rsid w:val="00D95451"/>
    <w:rsid w:val="00DA2212"/>
    <w:rsid w:val="00DA7F18"/>
    <w:rsid w:val="00DB1B13"/>
    <w:rsid w:val="00DB4F0B"/>
    <w:rsid w:val="00DB7633"/>
    <w:rsid w:val="00DB7AE5"/>
    <w:rsid w:val="00DC77E1"/>
    <w:rsid w:val="00DD5303"/>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E7A1D"/>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DD5303"/>
    <w:pPr>
      <w:spacing w:before="100" w:beforeAutospacing="1" w:after="100" w:afterAutospacing="1"/>
    </w:pPr>
  </w:style>
  <w:style w:type="character" w:styleId="Hyperlink">
    <w:name w:val="Hyperlink"/>
    <w:basedOn w:val="DefaultParagraphFont"/>
    <w:uiPriority w:val="99"/>
    <w:unhideWhenUsed/>
    <w:rsid w:val="00DD5303"/>
    <w:rPr>
      <w:color w:val="0000FF"/>
      <w:u w:val="single"/>
    </w:rPr>
  </w:style>
  <w:style w:type="character" w:customStyle="1" w:styleId="normaltextrun">
    <w:name w:val="normaltextrun"/>
    <w:basedOn w:val="DefaultParagraphFont"/>
    <w:rsid w:val="00C15052"/>
  </w:style>
  <w:style w:type="character" w:customStyle="1" w:styleId="eop">
    <w:name w:val="eop"/>
    <w:basedOn w:val="DefaultParagraphFont"/>
    <w:rsid w:val="00C15052"/>
  </w:style>
  <w:style w:type="paragraph" w:customStyle="1" w:styleId="paragraph">
    <w:name w:val="paragraph"/>
    <w:basedOn w:val="Normal"/>
    <w:rsid w:val="00346FD5"/>
    <w:pPr>
      <w:spacing w:before="100" w:beforeAutospacing="1" w:after="100" w:afterAutospacing="1"/>
    </w:pPr>
  </w:style>
  <w:style w:type="character" w:styleId="Strong">
    <w:name w:val="Strong"/>
    <w:basedOn w:val="DefaultParagraphFont"/>
    <w:uiPriority w:val="22"/>
    <w:qFormat/>
    <w:rsid w:val="00D30E38"/>
    <w:rPr>
      <w:b/>
      <w:bCs/>
    </w:rPr>
  </w:style>
  <w:style w:type="character" w:styleId="UnresolvedMention">
    <w:name w:val="Unresolved Mention"/>
    <w:basedOn w:val="DefaultParagraphFont"/>
    <w:uiPriority w:val="99"/>
    <w:semiHidden/>
    <w:unhideWhenUsed/>
    <w:rsid w:val="00B412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6460">
      <w:bodyDiv w:val="1"/>
      <w:marLeft w:val="0"/>
      <w:marRight w:val="0"/>
      <w:marTop w:val="0"/>
      <w:marBottom w:val="0"/>
      <w:divBdr>
        <w:top w:val="none" w:sz="0" w:space="0" w:color="auto"/>
        <w:left w:val="none" w:sz="0" w:space="0" w:color="auto"/>
        <w:bottom w:val="none" w:sz="0" w:space="0" w:color="auto"/>
        <w:right w:val="none" w:sz="0" w:space="0" w:color="auto"/>
      </w:divBdr>
    </w:div>
    <w:div w:id="1736777778">
      <w:bodyDiv w:val="1"/>
      <w:marLeft w:val="0"/>
      <w:marRight w:val="0"/>
      <w:marTop w:val="0"/>
      <w:marBottom w:val="0"/>
      <w:divBdr>
        <w:top w:val="none" w:sz="0" w:space="0" w:color="auto"/>
        <w:left w:val="none" w:sz="0" w:space="0" w:color="auto"/>
        <w:bottom w:val="none" w:sz="0" w:space="0" w:color="auto"/>
        <w:right w:val="none" w:sz="0" w:space="0" w:color="auto"/>
      </w:divBdr>
      <w:divsChild>
        <w:div w:id="611061441">
          <w:marLeft w:val="0"/>
          <w:marRight w:val="0"/>
          <w:marTop w:val="0"/>
          <w:marBottom w:val="0"/>
          <w:divBdr>
            <w:top w:val="none" w:sz="0" w:space="0" w:color="auto"/>
            <w:left w:val="none" w:sz="0" w:space="0" w:color="auto"/>
            <w:bottom w:val="none" w:sz="0" w:space="0" w:color="auto"/>
            <w:right w:val="none" w:sz="0" w:space="0" w:color="auto"/>
          </w:divBdr>
        </w:div>
        <w:div w:id="450363721">
          <w:marLeft w:val="0"/>
          <w:marRight w:val="0"/>
          <w:marTop w:val="0"/>
          <w:marBottom w:val="0"/>
          <w:divBdr>
            <w:top w:val="none" w:sz="0" w:space="0" w:color="auto"/>
            <w:left w:val="none" w:sz="0" w:space="0" w:color="auto"/>
            <w:bottom w:val="none" w:sz="0" w:space="0" w:color="auto"/>
            <w:right w:val="none" w:sz="0" w:space="0" w:color="auto"/>
          </w:divBdr>
        </w:div>
        <w:div w:id="1432506688">
          <w:marLeft w:val="0"/>
          <w:marRight w:val="0"/>
          <w:marTop w:val="0"/>
          <w:marBottom w:val="0"/>
          <w:divBdr>
            <w:top w:val="none" w:sz="0" w:space="0" w:color="auto"/>
            <w:left w:val="none" w:sz="0" w:space="0" w:color="auto"/>
            <w:bottom w:val="none" w:sz="0" w:space="0" w:color="auto"/>
            <w:right w:val="none" w:sz="0" w:space="0" w:color="auto"/>
          </w:divBdr>
        </w:div>
        <w:div w:id="773090953">
          <w:marLeft w:val="0"/>
          <w:marRight w:val="0"/>
          <w:marTop w:val="0"/>
          <w:marBottom w:val="0"/>
          <w:divBdr>
            <w:top w:val="none" w:sz="0" w:space="0" w:color="auto"/>
            <w:left w:val="none" w:sz="0" w:space="0" w:color="auto"/>
            <w:bottom w:val="none" w:sz="0" w:space="0" w:color="auto"/>
            <w:right w:val="none" w:sz="0" w:space="0" w:color="auto"/>
          </w:divBdr>
        </w:div>
        <w:div w:id="939601393">
          <w:marLeft w:val="0"/>
          <w:marRight w:val="0"/>
          <w:marTop w:val="0"/>
          <w:marBottom w:val="0"/>
          <w:divBdr>
            <w:top w:val="none" w:sz="0" w:space="0" w:color="auto"/>
            <w:left w:val="none" w:sz="0" w:space="0" w:color="auto"/>
            <w:bottom w:val="none" w:sz="0" w:space="0" w:color="auto"/>
            <w:right w:val="none" w:sz="0" w:space="0" w:color="auto"/>
          </w:divBdr>
        </w:div>
        <w:div w:id="178787104">
          <w:marLeft w:val="0"/>
          <w:marRight w:val="0"/>
          <w:marTop w:val="0"/>
          <w:marBottom w:val="0"/>
          <w:divBdr>
            <w:top w:val="none" w:sz="0" w:space="0" w:color="auto"/>
            <w:left w:val="none" w:sz="0" w:space="0" w:color="auto"/>
            <w:bottom w:val="none" w:sz="0" w:space="0" w:color="auto"/>
            <w:right w:val="none" w:sz="0" w:space="0" w:color="auto"/>
          </w:divBdr>
        </w:div>
        <w:div w:id="956326816">
          <w:marLeft w:val="0"/>
          <w:marRight w:val="0"/>
          <w:marTop w:val="0"/>
          <w:marBottom w:val="0"/>
          <w:divBdr>
            <w:top w:val="none" w:sz="0" w:space="0" w:color="auto"/>
            <w:left w:val="none" w:sz="0" w:space="0" w:color="auto"/>
            <w:bottom w:val="none" w:sz="0" w:space="0" w:color="auto"/>
            <w:right w:val="none" w:sz="0" w:space="0" w:color="auto"/>
          </w:divBdr>
        </w:div>
        <w:div w:id="236744510">
          <w:marLeft w:val="0"/>
          <w:marRight w:val="0"/>
          <w:marTop w:val="0"/>
          <w:marBottom w:val="0"/>
          <w:divBdr>
            <w:top w:val="none" w:sz="0" w:space="0" w:color="auto"/>
            <w:left w:val="none" w:sz="0" w:space="0" w:color="auto"/>
            <w:bottom w:val="none" w:sz="0" w:space="0" w:color="auto"/>
            <w:right w:val="none" w:sz="0" w:space="0" w:color="auto"/>
          </w:divBdr>
        </w:div>
        <w:div w:id="1000235314">
          <w:marLeft w:val="0"/>
          <w:marRight w:val="0"/>
          <w:marTop w:val="0"/>
          <w:marBottom w:val="0"/>
          <w:divBdr>
            <w:top w:val="none" w:sz="0" w:space="0" w:color="auto"/>
            <w:left w:val="none" w:sz="0" w:space="0" w:color="auto"/>
            <w:bottom w:val="none" w:sz="0" w:space="0" w:color="auto"/>
            <w:right w:val="none" w:sz="0" w:space="0" w:color="auto"/>
          </w:divBdr>
        </w:div>
        <w:div w:id="1645815947">
          <w:marLeft w:val="0"/>
          <w:marRight w:val="0"/>
          <w:marTop w:val="0"/>
          <w:marBottom w:val="0"/>
          <w:divBdr>
            <w:top w:val="none" w:sz="0" w:space="0" w:color="auto"/>
            <w:left w:val="none" w:sz="0" w:space="0" w:color="auto"/>
            <w:bottom w:val="none" w:sz="0" w:space="0" w:color="auto"/>
            <w:right w:val="none" w:sz="0" w:space="0" w:color="auto"/>
          </w:divBdr>
        </w:div>
        <w:div w:id="1620843912">
          <w:marLeft w:val="0"/>
          <w:marRight w:val="0"/>
          <w:marTop w:val="0"/>
          <w:marBottom w:val="0"/>
          <w:divBdr>
            <w:top w:val="none" w:sz="0" w:space="0" w:color="auto"/>
            <w:left w:val="none" w:sz="0" w:space="0" w:color="auto"/>
            <w:bottom w:val="none" w:sz="0" w:space="0" w:color="auto"/>
            <w:right w:val="none" w:sz="0" w:space="0" w:color="auto"/>
          </w:divBdr>
        </w:div>
        <w:div w:id="137646989">
          <w:marLeft w:val="0"/>
          <w:marRight w:val="0"/>
          <w:marTop w:val="0"/>
          <w:marBottom w:val="0"/>
          <w:divBdr>
            <w:top w:val="none" w:sz="0" w:space="0" w:color="auto"/>
            <w:left w:val="none" w:sz="0" w:space="0" w:color="auto"/>
            <w:bottom w:val="none" w:sz="0" w:space="0" w:color="auto"/>
            <w:right w:val="none" w:sz="0" w:space="0" w:color="auto"/>
          </w:divBdr>
        </w:div>
      </w:divsChild>
    </w:div>
    <w:div w:id="1893269845">
      <w:bodyDiv w:val="1"/>
      <w:marLeft w:val="0"/>
      <w:marRight w:val="0"/>
      <w:marTop w:val="0"/>
      <w:marBottom w:val="0"/>
      <w:divBdr>
        <w:top w:val="none" w:sz="0" w:space="0" w:color="auto"/>
        <w:left w:val="none" w:sz="0" w:space="0" w:color="auto"/>
        <w:bottom w:val="none" w:sz="0" w:space="0" w:color="auto"/>
        <w:right w:val="none" w:sz="0" w:space="0" w:color="auto"/>
      </w:divBdr>
    </w:div>
    <w:div w:id="2040743917">
      <w:bodyDiv w:val="1"/>
      <w:marLeft w:val="0"/>
      <w:marRight w:val="0"/>
      <w:marTop w:val="0"/>
      <w:marBottom w:val="0"/>
      <w:divBdr>
        <w:top w:val="none" w:sz="0" w:space="0" w:color="auto"/>
        <w:left w:val="none" w:sz="0" w:space="0" w:color="auto"/>
        <w:bottom w:val="none" w:sz="0" w:space="0" w:color="auto"/>
        <w:right w:val="none" w:sz="0" w:space="0" w:color="auto"/>
      </w:divBdr>
      <w:divsChild>
        <w:div w:id="232473271">
          <w:marLeft w:val="0"/>
          <w:marRight w:val="0"/>
          <w:marTop w:val="0"/>
          <w:marBottom w:val="0"/>
          <w:divBdr>
            <w:top w:val="none" w:sz="0" w:space="0" w:color="auto"/>
            <w:left w:val="none" w:sz="0" w:space="0" w:color="auto"/>
            <w:bottom w:val="none" w:sz="0" w:space="0" w:color="auto"/>
            <w:right w:val="none" w:sz="0" w:space="0" w:color="auto"/>
          </w:divBdr>
        </w:div>
        <w:div w:id="356930729">
          <w:marLeft w:val="0"/>
          <w:marRight w:val="0"/>
          <w:marTop w:val="0"/>
          <w:marBottom w:val="0"/>
          <w:divBdr>
            <w:top w:val="none" w:sz="0" w:space="0" w:color="auto"/>
            <w:left w:val="none" w:sz="0" w:space="0" w:color="auto"/>
            <w:bottom w:val="none" w:sz="0" w:space="0" w:color="auto"/>
            <w:right w:val="none" w:sz="0" w:space="0" w:color="auto"/>
          </w:divBdr>
        </w:div>
        <w:div w:id="1733196297">
          <w:marLeft w:val="0"/>
          <w:marRight w:val="0"/>
          <w:marTop w:val="0"/>
          <w:marBottom w:val="0"/>
          <w:divBdr>
            <w:top w:val="none" w:sz="0" w:space="0" w:color="auto"/>
            <w:left w:val="none" w:sz="0" w:space="0" w:color="auto"/>
            <w:bottom w:val="none" w:sz="0" w:space="0" w:color="auto"/>
            <w:right w:val="none" w:sz="0" w:space="0" w:color="auto"/>
          </w:divBdr>
        </w:div>
        <w:div w:id="1410077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881-019-00188-0" TargetMode="External"/><Relationship Id="rId18" Type="http://schemas.openxmlformats.org/officeDocument/2006/relationships/hyperlink" Target="https://www.bps.org.uk/news-and-policy/bps-code-human-research-ethic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11881-021-00240-7" TargetMode="External"/><Relationship Id="rId17" Type="http://schemas.openxmlformats.org/officeDocument/2006/relationships/hyperlink" Target="https://doi.org/10.1177/0261927X20909377" TargetMode="External"/><Relationship Id="rId2" Type="http://schemas.openxmlformats.org/officeDocument/2006/relationships/numbering" Target="numbering.xml"/><Relationship Id="rId16" Type="http://schemas.openxmlformats.org/officeDocument/2006/relationships/hyperlink" Target="https://doi.org/10.1016/j.cognition.2017.12.01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dys.1607" TargetMode="External"/><Relationship Id="rId5" Type="http://schemas.openxmlformats.org/officeDocument/2006/relationships/webSettings" Target="webSettings.xml"/><Relationship Id="rId15" Type="http://schemas.openxmlformats.org/officeDocument/2006/relationships/hyperlink" Target="https://doi.org/10.1002/dys.1674" TargetMode="External"/><Relationship Id="rId10" Type="http://schemas.openxmlformats.org/officeDocument/2006/relationships/hyperlink" Target="https://doi.org/10.1002/dys.161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11/jcom.12313" TargetMode="External"/><Relationship Id="rId14" Type="http://schemas.openxmlformats.org/officeDocument/2006/relationships/hyperlink" Target="https://doi.org/10.1002/dys.1659"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portrait.dot</Template>
  <TotalTime>9</TotalTime>
  <Pages>7</Pages>
  <Words>2074</Words>
  <Characters>11827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Dearna</cp:lastModifiedBy>
  <cp:revision>2</cp:revision>
  <cp:lastPrinted>2008-04-14T13:39:00Z</cp:lastPrinted>
  <dcterms:created xsi:type="dcterms:W3CDTF">2023-05-26T14:01:00Z</dcterms:created>
  <dcterms:modified xsi:type="dcterms:W3CDTF">2023-05-26T14:01:00Z</dcterms:modified>
</cp:coreProperties>
</file>