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821F8" w:rsidRPr="005821F8" w:rsidRDefault="005821F8" w:rsidP="005821F8">
      <w:pPr>
        <w:pStyle w:val="NormalWeb"/>
        <w:shd w:val="clear" w:color="auto" w:fill="FEFEFE"/>
        <w:spacing w:before="0" w:beforeAutospacing="0" w:after="360" w:afterAutospacing="0" w:line="360" w:lineRule="auto"/>
        <w:contextualSpacing/>
        <w:rPr>
          <w:color w:val="000000"/>
        </w:rPr>
      </w:pPr>
      <w:r w:rsidRPr="005821F8">
        <w:rPr>
          <w:color w:val="000000"/>
        </w:rPr>
        <w:t>Skills for Medievalists</w:t>
      </w:r>
    </w:p>
    <w:p w:rsidR="005821F8" w:rsidRPr="005821F8" w:rsidRDefault="005821F8" w:rsidP="005821F8">
      <w:pPr>
        <w:pStyle w:val="NormalWeb"/>
        <w:shd w:val="clear" w:color="auto" w:fill="FEFEFE"/>
        <w:spacing w:before="0" w:beforeAutospacing="0" w:after="360" w:afterAutospacing="0" w:line="360" w:lineRule="auto"/>
        <w:contextualSpacing/>
        <w:rPr>
          <w:color w:val="000000"/>
        </w:rPr>
      </w:pPr>
      <w:r w:rsidRPr="005821F8">
        <w:rPr>
          <w:color w:val="000000"/>
        </w:rPr>
        <w:t>Assessment five: Transcription</w:t>
      </w:r>
    </w:p>
    <w:p w:rsidR="005821F8" w:rsidRPr="005821F8" w:rsidRDefault="005821F8" w:rsidP="005821F8">
      <w:pPr>
        <w:pStyle w:val="NormalWeb"/>
        <w:shd w:val="clear" w:color="auto" w:fill="FEFEFE"/>
        <w:spacing w:before="0" w:beforeAutospacing="0" w:after="360" w:afterAutospacing="0" w:line="360" w:lineRule="auto"/>
        <w:contextualSpacing/>
        <w:rPr>
          <w:color w:val="000000"/>
        </w:rPr>
      </w:pPr>
      <w:r w:rsidRPr="005821F8">
        <w:rPr>
          <w:color w:val="000000"/>
        </w:rPr>
        <w:t>December 18, 2020</w:t>
      </w:r>
    </w:p>
    <w:p w:rsidR="005821F8" w:rsidRPr="005821F8" w:rsidRDefault="005821F8" w:rsidP="005821F8">
      <w:pPr>
        <w:pStyle w:val="NormalWeb"/>
        <w:shd w:val="clear" w:color="auto" w:fill="FEFEFE"/>
        <w:spacing w:before="0" w:beforeAutospacing="0" w:after="360" w:afterAutospacing="0" w:line="360" w:lineRule="auto"/>
        <w:contextualSpacing/>
        <w:rPr>
          <w:color w:val="000000"/>
        </w:rPr>
      </w:pPr>
      <w:r w:rsidRPr="005821F8">
        <w:rPr>
          <w:color w:val="000000"/>
        </w:rPr>
        <w:t>Carter Reid Henley</w:t>
      </w:r>
    </w:p>
    <w:p w:rsidR="00676731" w:rsidRDefault="00676731" w:rsidP="00676731">
      <w:pPr>
        <w:pStyle w:val="NormalWeb"/>
        <w:shd w:val="clear" w:color="auto" w:fill="FEFEFE"/>
        <w:spacing w:before="0" w:beforeAutospacing="0" w:after="360" w:afterAutospacing="0" w:line="336" w:lineRule="atLeast"/>
        <w:rPr>
          <w:b/>
          <w:i/>
          <w:color w:val="000000"/>
        </w:rPr>
      </w:pPr>
    </w:p>
    <w:p w:rsidR="005821F8" w:rsidRPr="00676731" w:rsidRDefault="00676731" w:rsidP="00676731">
      <w:pPr>
        <w:pStyle w:val="NormalWeb"/>
        <w:shd w:val="clear" w:color="auto" w:fill="FEFEFE"/>
        <w:spacing w:before="0" w:beforeAutospacing="0" w:after="360" w:afterAutospacing="0" w:line="336" w:lineRule="atLeast"/>
        <w:rPr>
          <w:b/>
          <w:i/>
          <w:color w:val="000000"/>
        </w:rPr>
      </w:pPr>
      <w:r>
        <w:rPr>
          <w:b/>
          <w:i/>
          <w:color w:val="000000"/>
        </w:rPr>
        <w:t>The Codex Aureus</w:t>
      </w:r>
    </w:p>
    <w:p w:rsidR="00575819" w:rsidRDefault="005821F8" w:rsidP="00575819">
      <w:pPr>
        <w:pStyle w:val="NormalWeb"/>
        <w:shd w:val="clear" w:color="auto" w:fill="FEFEFE"/>
        <w:spacing w:before="0" w:beforeAutospacing="0" w:after="360" w:afterAutospacing="0" w:line="336" w:lineRule="atLeast"/>
        <w:rPr>
          <w:shd w:val="clear" w:color="auto" w:fill="FFFFFF"/>
        </w:rPr>
      </w:pPr>
      <w:r>
        <w:rPr>
          <w:b/>
          <w:color w:val="000000"/>
        </w:rPr>
        <w:tab/>
      </w:r>
      <w:r w:rsidR="00575819">
        <w:rPr>
          <w:color w:val="000000"/>
        </w:rPr>
        <w:t>I have chosen to transcribe a ninth-century inscription written on a page of the eighth-century manuscript,</w:t>
      </w:r>
      <w:r>
        <w:rPr>
          <w:color w:val="000000"/>
        </w:rPr>
        <w:t xml:space="preserve"> </w:t>
      </w:r>
      <w:r>
        <w:rPr>
          <w:i/>
          <w:color w:val="000000"/>
        </w:rPr>
        <w:t>The Codex Aureus</w:t>
      </w:r>
      <w:r>
        <w:rPr>
          <w:color w:val="000000"/>
        </w:rPr>
        <w:t xml:space="preserve">. </w:t>
      </w:r>
      <w:r w:rsidR="00575819">
        <w:rPr>
          <w:color w:val="000000"/>
        </w:rPr>
        <w:t xml:space="preserve">Written in </w:t>
      </w:r>
      <w:r w:rsidR="006E155A">
        <w:rPr>
          <w:color w:val="000000"/>
        </w:rPr>
        <w:t>eighth-century</w:t>
      </w:r>
      <w:r w:rsidR="00575819">
        <w:rPr>
          <w:color w:val="000000"/>
        </w:rPr>
        <w:t xml:space="preserve"> England</w:t>
      </w:r>
      <w:r w:rsidR="005660C4">
        <w:rPr>
          <w:color w:val="000000"/>
        </w:rPr>
        <w:t>, it transcribes the Vulgate Latin Gospels</w:t>
      </w:r>
      <w:r w:rsidR="00575819">
        <w:rPr>
          <w:rStyle w:val="FootnoteReference"/>
          <w:color w:val="000000"/>
        </w:rPr>
        <w:footnoteReference w:id="1"/>
      </w:r>
      <w:r w:rsidR="005660C4">
        <w:rPr>
          <w:color w:val="000000"/>
        </w:rPr>
        <w:t>. T</w:t>
      </w:r>
      <w:r w:rsidR="006E155A">
        <w:rPr>
          <w:color w:val="000000"/>
        </w:rPr>
        <w:t xml:space="preserve">his Anglo-Saxon manuscript displays the depth of workmanship that occurred during this period in history. </w:t>
      </w:r>
      <w:r>
        <w:rPr>
          <w:color w:val="000000"/>
        </w:rPr>
        <w:t xml:space="preserve">The manuscript is not simply an ecclesiastical </w:t>
      </w:r>
      <w:r w:rsidR="00FD22BB">
        <w:rPr>
          <w:color w:val="000000"/>
        </w:rPr>
        <w:t xml:space="preserve">gospel but is also a work of art. Known as </w:t>
      </w:r>
      <w:r w:rsidR="0025638D">
        <w:rPr>
          <w:color w:val="000000"/>
        </w:rPr>
        <w:t>the ‘Golden Gospels, this</w:t>
      </w:r>
      <w:r w:rsidR="00B05E33">
        <w:rPr>
          <w:color w:val="000000"/>
        </w:rPr>
        <w:t xml:space="preserve"> illuminated manuscript </w:t>
      </w:r>
      <w:r w:rsidR="00FD22BB">
        <w:rPr>
          <w:color w:val="000000"/>
        </w:rPr>
        <w:t>is highly decorated and partially written with gold ink</w:t>
      </w:r>
      <w:r w:rsidR="00FD22BB">
        <w:rPr>
          <w:rStyle w:val="FootnoteReference"/>
          <w:color w:val="000000"/>
        </w:rPr>
        <w:footnoteReference w:id="2"/>
      </w:r>
      <w:r w:rsidR="00557260">
        <w:rPr>
          <w:color w:val="000000"/>
        </w:rPr>
        <w:t>. This is evident on t</w:t>
      </w:r>
      <w:r w:rsidR="00FD22BB">
        <w:rPr>
          <w:color w:val="000000"/>
        </w:rPr>
        <w:t xml:space="preserve">he first page of the Gospel of Matthew is highly stylized with gold leaf </w:t>
      </w:r>
      <w:r w:rsidR="00557260">
        <w:rPr>
          <w:color w:val="000000"/>
        </w:rPr>
        <w:t>paint</w:t>
      </w:r>
      <w:r w:rsidR="00557260">
        <w:rPr>
          <w:rStyle w:val="FootnoteReference"/>
          <w:color w:val="000000"/>
        </w:rPr>
        <w:footnoteReference w:id="3"/>
      </w:r>
      <w:r w:rsidR="00557260">
        <w:rPr>
          <w:color w:val="000000"/>
        </w:rPr>
        <w:t>. This manuscript is also written in many different ink co</w:t>
      </w:r>
      <w:r w:rsidR="006E155A">
        <w:rPr>
          <w:color w:val="000000"/>
        </w:rPr>
        <w:t>lors which adds</w:t>
      </w:r>
      <w:r w:rsidR="00557260">
        <w:rPr>
          <w:color w:val="000000"/>
        </w:rPr>
        <w:t xml:space="preserve"> to its uniqueness: black, red, gold, white, and silver</w:t>
      </w:r>
      <w:r w:rsidR="00557260">
        <w:rPr>
          <w:rStyle w:val="FootnoteReference"/>
          <w:color w:val="000000"/>
        </w:rPr>
        <w:footnoteReference w:id="4"/>
      </w:r>
      <w:r w:rsidR="00557260">
        <w:rPr>
          <w:color w:val="000000"/>
        </w:rPr>
        <w:t xml:space="preserve">. </w:t>
      </w:r>
      <w:r w:rsidR="00077578">
        <w:rPr>
          <w:i/>
          <w:color w:val="000000"/>
        </w:rPr>
        <w:t xml:space="preserve">The </w:t>
      </w:r>
      <w:r w:rsidR="00077578" w:rsidRPr="00077578">
        <w:rPr>
          <w:color w:val="000000"/>
        </w:rPr>
        <w:t>Codex</w:t>
      </w:r>
      <w:r w:rsidR="00077578">
        <w:rPr>
          <w:color w:val="000000"/>
        </w:rPr>
        <w:t xml:space="preserve"> is written in Latin and the stylization suggests strong influence from Italian and Roman-Catholic art</w:t>
      </w:r>
      <w:r w:rsidR="00077578">
        <w:rPr>
          <w:rStyle w:val="FootnoteReference"/>
          <w:color w:val="000000"/>
        </w:rPr>
        <w:footnoteReference w:id="5"/>
      </w:r>
      <w:r w:rsidR="00077578">
        <w:rPr>
          <w:color w:val="000000"/>
        </w:rPr>
        <w:t xml:space="preserve">. </w:t>
      </w:r>
      <w:r w:rsidR="00F75B90">
        <w:rPr>
          <w:shd w:val="clear" w:color="auto" w:fill="FFFFFF"/>
        </w:rPr>
        <w:t xml:space="preserve">The lettering appears to have been written with a broad quill; the construction of the words and letters appear large and uniform. </w:t>
      </w:r>
      <w:r w:rsidR="000D35F0">
        <w:rPr>
          <w:shd w:val="clear" w:color="auto" w:fill="FFFFFF"/>
        </w:rPr>
        <w:t xml:space="preserve">This type of writing is known as </w:t>
      </w:r>
      <w:r w:rsidR="008614D6">
        <w:rPr>
          <w:shd w:val="clear" w:color="auto" w:fill="FFFFFF"/>
        </w:rPr>
        <w:t>insular u</w:t>
      </w:r>
      <w:r w:rsidR="000D35F0">
        <w:rPr>
          <w:shd w:val="clear" w:color="auto" w:fill="FFFFFF"/>
        </w:rPr>
        <w:t>ncial</w:t>
      </w:r>
      <w:r w:rsidR="005660C4">
        <w:rPr>
          <w:shd w:val="clear" w:color="auto" w:fill="FFFFFF"/>
        </w:rPr>
        <w:t xml:space="preserve"> script</w:t>
      </w:r>
      <w:r w:rsidR="000D35F0">
        <w:rPr>
          <w:shd w:val="clear" w:color="auto" w:fill="FFFFFF"/>
        </w:rPr>
        <w:t xml:space="preserve"> and was prominent throughout the medieval period as a style of gospel writing.</w:t>
      </w:r>
      <w:r w:rsidR="005E6B3E" w:rsidRPr="005E6B3E">
        <w:t xml:space="preserve"> </w:t>
      </w:r>
      <w:r w:rsidR="005E6B3E" w:rsidRPr="007703BF">
        <w:t>“</w:t>
      </w:r>
      <w:r w:rsidR="005E6B3E" w:rsidRPr="007703BF">
        <w:rPr>
          <w:shd w:val="clear" w:color="auto" w:fill="FFFFFF"/>
        </w:rPr>
        <w:t>The uncial script, arranged on certain pages in patterns known as </w:t>
      </w:r>
      <w:r w:rsidR="005E6B3E" w:rsidRPr="007703BF">
        <w:rPr>
          <w:rStyle w:val="Emphasis"/>
          <w:shd w:val="clear" w:color="auto" w:fill="FFFFFF"/>
        </w:rPr>
        <w:t>carmina figurata </w:t>
      </w:r>
      <w:r w:rsidR="005E6B3E" w:rsidRPr="007703BF">
        <w:rPr>
          <w:shd w:val="clear" w:color="auto" w:fill="FFFFFF"/>
        </w:rPr>
        <w:t>(figure poems), the miniatures of the Evangelists, and the use of purple parchment all emulate the splendor of imperial manuscripts from late antiquity</w:t>
      </w:r>
      <w:r w:rsidR="005E6B3E">
        <w:rPr>
          <w:shd w:val="clear" w:color="auto" w:fill="FFFFFF"/>
        </w:rPr>
        <w:t>.</w:t>
      </w:r>
      <w:r w:rsidR="005E6B3E" w:rsidRPr="007703BF">
        <w:rPr>
          <w:shd w:val="clear" w:color="auto" w:fill="FFFFFF"/>
        </w:rPr>
        <w:t>”</w:t>
      </w:r>
      <w:r w:rsidR="005E6B3E" w:rsidRPr="007703BF">
        <w:rPr>
          <w:rStyle w:val="FootnoteReference"/>
          <w:shd w:val="clear" w:color="auto" w:fill="FFFFFF"/>
        </w:rPr>
        <w:footnoteReference w:id="6"/>
      </w:r>
      <w:r w:rsidR="005E6B3E" w:rsidRPr="007703BF">
        <w:rPr>
          <w:shd w:val="clear" w:color="auto" w:fill="FFFFFF"/>
        </w:rPr>
        <w:t xml:space="preserve"> </w:t>
      </w:r>
      <w:r w:rsidR="000D35F0">
        <w:rPr>
          <w:shd w:val="clear" w:color="auto" w:fill="FFFFFF"/>
        </w:rPr>
        <w:t xml:space="preserve"> </w:t>
      </w:r>
      <w:r w:rsidR="00925D70">
        <w:rPr>
          <w:shd w:val="clear" w:color="auto" w:fill="FFFFFF"/>
        </w:rPr>
        <w:t xml:space="preserve">This pre-Caroline script was commonly used for Latin texts, deriving its name from the Latin “uncia” meaning </w:t>
      </w:r>
      <w:r w:rsidR="008D5B19">
        <w:rPr>
          <w:shd w:val="clear" w:color="auto" w:fill="FFFFFF"/>
        </w:rPr>
        <w:t>“</w:t>
      </w:r>
      <w:r w:rsidR="00925D70">
        <w:rPr>
          <w:shd w:val="clear" w:color="auto" w:fill="FFFFFF"/>
        </w:rPr>
        <w:t>inch-high.”</w:t>
      </w:r>
      <w:r w:rsidR="008D5B19">
        <w:rPr>
          <w:rStyle w:val="FootnoteReference"/>
          <w:shd w:val="clear" w:color="auto" w:fill="FFFFFF"/>
        </w:rPr>
        <w:footnoteReference w:id="7"/>
      </w:r>
      <w:r w:rsidR="00925D70">
        <w:rPr>
          <w:shd w:val="clear" w:color="auto" w:fill="FFFFFF"/>
        </w:rPr>
        <w:t xml:space="preserve"> C</w:t>
      </w:r>
      <w:r w:rsidR="00CC5C8D">
        <w:rPr>
          <w:shd w:val="clear" w:color="auto" w:fill="FFFFFF"/>
        </w:rPr>
        <w:t>onversely, the small and delicate font of the inscription on the first page of the Gospel of Matthew</w:t>
      </w:r>
      <w:r w:rsidR="000D35F0">
        <w:rPr>
          <w:shd w:val="clear" w:color="auto" w:fill="FFFFFF"/>
        </w:rPr>
        <w:t>, kno</w:t>
      </w:r>
      <w:r w:rsidR="000D35F0" w:rsidRPr="00EB3E93">
        <w:rPr>
          <w:shd w:val="clear" w:color="auto" w:fill="FFFFFF"/>
        </w:rPr>
        <w:t>wn as half uncial</w:t>
      </w:r>
      <w:r w:rsidR="000D35F0">
        <w:rPr>
          <w:shd w:val="clear" w:color="auto" w:fill="FFFFFF"/>
        </w:rPr>
        <w:t xml:space="preserve">, </w:t>
      </w:r>
      <w:r w:rsidR="00CC5C8D">
        <w:rPr>
          <w:shd w:val="clear" w:color="auto" w:fill="FFFFFF"/>
        </w:rPr>
        <w:t xml:space="preserve">is in stark contrast to the rest of </w:t>
      </w:r>
      <w:r w:rsidR="00CC5C8D">
        <w:rPr>
          <w:i/>
          <w:shd w:val="clear" w:color="auto" w:fill="FFFFFF"/>
        </w:rPr>
        <w:t>The Codex</w:t>
      </w:r>
      <w:r w:rsidR="005660C4">
        <w:rPr>
          <w:i/>
          <w:shd w:val="clear" w:color="auto" w:fill="FFFFFF"/>
        </w:rPr>
        <w:t xml:space="preserve"> Aureus</w:t>
      </w:r>
      <w:r w:rsidR="00CC5C8D">
        <w:rPr>
          <w:i/>
          <w:shd w:val="clear" w:color="auto" w:fill="FFFFFF"/>
        </w:rPr>
        <w:t>.</w:t>
      </w:r>
      <w:r w:rsidR="00CC5C8D">
        <w:rPr>
          <w:shd w:val="clear" w:color="auto" w:fill="FFFFFF"/>
        </w:rPr>
        <w:t xml:space="preserve"> </w:t>
      </w:r>
    </w:p>
    <w:p w:rsidR="005E6B3E" w:rsidRDefault="005E6B3E" w:rsidP="005E6B3E">
      <w:pPr>
        <w:pStyle w:val="NormalWeb"/>
        <w:shd w:val="clear" w:color="auto" w:fill="FEFEFE"/>
        <w:spacing w:before="0" w:beforeAutospacing="0" w:after="360" w:afterAutospacing="0" w:line="336" w:lineRule="atLeast"/>
        <w:ind w:firstLine="720"/>
        <w:rPr>
          <w:shd w:val="clear" w:color="auto" w:fill="FFFFFF"/>
        </w:rPr>
      </w:pPr>
      <w:r>
        <w:rPr>
          <w:i/>
          <w:shd w:val="clear" w:color="auto" w:fill="FFFFFF"/>
        </w:rPr>
        <w:t>The Codex Aureus</w:t>
      </w:r>
      <w:r>
        <w:rPr>
          <w:shd w:val="clear" w:color="auto" w:fill="FFFFFF"/>
        </w:rPr>
        <w:t xml:space="preserve"> is an excellent example of the proficiency of the Anglo-Saxons in this time. </w:t>
      </w:r>
      <w:r w:rsidR="00E562D6">
        <w:rPr>
          <w:shd w:val="clear" w:color="auto" w:fill="FFFFFF"/>
        </w:rPr>
        <w:t xml:space="preserve">Highly decorated, its vellum pages and gold leaf paint showcases the importance of these texts to the Christian community in Southern England at the time. </w:t>
      </w:r>
      <w:r>
        <w:rPr>
          <w:shd w:val="clear" w:color="auto" w:fill="FFFFFF"/>
        </w:rPr>
        <w:t xml:space="preserve">In addition, the fact that it was </w:t>
      </w:r>
      <w:r>
        <w:rPr>
          <w:shd w:val="clear" w:color="auto" w:fill="FFFFFF"/>
        </w:rPr>
        <w:lastRenderedPageBreak/>
        <w:t xml:space="preserve">stolen and returned probably added to the manuscript’s importance to the English ecclesiastical and scholarly communities. Despite its importance to the Anglo-Saxons, its relevance may have dwindled following the Norman invasion. The manuscript ended up in mainland Europe despite its random and return in the ninth-century. In the sixteenth century, </w:t>
      </w:r>
      <w:r>
        <w:rPr>
          <w:i/>
          <w:shd w:val="clear" w:color="auto" w:fill="FFFFFF"/>
        </w:rPr>
        <w:t xml:space="preserve">The Codex </w:t>
      </w:r>
      <w:r w:rsidR="0087717F">
        <w:rPr>
          <w:shd w:val="clear" w:color="auto" w:fill="FFFFFF"/>
        </w:rPr>
        <w:t>appeared in</w:t>
      </w:r>
      <w:r>
        <w:rPr>
          <w:shd w:val="clear" w:color="auto" w:fill="FFFFFF"/>
        </w:rPr>
        <w:t xml:space="preserve"> Spain</w:t>
      </w:r>
      <w:r w:rsidR="0087717F">
        <w:rPr>
          <w:shd w:val="clear" w:color="auto" w:fill="FFFFFF"/>
        </w:rPr>
        <w:t xml:space="preserve"> as </w:t>
      </w:r>
      <w:r>
        <w:rPr>
          <w:shd w:val="clear" w:color="auto" w:fill="FFFFFF"/>
        </w:rPr>
        <w:t>part of the library of an English Catholic ex-patriot named Zurita</w:t>
      </w:r>
      <w:r>
        <w:rPr>
          <w:rStyle w:val="FootnoteReference"/>
          <w:shd w:val="clear" w:color="auto" w:fill="FFFFFF"/>
        </w:rPr>
        <w:footnoteReference w:id="8"/>
      </w:r>
      <w:r>
        <w:rPr>
          <w:shd w:val="clear" w:color="auto" w:fill="FFFFFF"/>
        </w:rPr>
        <w:t xml:space="preserve">. </w:t>
      </w:r>
      <w:r>
        <w:rPr>
          <w:color w:val="000000"/>
        </w:rPr>
        <w:t>The manuscript is presently held in the National Library of Sweden. In addition to its opulence and importance, an interesting story behind this beautiful piece of history is its loss and subsequent return to England.</w:t>
      </w:r>
    </w:p>
    <w:p w:rsidR="00676731" w:rsidRPr="00676731" w:rsidRDefault="00676731" w:rsidP="00575819">
      <w:pPr>
        <w:pStyle w:val="NormalWeb"/>
        <w:shd w:val="clear" w:color="auto" w:fill="FEFEFE"/>
        <w:spacing w:before="0" w:beforeAutospacing="0" w:after="360" w:afterAutospacing="0" w:line="336" w:lineRule="atLeast"/>
        <w:rPr>
          <w:i/>
          <w:shd w:val="clear" w:color="auto" w:fill="FFFFFF"/>
        </w:rPr>
      </w:pPr>
      <w:r>
        <w:rPr>
          <w:b/>
          <w:shd w:val="clear" w:color="auto" w:fill="FFFFFF"/>
        </w:rPr>
        <w:t>History of</w:t>
      </w:r>
      <w:r w:rsidRPr="006551CC">
        <w:rPr>
          <w:b/>
          <w:shd w:val="clear" w:color="auto" w:fill="FFFFFF"/>
        </w:rPr>
        <w:t xml:space="preserve"> </w:t>
      </w:r>
      <w:r w:rsidR="006551CC" w:rsidRPr="006551CC">
        <w:rPr>
          <w:b/>
          <w:shd w:val="clear" w:color="auto" w:fill="FFFFFF"/>
        </w:rPr>
        <w:t>t</w:t>
      </w:r>
      <w:r w:rsidRPr="006551CC">
        <w:rPr>
          <w:b/>
          <w:shd w:val="clear" w:color="auto" w:fill="FFFFFF"/>
        </w:rPr>
        <w:t xml:space="preserve">he </w:t>
      </w:r>
      <w:r>
        <w:rPr>
          <w:b/>
          <w:i/>
          <w:shd w:val="clear" w:color="auto" w:fill="FFFFFF"/>
        </w:rPr>
        <w:t>Codex</w:t>
      </w:r>
      <w:r w:rsidR="002C37A9">
        <w:rPr>
          <w:b/>
          <w:i/>
          <w:shd w:val="clear" w:color="auto" w:fill="FFFFFF"/>
        </w:rPr>
        <w:t xml:space="preserve"> Aureus </w:t>
      </w:r>
    </w:p>
    <w:p w:rsidR="000D35F0" w:rsidRDefault="000D35F0" w:rsidP="00575819">
      <w:pPr>
        <w:pStyle w:val="NormalWeb"/>
        <w:shd w:val="clear" w:color="auto" w:fill="FEFEFE"/>
        <w:spacing w:before="0" w:beforeAutospacing="0" w:after="360" w:afterAutospacing="0" w:line="336" w:lineRule="atLeast"/>
        <w:ind w:firstLine="720"/>
        <w:rPr>
          <w:shd w:val="clear" w:color="auto" w:fill="FFFFFF"/>
        </w:rPr>
      </w:pPr>
      <w:r>
        <w:rPr>
          <w:color w:val="000000"/>
        </w:rPr>
        <w:t xml:space="preserve">Written in a time when raids from other hegemonic dynasties was an ever present danger, it was purportedly housed in Canterbury for safe keeping. However, it was not until the next century when raids from vikinger bands along the coast of both Britain and Western Europe began to occur with increasing numbers and ferocity. Due to these raids, the prospect of losing valuable historical objects was great. Items like gold, jewels, books, and sacred relics were often looted from monostatic houses during these raids. This codex, for example, was allegedly stolen by raiders from Canterbury, but returned to the Cathedral sometime later by good Samaritans. On the opening page of the Gospel of Matthew (referenced above), there is an inscription covering the free space around the author’s words. The words, written in Old English, tell a story of an ealdorman named Alfred and his wife Werberg’s purchase of </w:t>
      </w:r>
      <w:r>
        <w:rPr>
          <w:i/>
          <w:color w:val="000000"/>
        </w:rPr>
        <w:t>The Codex</w:t>
      </w:r>
      <w:r w:rsidR="0006572E">
        <w:rPr>
          <w:i/>
          <w:color w:val="000000"/>
        </w:rPr>
        <w:t xml:space="preserve"> Aureus</w:t>
      </w:r>
      <w:r>
        <w:rPr>
          <w:color w:val="000000"/>
        </w:rPr>
        <w:t xml:space="preserve"> from the Norse Army and its gifting back to Canterbury.</w:t>
      </w:r>
    </w:p>
    <w:p w:rsidR="006A659B" w:rsidRDefault="00F75B90" w:rsidP="007C25CF">
      <w:pPr>
        <w:pStyle w:val="NormalWeb"/>
        <w:shd w:val="clear" w:color="auto" w:fill="FEFEFE"/>
        <w:spacing w:before="0" w:beforeAutospacing="0" w:after="360" w:afterAutospacing="0" w:line="336" w:lineRule="atLeast"/>
        <w:ind w:firstLine="720"/>
        <w:rPr>
          <w:shd w:val="clear" w:color="auto" w:fill="FFFFFF"/>
        </w:rPr>
      </w:pPr>
      <w:r>
        <w:rPr>
          <w:shd w:val="clear" w:color="auto" w:fill="FFFFFF"/>
        </w:rPr>
        <w:t xml:space="preserve">Literacy was a priority in Wessex during the later reign of Alfred the Great. The king mandated that his </w:t>
      </w:r>
      <w:r w:rsidR="00901E92">
        <w:rPr>
          <w:shd w:val="clear" w:color="auto" w:fill="FFFFFF"/>
        </w:rPr>
        <w:t>ealdorman</w:t>
      </w:r>
      <w:r>
        <w:rPr>
          <w:shd w:val="clear" w:color="auto" w:fill="FFFFFF"/>
        </w:rPr>
        <w:t xml:space="preserve"> learn to read and write as part of his restructuring of the court. (This push for literacy did not apply to the working class, however.) </w:t>
      </w:r>
      <w:r w:rsidR="0048641E" w:rsidRPr="000D35F0">
        <w:rPr>
          <w:color w:val="000000"/>
          <w:shd w:val="clear" w:color="auto" w:fill="FEFEFE"/>
        </w:rPr>
        <w:t>Latin was considered the language of the educated in England following the withdrawal of the Romans in the fifth-century. However, the presence of writings in Old English became more prevalent during the late ninth-century. This is largely due to Alfred the Great’s focus on literacy and education. In addition, he spent a large portion of the end of his life transcribing the psalms into Old English.</w:t>
      </w:r>
    </w:p>
    <w:p w:rsidR="007C25CF" w:rsidRDefault="00756585" w:rsidP="007C25CF">
      <w:pPr>
        <w:pStyle w:val="NormalWeb"/>
        <w:shd w:val="clear" w:color="auto" w:fill="FEFEFE"/>
        <w:spacing w:before="0" w:beforeAutospacing="0" w:after="360" w:afterAutospacing="0" w:line="336" w:lineRule="atLeast"/>
        <w:rPr>
          <w:b/>
          <w:shd w:val="clear" w:color="auto" w:fill="FFFFFF"/>
        </w:rPr>
      </w:pPr>
      <w:r>
        <w:rPr>
          <w:b/>
          <w:shd w:val="clear" w:color="auto" w:fill="FFFFFF"/>
        </w:rPr>
        <w:t>The I</w:t>
      </w:r>
      <w:bookmarkStart w:id="0" w:name="_GoBack"/>
      <w:bookmarkEnd w:id="0"/>
      <w:r w:rsidR="007C25CF">
        <w:rPr>
          <w:b/>
          <w:shd w:val="clear" w:color="auto" w:fill="FFFFFF"/>
        </w:rPr>
        <w:t>nscription</w:t>
      </w:r>
    </w:p>
    <w:p w:rsidR="00925D70" w:rsidRPr="0052274E" w:rsidRDefault="0052274E" w:rsidP="007C25CF">
      <w:pPr>
        <w:pStyle w:val="NormalWeb"/>
        <w:shd w:val="clear" w:color="auto" w:fill="FEFEFE"/>
        <w:spacing w:before="0" w:beforeAutospacing="0" w:after="360" w:afterAutospacing="0" w:line="336" w:lineRule="atLeast"/>
        <w:rPr>
          <w:shd w:val="clear" w:color="auto" w:fill="FFFFFF"/>
        </w:rPr>
      </w:pPr>
      <w:r>
        <w:rPr>
          <w:b/>
          <w:shd w:val="clear" w:color="auto" w:fill="FFFFFF"/>
        </w:rPr>
        <w:tab/>
      </w:r>
      <w:r w:rsidR="00BF773B">
        <w:rPr>
          <w:shd w:val="clear" w:color="auto" w:fill="FFFFFF"/>
        </w:rPr>
        <w:t xml:space="preserve">The inscription differs from the manuscript in many ways. </w:t>
      </w:r>
      <w:r w:rsidRPr="00BF773B">
        <w:rPr>
          <w:shd w:val="clear" w:color="auto" w:fill="FFFFFF"/>
        </w:rPr>
        <w:t xml:space="preserve">The half uncial </w:t>
      </w:r>
      <w:r w:rsidR="00BF773B">
        <w:rPr>
          <w:shd w:val="clear" w:color="auto" w:fill="FFFFFF"/>
        </w:rPr>
        <w:t>font</w:t>
      </w:r>
      <w:r>
        <w:rPr>
          <w:shd w:val="clear" w:color="auto" w:fill="FFFFFF"/>
        </w:rPr>
        <w:t xml:space="preserve"> of the inscription highlights the difference between it and the formal gospel style of the rest of the text</w:t>
      </w:r>
      <w:r w:rsidR="008614D6">
        <w:rPr>
          <w:shd w:val="clear" w:color="auto" w:fill="FFFFFF"/>
        </w:rPr>
        <w:t xml:space="preserve"> (u</w:t>
      </w:r>
      <w:r w:rsidR="008D5B19">
        <w:rPr>
          <w:shd w:val="clear" w:color="auto" w:fill="FFFFFF"/>
        </w:rPr>
        <w:t>ncial)</w:t>
      </w:r>
      <w:r>
        <w:rPr>
          <w:shd w:val="clear" w:color="auto" w:fill="FFFFFF"/>
        </w:rPr>
        <w:t>.</w:t>
      </w:r>
      <w:r w:rsidR="00CE1B28">
        <w:rPr>
          <w:shd w:val="clear" w:color="auto" w:fill="FFFFFF"/>
        </w:rPr>
        <w:t xml:space="preserve"> </w:t>
      </w:r>
      <w:r w:rsidR="00BF773B">
        <w:rPr>
          <w:shd w:val="clear" w:color="auto" w:fill="FFFFFF"/>
        </w:rPr>
        <w:t>The Old English script is written with a delicate hand in a less formal script. The half uncial font is also more similar to cursive in its appearance. Perhaps</w:t>
      </w:r>
      <w:r w:rsidR="00025695">
        <w:rPr>
          <w:shd w:val="clear" w:color="auto" w:fill="FFFFFF"/>
        </w:rPr>
        <w:t xml:space="preserve"> the author did not want to </w:t>
      </w:r>
      <w:r w:rsidR="00BF773B">
        <w:rPr>
          <w:shd w:val="clear" w:color="auto" w:fill="FFFFFF"/>
        </w:rPr>
        <w:lastRenderedPageBreak/>
        <w:t xml:space="preserve">immediately </w:t>
      </w:r>
      <w:r w:rsidR="00025695">
        <w:rPr>
          <w:shd w:val="clear" w:color="auto" w:fill="FFFFFF"/>
        </w:rPr>
        <w:t>deceive readers into thinking the inscription was part of the main gospel text.</w:t>
      </w:r>
      <w:r w:rsidR="00BF773B">
        <w:rPr>
          <w:shd w:val="clear" w:color="auto" w:fill="FFFFFF"/>
        </w:rPr>
        <w:t xml:space="preserve"> Or the author was not part of the religious community and therefore did not write in the traditional gospel script.</w:t>
      </w:r>
      <w:r w:rsidR="00025695">
        <w:rPr>
          <w:shd w:val="clear" w:color="auto" w:fill="FFFFFF"/>
        </w:rPr>
        <w:t xml:space="preserve"> </w:t>
      </w:r>
      <w:r w:rsidR="00BF773B">
        <w:rPr>
          <w:shd w:val="clear" w:color="auto" w:fill="FFFFFF"/>
        </w:rPr>
        <w:t xml:space="preserve">Furthermore, the </w:t>
      </w:r>
      <w:r w:rsidR="00CE1B28">
        <w:rPr>
          <w:shd w:val="clear" w:color="auto" w:fill="FFFFFF"/>
        </w:rPr>
        <w:t xml:space="preserve">inscription is written </w:t>
      </w:r>
      <w:r w:rsidR="00BF773B">
        <w:rPr>
          <w:shd w:val="clear" w:color="auto" w:fill="FFFFFF"/>
        </w:rPr>
        <w:t xml:space="preserve">in Old English both </w:t>
      </w:r>
      <w:r w:rsidR="00CE1B28">
        <w:rPr>
          <w:shd w:val="clear" w:color="auto" w:fill="FFFFFF"/>
        </w:rPr>
        <w:t>above and below the extravagant Latin text on the first page of the Gospel of Ma</w:t>
      </w:r>
      <w:r w:rsidR="00901081">
        <w:rPr>
          <w:shd w:val="clear" w:color="auto" w:fill="FFFFFF"/>
        </w:rPr>
        <w:t>tthew known as the Chi-Rho page</w:t>
      </w:r>
      <w:r w:rsidR="00901081">
        <w:rPr>
          <w:rStyle w:val="FootnoteReference"/>
          <w:shd w:val="clear" w:color="auto" w:fill="FFFFFF"/>
        </w:rPr>
        <w:footnoteReference w:id="9"/>
      </w:r>
      <w:r w:rsidR="00901081">
        <w:rPr>
          <w:shd w:val="clear" w:color="auto" w:fill="FFFFFF"/>
        </w:rPr>
        <w:t xml:space="preserve">. </w:t>
      </w:r>
      <w:r w:rsidR="00925D70">
        <w:rPr>
          <w:shd w:val="clear" w:color="auto" w:fill="FFFFFF"/>
        </w:rPr>
        <w:t xml:space="preserve">The narrative of the text is also different than the whole of the </w:t>
      </w:r>
      <w:r w:rsidR="00925D70" w:rsidRPr="00925D70">
        <w:rPr>
          <w:i/>
          <w:shd w:val="clear" w:color="auto" w:fill="FFFFFF"/>
        </w:rPr>
        <w:t xml:space="preserve">Codex </w:t>
      </w:r>
      <w:r w:rsidR="00925D70">
        <w:rPr>
          <w:shd w:val="clear" w:color="auto" w:fill="FFFFFF"/>
        </w:rPr>
        <w:t xml:space="preserve">itself. Written by or for an </w:t>
      </w:r>
      <w:r w:rsidR="00980C80">
        <w:rPr>
          <w:shd w:val="clear" w:color="auto" w:fill="FFFFFF"/>
        </w:rPr>
        <w:t>ealdorman</w:t>
      </w:r>
      <w:r w:rsidR="00925D70">
        <w:rPr>
          <w:shd w:val="clear" w:color="auto" w:fill="FFFFFF"/>
        </w:rPr>
        <w:t xml:space="preserve"> named Alfred, the script tells the story about the manuscript’s theft and return to Canterbury. </w:t>
      </w:r>
    </w:p>
    <w:p w:rsidR="00B571E8" w:rsidRPr="0025638D" w:rsidRDefault="00B571E8" w:rsidP="00B571E8">
      <w:pPr>
        <w:pStyle w:val="NormalWeb"/>
        <w:shd w:val="clear" w:color="auto" w:fill="FEFEFE"/>
        <w:spacing w:before="0" w:beforeAutospacing="0" w:after="360" w:afterAutospacing="0" w:line="336" w:lineRule="atLeast"/>
        <w:rPr>
          <w:color w:val="000000"/>
        </w:rPr>
      </w:pPr>
      <w:r>
        <w:rPr>
          <w:color w:val="000000"/>
        </w:rPr>
        <w:t xml:space="preserve">The </w:t>
      </w:r>
      <w:r w:rsidR="003A03B2">
        <w:rPr>
          <w:color w:val="000000"/>
        </w:rPr>
        <w:t>ninth</w:t>
      </w:r>
      <w:r w:rsidR="00150AA2">
        <w:rPr>
          <w:color w:val="000000"/>
        </w:rPr>
        <w:t xml:space="preserve">-century </w:t>
      </w:r>
      <w:r>
        <w:rPr>
          <w:color w:val="000000"/>
        </w:rPr>
        <w:t>inscription reads:</w:t>
      </w:r>
    </w:p>
    <w:p w:rsidR="0045045C" w:rsidRPr="005821F8" w:rsidRDefault="00954791" w:rsidP="00954791">
      <w:pPr>
        <w:pStyle w:val="NormalWeb"/>
        <w:shd w:val="clear" w:color="auto" w:fill="FEFEFE"/>
        <w:spacing w:before="0" w:beforeAutospacing="0" w:after="360" w:afterAutospacing="0" w:line="336" w:lineRule="atLeast"/>
        <w:rPr>
          <w:b/>
          <w:color w:val="000000"/>
        </w:rPr>
      </w:pPr>
      <w:r w:rsidRPr="005821F8">
        <w:rPr>
          <w:b/>
          <w:color w:val="000000"/>
        </w:rPr>
        <w:t xml:space="preserve">In nomine Domini nostri Ihesu Christi Ic Aelfred aldormon ond </w:t>
      </w:r>
    </w:p>
    <w:p w:rsidR="006E155A" w:rsidRPr="005821F8" w:rsidRDefault="0045045C" w:rsidP="00954791">
      <w:pPr>
        <w:pStyle w:val="NormalWeb"/>
        <w:shd w:val="clear" w:color="auto" w:fill="FEFEFE"/>
        <w:spacing w:before="0" w:beforeAutospacing="0" w:after="360" w:afterAutospacing="0" w:line="336" w:lineRule="atLeast"/>
        <w:rPr>
          <w:color w:val="000000"/>
        </w:rPr>
      </w:pPr>
      <w:r w:rsidRPr="005821F8">
        <w:rPr>
          <w:color w:val="000000"/>
        </w:rPr>
        <w:t>In the name of Jesus Christ I ealdorman Alfred and</w:t>
      </w:r>
    </w:p>
    <w:p w:rsidR="0045045C" w:rsidRPr="005821F8" w:rsidRDefault="00954791" w:rsidP="00954791">
      <w:pPr>
        <w:pStyle w:val="NormalWeb"/>
        <w:shd w:val="clear" w:color="auto" w:fill="FEFEFE"/>
        <w:spacing w:before="0" w:beforeAutospacing="0" w:after="360" w:afterAutospacing="0" w:line="336" w:lineRule="atLeast"/>
        <w:rPr>
          <w:b/>
          <w:color w:val="000000"/>
        </w:rPr>
      </w:pPr>
      <w:r w:rsidRPr="005821F8">
        <w:rPr>
          <w:b/>
          <w:color w:val="000000"/>
        </w:rPr>
        <w:t>Werburg min gefera begetan ðas bec æt haeðnum herge mid uncre</w:t>
      </w:r>
    </w:p>
    <w:p w:rsidR="0045045C" w:rsidRPr="005821F8" w:rsidRDefault="0045045C" w:rsidP="00954791">
      <w:pPr>
        <w:pStyle w:val="NormalWeb"/>
        <w:shd w:val="clear" w:color="auto" w:fill="FEFEFE"/>
        <w:spacing w:before="0" w:beforeAutospacing="0" w:after="360" w:afterAutospacing="0" w:line="336" w:lineRule="atLeast"/>
        <w:rPr>
          <w:color w:val="000000"/>
        </w:rPr>
      </w:pPr>
      <w:r w:rsidRPr="005821F8">
        <w:rPr>
          <w:color w:val="000000"/>
        </w:rPr>
        <w:t>Werburg</w:t>
      </w:r>
      <w:r w:rsidR="00FD22BB">
        <w:rPr>
          <w:color w:val="000000"/>
        </w:rPr>
        <w:t xml:space="preserve"> my wife</w:t>
      </w:r>
      <w:r w:rsidRPr="005821F8">
        <w:rPr>
          <w:color w:val="000000"/>
        </w:rPr>
        <w:t xml:space="preserve"> obtained the book (property) from the </w:t>
      </w:r>
      <w:r w:rsidR="006E155A">
        <w:rPr>
          <w:color w:val="000000"/>
        </w:rPr>
        <w:t xml:space="preserve">heathen </w:t>
      </w:r>
      <w:r w:rsidRPr="005821F8">
        <w:rPr>
          <w:color w:val="000000"/>
        </w:rPr>
        <w:t>army with our</w:t>
      </w:r>
    </w:p>
    <w:p w:rsidR="0045045C" w:rsidRPr="005821F8" w:rsidRDefault="00954791" w:rsidP="00954791">
      <w:pPr>
        <w:pStyle w:val="NormalWeb"/>
        <w:shd w:val="clear" w:color="auto" w:fill="FEFEFE"/>
        <w:spacing w:before="0" w:beforeAutospacing="0" w:after="360" w:afterAutospacing="0" w:line="336" w:lineRule="atLeast"/>
        <w:rPr>
          <w:b/>
          <w:color w:val="000000"/>
        </w:rPr>
      </w:pPr>
      <w:r w:rsidRPr="005821F8">
        <w:rPr>
          <w:b/>
          <w:color w:val="000000"/>
        </w:rPr>
        <w:t xml:space="preserve"> claene feo, ðæt ðonne wæs mid clæne golde, ond ðæt wit deodan </w:t>
      </w:r>
    </w:p>
    <w:p w:rsidR="0045045C" w:rsidRPr="005821F8" w:rsidRDefault="0045045C" w:rsidP="00954791">
      <w:pPr>
        <w:pStyle w:val="NormalWeb"/>
        <w:shd w:val="clear" w:color="auto" w:fill="FEFEFE"/>
        <w:spacing w:before="0" w:beforeAutospacing="0" w:after="360" w:afterAutospacing="0" w:line="336" w:lineRule="atLeast"/>
        <w:rPr>
          <w:color w:val="000000"/>
        </w:rPr>
      </w:pPr>
      <w:r w:rsidRPr="005821F8">
        <w:rPr>
          <w:color w:val="000000"/>
        </w:rPr>
        <w:t xml:space="preserve">clean money, with our clean gold, and with our </w:t>
      </w:r>
      <w:r w:rsidR="001607D4">
        <w:rPr>
          <w:color w:val="000000"/>
        </w:rPr>
        <w:t>[deodan</w:t>
      </w:r>
      <w:r w:rsidR="000830C9">
        <w:rPr>
          <w:color w:val="000000"/>
        </w:rPr>
        <w:t>- devotion?</w:t>
      </w:r>
      <w:r w:rsidR="001607D4">
        <w:rPr>
          <w:color w:val="000000"/>
        </w:rPr>
        <w:t>]</w:t>
      </w:r>
    </w:p>
    <w:p w:rsidR="001607D4" w:rsidRDefault="00954791" w:rsidP="00954791">
      <w:pPr>
        <w:pStyle w:val="NormalWeb"/>
        <w:shd w:val="clear" w:color="auto" w:fill="FEFEFE"/>
        <w:spacing w:before="0" w:beforeAutospacing="0" w:after="360" w:afterAutospacing="0" w:line="336" w:lineRule="atLeast"/>
        <w:rPr>
          <w:b/>
          <w:color w:val="000000"/>
        </w:rPr>
      </w:pPr>
      <w:r w:rsidRPr="005821F8">
        <w:rPr>
          <w:b/>
          <w:color w:val="000000"/>
        </w:rPr>
        <w:t>for Godes lufan ond for uncre saule ðearfe.</w:t>
      </w:r>
    </w:p>
    <w:p w:rsidR="005821F8" w:rsidRPr="001607D4" w:rsidRDefault="005821F8" w:rsidP="00954791">
      <w:pPr>
        <w:pStyle w:val="NormalWeb"/>
        <w:shd w:val="clear" w:color="auto" w:fill="FEFEFE"/>
        <w:spacing w:before="0" w:beforeAutospacing="0" w:after="360" w:afterAutospacing="0" w:line="336" w:lineRule="atLeast"/>
        <w:rPr>
          <w:b/>
          <w:color w:val="000000"/>
        </w:rPr>
      </w:pPr>
      <w:r>
        <w:rPr>
          <w:color w:val="000000"/>
        </w:rPr>
        <w:t xml:space="preserve">for God’s love </w:t>
      </w:r>
      <w:r w:rsidRPr="005821F8">
        <w:rPr>
          <w:color w:val="000000"/>
        </w:rPr>
        <w:t>and for our souls’ benefit.</w:t>
      </w:r>
    </w:p>
    <w:p w:rsidR="006E155A" w:rsidRDefault="00954791" w:rsidP="00954791">
      <w:pPr>
        <w:pStyle w:val="NormalWeb"/>
        <w:shd w:val="clear" w:color="auto" w:fill="FEFEFE"/>
        <w:spacing w:before="0" w:beforeAutospacing="0" w:after="360" w:afterAutospacing="0" w:line="336" w:lineRule="atLeast"/>
        <w:rPr>
          <w:b/>
          <w:color w:val="000000"/>
        </w:rPr>
      </w:pPr>
      <w:r w:rsidRPr="005821F8">
        <w:rPr>
          <w:b/>
          <w:color w:val="000000"/>
        </w:rPr>
        <w:t>Ond for ðon ðe wit noldan ðæt ðas halgan beoc lencg in ðære haeðenesse wunaden, ond nu</w:t>
      </w:r>
    </w:p>
    <w:p w:rsidR="006E155A" w:rsidRPr="006E155A" w:rsidRDefault="006E155A" w:rsidP="00954791">
      <w:pPr>
        <w:pStyle w:val="NormalWeb"/>
        <w:shd w:val="clear" w:color="auto" w:fill="FEFEFE"/>
        <w:spacing w:before="0" w:beforeAutospacing="0" w:after="360" w:afterAutospacing="0" w:line="336" w:lineRule="atLeast"/>
        <w:rPr>
          <w:color w:val="000000"/>
        </w:rPr>
      </w:pPr>
      <w:r>
        <w:rPr>
          <w:color w:val="000000"/>
        </w:rPr>
        <w:t>We did not want our holy book to remain with the heathen war band, and now</w:t>
      </w:r>
    </w:p>
    <w:p w:rsidR="006E155A" w:rsidRDefault="00954791" w:rsidP="00954791">
      <w:pPr>
        <w:pStyle w:val="NormalWeb"/>
        <w:shd w:val="clear" w:color="auto" w:fill="FEFEFE"/>
        <w:spacing w:before="0" w:beforeAutospacing="0" w:after="360" w:afterAutospacing="0" w:line="336" w:lineRule="atLeast"/>
        <w:rPr>
          <w:b/>
          <w:color w:val="000000"/>
        </w:rPr>
      </w:pPr>
      <w:r w:rsidRPr="005821F8">
        <w:rPr>
          <w:b/>
          <w:color w:val="000000"/>
        </w:rPr>
        <w:t xml:space="preserve"> willað heo gesellan inn to Cristes circan Gode to lofe ond to wuldre ond to weorðunga, ond</w:t>
      </w:r>
    </w:p>
    <w:p w:rsidR="006E155A" w:rsidRPr="006E155A" w:rsidRDefault="006E155A" w:rsidP="00954791">
      <w:pPr>
        <w:pStyle w:val="NormalWeb"/>
        <w:shd w:val="clear" w:color="auto" w:fill="FEFEFE"/>
        <w:spacing w:before="0" w:beforeAutospacing="0" w:after="360" w:afterAutospacing="0" w:line="336" w:lineRule="atLeast"/>
        <w:rPr>
          <w:color w:val="000000"/>
        </w:rPr>
      </w:pPr>
      <w:r>
        <w:rPr>
          <w:color w:val="000000"/>
        </w:rPr>
        <w:t>we want to gift it to Christ’s Church for God’s praise and honor and glory, and</w:t>
      </w:r>
    </w:p>
    <w:p w:rsidR="006E155A" w:rsidRDefault="00954791" w:rsidP="00954791">
      <w:pPr>
        <w:pStyle w:val="NormalWeb"/>
        <w:shd w:val="clear" w:color="auto" w:fill="FEFEFE"/>
        <w:spacing w:before="0" w:beforeAutospacing="0" w:after="360" w:afterAutospacing="0" w:line="336" w:lineRule="atLeast"/>
        <w:rPr>
          <w:b/>
          <w:color w:val="000000"/>
        </w:rPr>
      </w:pPr>
      <w:r w:rsidRPr="005821F8">
        <w:rPr>
          <w:b/>
          <w:color w:val="000000"/>
        </w:rPr>
        <w:lastRenderedPageBreak/>
        <w:t xml:space="preserve"> his ðrowunga to ðoncunga, ond ðæm godcundan geferscipe to brucenne ðe in Cristes</w:t>
      </w:r>
    </w:p>
    <w:p w:rsidR="006E155A" w:rsidRPr="006E155A" w:rsidRDefault="006E155A" w:rsidP="00954791">
      <w:pPr>
        <w:pStyle w:val="NormalWeb"/>
        <w:shd w:val="clear" w:color="auto" w:fill="FEFEFE"/>
        <w:spacing w:before="0" w:beforeAutospacing="0" w:after="360" w:afterAutospacing="0" w:line="336" w:lineRule="atLeast"/>
        <w:rPr>
          <w:color w:val="000000"/>
        </w:rPr>
      </w:pPr>
      <w:r>
        <w:rPr>
          <w:color w:val="000000"/>
        </w:rPr>
        <w:t>in gratitude</w:t>
      </w:r>
      <w:r w:rsidR="007C25CF">
        <w:rPr>
          <w:color w:val="000000"/>
        </w:rPr>
        <w:t xml:space="preserve"> for the </w:t>
      </w:r>
      <w:r>
        <w:rPr>
          <w:color w:val="000000"/>
        </w:rPr>
        <w:t>community</w:t>
      </w:r>
      <w:r w:rsidR="007C25CF">
        <w:rPr>
          <w:color w:val="000000"/>
        </w:rPr>
        <w:t xml:space="preserve"> of God,</w:t>
      </w:r>
      <w:r>
        <w:rPr>
          <w:color w:val="000000"/>
        </w:rPr>
        <w:t xml:space="preserve"> who everyday </w:t>
      </w:r>
      <w:r w:rsidR="007C25CF">
        <w:rPr>
          <w:color w:val="000000"/>
        </w:rPr>
        <w:t xml:space="preserve">praise </w:t>
      </w:r>
      <w:r>
        <w:rPr>
          <w:color w:val="000000"/>
        </w:rPr>
        <w:t>God’</w:t>
      </w:r>
      <w:r w:rsidR="007C25CF">
        <w:rPr>
          <w:color w:val="000000"/>
        </w:rPr>
        <w:t xml:space="preserve">s wisdom </w:t>
      </w:r>
      <w:r>
        <w:rPr>
          <w:color w:val="000000"/>
        </w:rPr>
        <w:t xml:space="preserve">in Christ’s </w:t>
      </w:r>
    </w:p>
    <w:p w:rsidR="006E155A" w:rsidRDefault="00954791" w:rsidP="00954791">
      <w:pPr>
        <w:pStyle w:val="NormalWeb"/>
        <w:shd w:val="clear" w:color="auto" w:fill="FEFEFE"/>
        <w:spacing w:before="0" w:beforeAutospacing="0" w:after="360" w:afterAutospacing="0" w:line="336" w:lineRule="atLeast"/>
        <w:rPr>
          <w:b/>
          <w:color w:val="000000"/>
        </w:rPr>
      </w:pPr>
      <w:r w:rsidRPr="005821F8">
        <w:rPr>
          <w:b/>
          <w:color w:val="000000"/>
        </w:rPr>
        <w:t xml:space="preserve"> circan dæghwæmlice Godes lof rærað, to ðæm gerade ðæt heo mon arede eghwelce</w:t>
      </w:r>
    </w:p>
    <w:p w:rsidR="006E155A" w:rsidRPr="006E155A" w:rsidRDefault="006E155A" w:rsidP="00954791">
      <w:pPr>
        <w:pStyle w:val="NormalWeb"/>
        <w:shd w:val="clear" w:color="auto" w:fill="FEFEFE"/>
        <w:spacing w:before="0" w:beforeAutospacing="0" w:after="360" w:afterAutospacing="0" w:line="336" w:lineRule="atLeast"/>
        <w:rPr>
          <w:color w:val="000000"/>
        </w:rPr>
      </w:pPr>
      <w:r>
        <w:rPr>
          <w:color w:val="000000"/>
        </w:rPr>
        <w:t>church,</w:t>
      </w:r>
      <w:r w:rsidR="007C25CF">
        <w:rPr>
          <w:color w:val="000000"/>
        </w:rPr>
        <w:t xml:space="preserve"> it shall be counseled every month</w:t>
      </w:r>
    </w:p>
    <w:p w:rsidR="00362A71" w:rsidRDefault="00954791" w:rsidP="00954791">
      <w:pPr>
        <w:pStyle w:val="NormalWeb"/>
        <w:shd w:val="clear" w:color="auto" w:fill="FEFEFE"/>
        <w:spacing w:before="0" w:beforeAutospacing="0" w:after="360" w:afterAutospacing="0" w:line="336" w:lineRule="atLeast"/>
        <w:rPr>
          <w:b/>
          <w:color w:val="000000"/>
        </w:rPr>
      </w:pPr>
      <w:r w:rsidRPr="005821F8">
        <w:rPr>
          <w:b/>
          <w:color w:val="000000"/>
        </w:rPr>
        <w:t xml:space="preserve"> monaðe for Aelfred ond for Werburge ond for Alhðryðe, heora saulum to ecum lecedome,</w:t>
      </w:r>
    </w:p>
    <w:p w:rsidR="00362A71" w:rsidRPr="00362A71" w:rsidRDefault="00362A71" w:rsidP="00954791">
      <w:pPr>
        <w:pStyle w:val="NormalWeb"/>
        <w:shd w:val="clear" w:color="auto" w:fill="FEFEFE"/>
        <w:spacing w:before="0" w:beforeAutospacing="0" w:after="360" w:afterAutospacing="0" w:line="336" w:lineRule="atLeast"/>
        <w:rPr>
          <w:color w:val="000000"/>
        </w:rPr>
      </w:pPr>
      <w:r>
        <w:rPr>
          <w:color w:val="000000"/>
        </w:rPr>
        <w:t>for Alfred and for Werburg and for Alhthryth, and for the salvation of their souls,</w:t>
      </w:r>
    </w:p>
    <w:p w:rsidR="00954791" w:rsidRDefault="00954791" w:rsidP="00954791">
      <w:pPr>
        <w:pStyle w:val="NormalWeb"/>
        <w:shd w:val="clear" w:color="auto" w:fill="FEFEFE"/>
        <w:spacing w:before="0" w:beforeAutospacing="0" w:after="360" w:afterAutospacing="0" w:line="336" w:lineRule="atLeast"/>
        <w:rPr>
          <w:b/>
          <w:color w:val="000000"/>
        </w:rPr>
      </w:pPr>
      <w:r w:rsidRPr="005821F8">
        <w:rPr>
          <w:b/>
          <w:color w:val="000000"/>
        </w:rPr>
        <w:t xml:space="preserve"> ða hwile ðe God gesegen haebbe ðæt fulwiht æt ðeosse stowe beon mote.</w:t>
      </w:r>
    </w:p>
    <w:p w:rsidR="00362A71" w:rsidRPr="00362A71" w:rsidRDefault="00362A71" w:rsidP="00954791">
      <w:pPr>
        <w:pStyle w:val="NormalWeb"/>
        <w:shd w:val="clear" w:color="auto" w:fill="FEFEFE"/>
        <w:spacing w:before="0" w:beforeAutospacing="0" w:after="360" w:afterAutospacing="0" w:line="336" w:lineRule="atLeast"/>
        <w:rPr>
          <w:color w:val="000000"/>
        </w:rPr>
      </w:pPr>
      <w:r>
        <w:rPr>
          <w:color w:val="000000"/>
        </w:rPr>
        <w:t xml:space="preserve">For as long as God allows faith in this place. </w:t>
      </w:r>
    </w:p>
    <w:p w:rsidR="00362A71" w:rsidRDefault="00954791" w:rsidP="00954791">
      <w:pPr>
        <w:pStyle w:val="NormalWeb"/>
        <w:shd w:val="clear" w:color="auto" w:fill="FEFEFE"/>
        <w:spacing w:before="0" w:beforeAutospacing="0" w:after="360" w:afterAutospacing="0" w:line="336" w:lineRule="atLeast"/>
        <w:rPr>
          <w:b/>
          <w:color w:val="000000"/>
        </w:rPr>
      </w:pPr>
      <w:r w:rsidRPr="005821F8">
        <w:rPr>
          <w:b/>
          <w:color w:val="000000"/>
        </w:rPr>
        <w:t>Ec swelce ic Aelfred dux ond Werburg biddað ond halsiað on Godes almaehtiges noman</w:t>
      </w:r>
    </w:p>
    <w:p w:rsidR="00362A71" w:rsidRPr="00362A71" w:rsidRDefault="00362A71" w:rsidP="00954791">
      <w:pPr>
        <w:pStyle w:val="NormalWeb"/>
        <w:shd w:val="clear" w:color="auto" w:fill="FEFEFE"/>
        <w:spacing w:before="0" w:beforeAutospacing="0" w:after="360" w:afterAutospacing="0" w:line="336" w:lineRule="atLeast"/>
        <w:rPr>
          <w:color w:val="000000"/>
        </w:rPr>
      </w:pPr>
      <w:r>
        <w:rPr>
          <w:color w:val="000000"/>
        </w:rPr>
        <w:t>Also I Alfred and Werburg</w:t>
      </w:r>
      <w:r w:rsidR="000830C9">
        <w:rPr>
          <w:color w:val="000000"/>
        </w:rPr>
        <w:t xml:space="preserve"> pray and ask [question] </w:t>
      </w:r>
      <w:r>
        <w:rPr>
          <w:color w:val="000000"/>
        </w:rPr>
        <w:t>in God’s almighty name</w:t>
      </w:r>
    </w:p>
    <w:p w:rsidR="00362A71" w:rsidRDefault="00954791" w:rsidP="00954791">
      <w:pPr>
        <w:pStyle w:val="NormalWeb"/>
        <w:shd w:val="clear" w:color="auto" w:fill="FEFEFE"/>
        <w:spacing w:before="0" w:beforeAutospacing="0" w:after="360" w:afterAutospacing="0" w:line="336" w:lineRule="atLeast"/>
        <w:rPr>
          <w:b/>
          <w:color w:val="000000"/>
        </w:rPr>
      </w:pPr>
      <w:r w:rsidRPr="005821F8">
        <w:rPr>
          <w:b/>
          <w:color w:val="000000"/>
        </w:rPr>
        <w:t xml:space="preserve"> ond on allra his haligra ðæt nænig mon seo to ðon gedyrstig ðætte ðas halgan beoc aselle</w:t>
      </w:r>
    </w:p>
    <w:p w:rsidR="00362A71" w:rsidRPr="00362A71" w:rsidRDefault="00362A71" w:rsidP="00954791">
      <w:pPr>
        <w:pStyle w:val="NormalWeb"/>
        <w:shd w:val="clear" w:color="auto" w:fill="FEFEFE"/>
        <w:spacing w:before="0" w:beforeAutospacing="0" w:after="360" w:afterAutospacing="0" w:line="336" w:lineRule="atLeast"/>
        <w:rPr>
          <w:color w:val="000000"/>
        </w:rPr>
      </w:pPr>
      <w:r>
        <w:rPr>
          <w:color w:val="000000"/>
        </w:rPr>
        <w:t xml:space="preserve">and all of the saints that no brave men take the books from </w:t>
      </w:r>
    </w:p>
    <w:p w:rsidR="00954791" w:rsidRDefault="00954791" w:rsidP="00954791">
      <w:pPr>
        <w:pStyle w:val="NormalWeb"/>
        <w:shd w:val="clear" w:color="auto" w:fill="FEFEFE"/>
        <w:spacing w:before="0" w:beforeAutospacing="0" w:after="360" w:afterAutospacing="0" w:line="336" w:lineRule="atLeast"/>
        <w:rPr>
          <w:b/>
          <w:color w:val="000000"/>
        </w:rPr>
      </w:pPr>
      <w:r w:rsidRPr="005821F8">
        <w:rPr>
          <w:b/>
          <w:color w:val="000000"/>
        </w:rPr>
        <w:t xml:space="preserve"> oððe aðeode from Cristes circan ða hwile ðe fulwiht [stondan] [mote].</w:t>
      </w:r>
    </w:p>
    <w:p w:rsidR="00362A71" w:rsidRPr="00362A71" w:rsidRDefault="00362A71" w:rsidP="00954791">
      <w:pPr>
        <w:pStyle w:val="NormalWeb"/>
        <w:shd w:val="clear" w:color="auto" w:fill="FEFEFE"/>
        <w:spacing w:before="0" w:beforeAutospacing="0" w:after="360" w:afterAutospacing="0" w:line="336" w:lineRule="atLeast"/>
        <w:rPr>
          <w:color w:val="000000"/>
          <w:sz w:val="18"/>
        </w:rPr>
      </w:pPr>
      <w:r>
        <w:rPr>
          <w:color w:val="000000"/>
        </w:rPr>
        <w:t>Christ’</w:t>
      </w:r>
      <w:r w:rsidR="00A1389F">
        <w:rPr>
          <w:color w:val="000000"/>
        </w:rPr>
        <w:t>s church</w:t>
      </w:r>
      <w:r>
        <w:rPr>
          <w:color w:val="000000"/>
        </w:rPr>
        <w:t xml:space="preserve"> while faith </w:t>
      </w:r>
      <w:r w:rsidR="0098370F">
        <w:rPr>
          <w:color w:val="000000"/>
        </w:rPr>
        <w:t xml:space="preserve">is </w:t>
      </w:r>
      <w:r w:rsidR="00FA5987">
        <w:rPr>
          <w:color w:val="000000"/>
        </w:rPr>
        <w:t xml:space="preserve">there </w:t>
      </w:r>
      <w:r w:rsidR="0098370F">
        <w:rPr>
          <w:color w:val="000000"/>
        </w:rPr>
        <w:t xml:space="preserve">[stondan] [mote]. </w:t>
      </w:r>
    </w:p>
    <w:p w:rsidR="00954791" w:rsidRPr="00740AA3" w:rsidRDefault="009E16B4" w:rsidP="00954791">
      <w:pPr>
        <w:pStyle w:val="NormalWeb"/>
        <w:shd w:val="clear" w:color="auto" w:fill="FEFEFE"/>
        <w:spacing w:before="0" w:beforeAutospacing="0" w:after="0" w:afterAutospacing="0" w:line="336" w:lineRule="atLeast"/>
        <w:rPr>
          <w:color w:val="000000"/>
        </w:rPr>
      </w:pPr>
      <w:r w:rsidRPr="00740AA3">
        <w:rPr>
          <w:b/>
          <w:color w:val="000000"/>
        </w:rPr>
        <w:t>Aelfred</w:t>
      </w:r>
      <w:r w:rsidRPr="00740AA3">
        <w:rPr>
          <w:b/>
          <w:color w:val="000000"/>
        </w:rPr>
        <w:br/>
        <w:t>Werburg</w:t>
      </w:r>
      <w:r w:rsidR="00954791" w:rsidRPr="00740AA3">
        <w:rPr>
          <w:b/>
          <w:color w:val="000000"/>
        </w:rPr>
        <w:br/>
        <w:t>Alhthryth eorum</w:t>
      </w:r>
      <w:r w:rsidR="00740AA3" w:rsidRPr="003067A9">
        <w:rPr>
          <w:rStyle w:val="FootnoteReference"/>
          <w:color w:val="000000"/>
        </w:rPr>
        <w:footnoteReference w:id="10"/>
      </w:r>
    </w:p>
    <w:p w:rsidR="00AF6CAA" w:rsidRDefault="00AF6CAA"/>
    <w:p w:rsidR="00025695" w:rsidRDefault="00025695"/>
    <w:p w:rsidR="00276D3B" w:rsidRDefault="00025695">
      <w:pPr>
        <w:rPr>
          <w:rFonts w:ascii="Times New Roman" w:hAnsi="Times New Roman" w:cs="Times New Roman"/>
          <w:b/>
          <w:sz w:val="24"/>
          <w:szCs w:val="24"/>
        </w:rPr>
      </w:pPr>
      <w:r w:rsidRPr="00995470">
        <w:rPr>
          <w:rFonts w:ascii="Times New Roman" w:hAnsi="Times New Roman" w:cs="Times New Roman"/>
          <w:sz w:val="24"/>
          <w:szCs w:val="24"/>
        </w:rPr>
        <w:lastRenderedPageBreak/>
        <w:t xml:space="preserve">Interestingly, Alfred asks for prayers for both he and his family as part of the agreement for its return to Christ’s Church. While this was not an uncommon practice, the inscription suggests that the manuscript’s return was not entirely altruistic. To </w:t>
      </w:r>
      <w:r w:rsidR="00995470" w:rsidRPr="00995470">
        <w:rPr>
          <w:rFonts w:ascii="Times New Roman" w:hAnsi="Times New Roman" w:cs="Times New Roman"/>
          <w:sz w:val="24"/>
          <w:szCs w:val="24"/>
        </w:rPr>
        <w:t>ealdorman</w:t>
      </w:r>
      <w:r w:rsidRPr="00995470">
        <w:rPr>
          <w:rFonts w:ascii="Times New Roman" w:hAnsi="Times New Roman" w:cs="Times New Roman"/>
          <w:sz w:val="24"/>
          <w:szCs w:val="24"/>
        </w:rPr>
        <w:t xml:space="preserve"> Alfred and his family, </w:t>
      </w:r>
      <w:r w:rsidRPr="00995470">
        <w:rPr>
          <w:rFonts w:ascii="Times New Roman" w:hAnsi="Times New Roman" w:cs="Times New Roman"/>
          <w:i/>
          <w:sz w:val="24"/>
          <w:szCs w:val="24"/>
        </w:rPr>
        <w:t xml:space="preserve">The Codex Aureus </w:t>
      </w:r>
      <w:r w:rsidRPr="00995470">
        <w:rPr>
          <w:rFonts w:ascii="Times New Roman" w:hAnsi="Times New Roman" w:cs="Times New Roman"/>
          <w:sz w:val="24"/>
          <w:szCs w:val="24"/>
        </w:rPr>
        <w:t xml:space="preserve">was arguably seen as important to the monastic community in Canterbury; however, its ransom and return was also an opportunity for the family to receive prayers throughout eternity. </w:t>
      </w:r>
    </w:p>
    <w:p w:rsidR="00276D3B" w:rsidRDefault="00276D3B">
      <w:pPr>
        <w:rPr>
          <w:rFonts w:ascii="Times New Roman" w:hAnsi="Times New Roman" w:cs="Times New Roman"/>
          <w:b/>
          <w:sz w:val="24"/>
          <w:szCs w:val="24"/>
        </w:rPr>
      </w:pPr>
    </w:p>
    <w:p w:rsidR="00276D3B" w:rsidRPr="00276D3B" w:rsidRDefault="00276D3B">
      <w:pPr>
        <w:rPr>
          <w:rFonts w:ascii="Times New Roman" w:hAnsi="Times New Roman" w:cs="Times New Roman"/>
          <w:sz w:val="24"/>
          <w:szCs w:val="24"/>
        </w:rPr>
      </w:pPr>
      <w:r>
        <w:rPr>
          <w:rFonts w:ascii="Times New Roman" w:hAnsi="Times New Roman" w:cs="Times New Roman"/>
          <w:b/>
          <w:sz w:val="24"/>
          <w:szCs w:val="24"/>
        </w:rPr>
        <w:t>Transcription</w:t>
      </w:r>
      <w:r w:rsidR="00B4171A">
        <w:rPr>
          <w:rFonts w:ascii="Times New Roman" w:hAnsi="Times New Roman" w:cs="Times New Roman"/>
          <w:b/>
          <w:sz w:val="24"/>
          <w:szCs w:val="24"/>
        </w:rPr>
        <w:t xml:space="preserve"> Process</w:t>
      </w:r>
    </w:p>
    <w:p w:rsidR="000830C9" w:rsidRPr="0098370F" w:rsidRDefault="000830C9">
      <w:pPr>
        <w:rPr>
          <w:rFonts w:ascii="Times New Roman" w:hAnsi="Times New Roman" w:cs="Times New Roman"/>
          <w:sz w:val="24"/>
          <w:szCs w:val="24"/>
        </w:rPr>
      </w:pPr>
      <w:r>
        <w:rPr>
          <w:rFonts w:ascii="Times New Roman" w:hAnsi="Times New Roman" w:cs="Times New Roman"/>
          <w:sz w:val="24"/>
          <w:szCs w:val="24"/>
        </w:rPr>
        <w:tab/>
        <w:t xml:space="preserve">When transcribing the text, I was immediately able </w:t>
      </w:r>
      <w:r w:rsidR="0098370F">
        <w:rPr>
          <w:rFonts w:ascii="Times New Roman" w:hAnsi="Times New Roman" w:cs="Times New Roman"/>
          <w:sz w:val="24"/>
          <w:szCs w:val="24"/>
        </w:rPr>
        <w:t xml:space="preserve">to pick up several common words. </w:t>
      </w:r>
      <w:r w:rsidR="00B4171A">
        <w:rPr>
          <w:rFonts w:ascii="Times New Roman" w:hAnsi="Times New Roman" w:cs="Times New Roman"/>
          <w:sz w:val="24"/>
          <w:szCs w:val="24"/>
        </w:rPr>
        <w:t>‘</w:t>
      </w:r>
      <w:r w:rsidRPr="000830C9">
        <w:rPr>
          <w:rFonts w:ascii="Times New Roman" w:hAnsi="Times New Roman" w:cs="Times New Roman"/>
          <w:color w:val="000000"/>
        </w:rPr>
        <w:t>Cristes circan</w:t>
      </w:r>
      <w:r w:rsidR="00B4171A">
        <w:rPr>
          <w:rFonts w:ascii="Times New Roman" w:hAnsi="Times New Roman" w:cs="Times New Roman"/>
          <w:color w:val="000000"/>
        </w:rPr>
        <w:t>’</w:t>
      </w:r>
      <w:r w:rsidR="0098370F">
        <w:rPr>
          <w:rFonts w:ascii="Times New Roman" w:hAnsi="Times New Roman" w:cs="Times New Roman"/>
          <w:color w:val="000000"/>
        </w:rPr>
        <w:t xml:space="preserve"> (</w:t>
      </w:r>
      <w:r w:rsidRPr="000830C9">
        <w:rPr>
          <w:rFonts w:ascii="Times New Roman" w:hAnsi="Times New Roman" w:cs="Times New Roman"/>
          <w:color w:val="000000"/>
        </w:rPr>
        <w:t>Christ’</w:t>
      </w:r>
      <w:r w:rsidR="0098370F">
        <w:rPr>
          <w:rFonts w:ascii="Times New Roman" w:hAnsi="Times New Roman" w:cs="Times New Roman"/>
          <w:color w:val="000000"/>
        </w:rPr>
        <w:t xml:space="preserve">s church) and </w:t>
      </w:r>
      <w:r w:rsidR="00B4171A">
        <w:rPr>
          <w:rFonts w:ascii="Times New Roman" w:hAnsi="Times New Roman" w:cs="Times New Roman"/>
          <w:color w:val="000000"/>
        </w:rPr>
        <w:t>‘</w:t>
      </w:r>
      <w:r w:rsidR="0098370F">
        <w:rPr>
          <w:rFonts w:ascii="Times New Roman" w:hAnsi="Times New Roman" w:cs="Times New Roman"/>
          <w:color w:val="000000"/>
        </w:rPr>
        <w:t>mid</w:t>
      </w:r>
      <w:r w:rsidR="00B4171A">
        <w:rPr>
          <w:rFonts w:ascii="Times New Roman" w:hAnsi="Times New Roman" w:cs="Times New Roman"/>
          <w:color w:val="000000"/>
        </w:rPr>
        <w:t xml:space="preserve">’ </w:t>
      </w:r>
      <w:r w:rsidR="0098370F">
        <w:rPr>
          <w:rFonts w:ascii="Times New Roman" w:hAnsi="Times New Roman" w:cs="Times New Roman"/>
          <w:color w:val="000000"/>
        </w:rPr>
        <w:t>(with) are two examples of words I</w:t>
      </w:r>
      <w:r w:rsidR="00276D3B">
        <w:rPr>
          <w:rFonts w:ascii="Times New Roman" w:hAnsi="Times New Roman" w:cs="Times New Roman"/>
          <w:color w:val="000000"/>
        </w:rPr>
        <w:t xml:space="preserve"> was able to quickly transcribe. I took Professor Webster’s advice and wrote and rewrote the words in a notebook. I was eventually able to copy and identify the words. </w:t>
      </w:r>
      <w:r w:rsidR="006551CC" w:rsidRPr="00DB070D">
        <w:rPr>
          <w:rFonts w:ascii="Times New Roman" w:hAnsi="Times New Roman" w:cs="Times New Roman"/>
          <w:color w:val="000000"/>
        </w:rPr>
        <w:t>Some of the more diffic</w:t>
      </w:r>
      <w:r w:rsidR="00B4171A">
        <w:rPr>
          <w:rFonts w:ascii="Times New Roman" w:hAnsi="Times New Roman" w:cs="Times New Roman"/>
          <w:color w:val="000000"/>
        </w:rPr>
        <w:t xml:space="preserve">ult words to decipher, </w:t>
      </w:r>
      <w:r w:rsidR="00E268B1">
        <w:rPr>
          <w:rFonts w:ascii="Times New Roman" w:hAnsi="Times New Roman" w:cs="Times New Roman"/>
          <w:color w:val="000000"/>
        </w:rPr>
        <w:t xml:space="preserve">e.g. </w:t>
      </w:r>
      <w:r w:rsidR="00E268B1" w:rsidRPr="00DB070D">
        <w:rPr>
          <w:color w:val="000000"/>
        </w:rPr>
        <w:t>‘ðæm</w:t>
      </w:r>
      <w:r w:rsidR="00B4171A">
        <w:rPr>
          <w:color w:val="000000"/>
        </w:rPr>
        <w:t>’</w:t>
      </w:r>
      <w:r w:rsidR="00DB070D">
        <w:rPr>
          <w:color w:val="000000"/>
        </w:rPr>
        <w:t>,</w:t>
      </w:r>
      <w:r w:rsidR="006551CC">
        <w:rPr>
          <w:rFonts w:ascii="Times New Roman" w:hAnsi="Times New Roman" w:cs="Times New Roman"/>
          <w:color w:val="000000"/>
        </w:rPr>
        <w:t xml:space="preserve"> were able to be transcribed by comparing them with other texts.</w:t>
      </w:r>
      <w:r w:rsidR="006551CC">
        <w:rPr>
          <w:rStyle w:val="FootnoteReference"/>
          <w:rFonts w:ascii="Times New Roman" w:hAnsi="Times New Roman" w:cs="Times New Roman"/>
          <w:color w:val="000000"/>
        </w:rPr>
        <w:footnoteReference w:id="11"/>
      </w:r>
      <w:r w:rsidR="006551CC">
        <w:rPr>
          <w:rFonts w:ascii="Times New Roman" w:hAnsi="Times New Roman" w:cs="Times New Roman"/>
          <w:color w:val="000000"/>
        </w:rPr>
        <w:t xml:space="preserve"> </w:t>
      </w:r>
      <w:r w:rsidR="00276D3B">
        <w:rPr>
          <w:rFonts w:ascii="Times New Roman" w:hAnsi="Times New Roman" w:cs="Times New Roman"/>
          <w:color w:val="000000"/>
        </w:rPr>
        <w:t xml:space="preserve">While translating the document, some words I could transcribe but not translate. </w:t>
      </w:r>
      <w:r w:rsidR="00B4171A">
        <w:rPr>
          <w:rFonts w:ascii="Times New Roman" w:hAnsi="Times New Roman" w:cs="Times New Roman"/>
          <w:color w:val="000000"/>
        </w:rPr>
        <w:t>‘</w:t>
      </w:r>
      <w:r>
        <w:rPr>
          <w:rFonts w:ascii="Times New Roman" w:hAnsi="Times New Roman" w:cs="Times New Roman"/>
          <w:color w:val="000000"/>
        </w:rPr>
        <w:t>Deodan</w:t>
      </w:r>
      <w:r w:rsidR="00B4171A">
        <w:rPr>
          <w:rFonts w:ascii="Times New Roman" w:hAnsi="Times New Roman" w:cs="Times New Roman"/>
          <w:color w:val="000000"/>
        </w:rPr>
        <w:t>’</w:t>
      </w:r>
      <w:r>
        <w:rPr>
          <w:rFonts w:ascii="Times New Roman" w:hAnsi="Times New Roman" w:cs="Times New Roman"/>
          <w:color w:val="000000"/>
        </w:rPr>
        <w:t>, for example, is a word that I was unable to translate. Once finished with my transcription, I found other translations, however,</w:t>
      </w:r>
      <w:r w:rsidR="00E268B1">
        <w:rPr>
          <w:rFonts w:ascii="Times New Roman" w:hAnsi="Times New Roman" w:cs="Times New Roman"/>
          <w:color w:val="000000"/>
        </w:rPr>
        <w:t xml:space="preserve"> I did not find a satisfactory</w:t>
      </w:r>
      <w:r>
        <w:rPr>
          <w:rFonts w:ascii="Times New Roman" w:hAnsi="Times New Roman" w:cs="Times New Roman"/>
          <w:color w:val="000000"/>
        </w:rPr>
        <w:t xml:space="preserve"> uniform definition of the word. </w:t>
      </w:r>
    </w:p>
    <w:p w:rsidR="000830C9" w:rsidRDefault="000830C9">
      <w:pPr>
        <w:rPr>
          <w:rFonts w:ascii="Times New Roman" w:hAnsi="Times New Roman" w:cs="Times New Roman"/>
          <w:sz w:val="24"/>
          <w:szCs w:val="24"/>
        </w:rPr>
      </w:pPr>
    </w:p>
    <w:p w:rsidR="000830C9" w:rsidRDefault="000830C9">
      <w:pPr>
        <w:rPr>
          <w:rFonts w:ascii="Times New Roman" w:hAnsi="Times New Roman" w:cs="Times New Roman"/>
          <w:sz w:val="24"/>
          <w:szCs w:val="24"/>
        </w:rPr>
      </w:pPr>
    </w:p>
    <w:p w:rsidR="000830C9" w:rsidRDefault="000830C9">
      <w:pPr>
        <w:rPr>
          <w:rFonts w:ascii="Times New Roman" w:hAnsi="Times New Roman" w:cs="Times New Roman"/>
          <w:sz w:val="24"/>
          <w:szCs w:val="24"/>
        </w:rPr>
      </w:pPr>
    </w:p>
    <w:p w:rsidR="000830C9" w:rsidRDefault="000830C9">
      <w:pPr>
        <w:rPr>
          <w:rFonts w:ascii="Times New Roman" w:hAnsi="Times New Roman" w:cs="Times New Roman"/>
          <w:sz w:val="24"/>
          <w:szCs w:val="24"/>
        </w:rPr>
      </w:pPr>
    </w:p>
    <w:p w:rsidR="000830C9" w:rsidRDefault="000830C9">
      <w:pPr>
        <w:rPr>
          <w:rFonts w:ascii="Times New Roman" w:hAnsi="Times New Roman" w:cs="Times New Roman"/>
          <w:sz w:val="24"/>
          <w:szCs w:val="24"/>
        </w:rPr>
      </w:pPr>
    </w:p>
    <w:p w:rsidR="000830C9" w:rsidRDefault="000830C9">
      <w:pPr>
        <w:rPr>
          <w:rFonts w:ascii="Times New Roman" w:hAnsi="Times New Roman" w:cs="Times New Roman"/>
          <w:sz w:val="24"/>
          <w:szCs w:val="24"/>
        </w:rPr>
      </w:pPr>
    </w:p>
    <w:p w:rsidR="000830C9" w:rsidRDefault="000830C9">
      <w:pPr>
        <w:rPr>
          <w:rFonts w:ascii="Times New Roman" w:hAnsi="Times New Roman" w:cs="Times New Roman"/>
          <w:sz w:val="24"/>
          <w:szCs w:val="24"/>
        </w:rPr>
      </w:pPr>
    </w:p>
    <w:p w:rsidR="000830C9" w:rsidRDefault="000830C9">
      <w:pPr>
        <w:rPr>
          <w:rFonts w:ascii="Times New Roman" w:hAnsi="Times New Roman" w:cs="Times New Roman"/>
          <w:sz w:val="24"/>
          <w:szCs w:val="24"/>
        </w:rPr>
      </w:pPr>
    </w:p>
    <w:p w:rsidR="000830C9" w:rsidRDefault="000830C9">
      <w:pPr>
        <w:rPr>
          <w:rFonts w:ascii="Times New Roman" w:hAnsi="Times New Roman" w:cs="Times New Roman"/>
          <w:sz w:val="24"/>
          <w:szCs w:val="24"/>
        </w:rPr>
      </w:pPr>
    </w:p>
    <w:p w:rsidR="000830C9" w:rsidRDefault="000830C9">
      <w:pPr>
        <w:rPr>
          <w:rFonts w:ascii="Times New Roman" w:hAnsi="Times New Roman" w:cs="Times New Roman"/>
          <w:sz w:val="24"/>
          <w:szCs w:val="24"/>
        </w:rPr>
      </w:pPr>
    </w:p>
    <w:p w:rsidR="000830C9" w:rsidRDefault="000830C9">
      <w:pPr>
        <w:rPr>
          <w:rFonts w:ascii="Times New Roman" w:hAnsi="Times New Roman" w:cs="Times New Roman"/>
          <w:sz w:val="24"/>
          <w:szCs w:val="24"/>
        </w:rPr>
      </w:pPr>
    </w:p>
    <w:p w:rsidR="000830C9" w:rsidRDefault="000830C9">
      <w:pPr>
        <w:rPr>
          <w:rFonts w:ascii="Times New Roman" w:hAnsi="Times New Roman" w:cs="Times New Roman"/>
          <w:sz w:val="24"/>
          <w:szCs w:val="24"/>
        </w:rPr>
      </w:pPr>
    </w:p>
    <w:p w:rsidR="000830C9" w:rsidRDefault="000830C9">
      <w:pPr>
        <w:rPr>
          <w:rFonts w:ascii="Times New Roman" w:hAnsi="Times New Roman" w:cs="Times New Roman"/>
          <w:sz w:val="24"/>
          <w:szCs w:val="24"/>
        </w:rPr>
      </w:pPr>
    </w:p>
    <w:p w:rsidR="000830C9" w:rsidRDefault="000830C9">
      <w:pPr>
        <w:rPr>
          <w:rFonts w:ascii="Times New Roman" w:hAnsi="Times New Roman" w:cs="Times New Roman"/>
          <w:sz w:val="24"/>
          <w:szCs w:val="24"/>
        </w:rPr>
      </w:pPr>
    </w:p>
    <w:p w:rsidR="000830C9" w:rsidRDefault="000830C9">
      <w:pPr>
        <w:rPr>
          <w:rFonts w:ascii="Times New Roman" w:hAnsi="Times New Roman" w:cs="Times New Roman"/>
          <w:sz w:val="24"/>
          <w:szCs w:val="24"/>
        </w:rPr>
      </w:pPr>
    </w:p>
    <w:p w:rsidR="006551CC" w:rsidRDefault="006551CC">
      <w:pPr>
        <w:rPr>
          <w:rFonts w:ascii="Times New Roman" w:hAnsi="Times New Roman" w:cs="Times New Roman"/>
          <w:sz w:val="24"/>
          <w:szCs w:val="24"/>
        </w:rPr>
      </w:pPr>
    </w:p>
    <w:p w:rsidR="000830C9" w:rsidRPr="003B3CF3" w:rsidRDefault="000830C9">
      <w:pPr>
        <w:rPr>
          <w:rFonts w:ascii="Times New Roman" w:hAnsi="Times New Roman" w:cs="Times New Roman"/>
          <w:sz w:val="24"/>
          <w:szCs w:val="24"/>
        </w:rPr>
      </w:pPr>
    </w:p>
    <w:p w:rsidR="0045045C" w:rsidRPr="00D01C63" w:rsidRDefault="0045045C">
      <w:pPr>
        <w:rPr>
          <w:rFonts w:ascii="Verdana" w:hAnsi="Verdana"/>
          <w:b/>
          <w:color w:val="000000"/>
          <w:shd w:val="clear" w:color="auto" w:fill="FEFEFE"/>
        </w:rPr>
      </w:pPr>
      <w:r w:rsidRPr="00D01C63">
        <w:rPr>
          <w:rFonts w:ascii="Verdana" w:hAnsi="Verdana"/>
          <w:b/>
          <w:color w:val="000000"/>
          <w:shd w:val="clear" w:color="auto" w:fill="FEFEFE"/>
        </w:rPr>
        <w:t>Bibliography</w:t>
      </w:r>
    </w:p>
    <w:p w:rsidR="00954791" w:rsidRDefault="00954791">
      <w:pPr>
        <w:rPr>
          <w:rFonts w:ascii="Verdana" w:hAnsi="Verdana"/>
          <w:color w:val="000000"/>
          <w:shd w:val="clear" w:color="auto" w:fill="FEFEFE"/>
        </w:rPr>
      </w:pPr>
    </w:p>
    <w:p w:rsidR="00B571E8" w:rsidRDefault="00575819">
      <w:pPr>
        <w:rPr>
          <w:rFonts w:ascii="Verdana" w:hAnsi="Verdana"/>
          <w:b/>
          <w:color w:val="000000"/>
          <w:shd w:val="clear" w:color="auto" w:fill="FEFEFE"/>
        </w:rPr>
      </w:pPr>
      <w:r>
        <w:rPr>
          <w:rFonts w:ascii="Verdana" w:hAnsi="Verdana"/>
          <w:b/>
          <w:color w:val="000000"/>
          <w:shd w:val="clear" w:color="auto" w:fill="FEFEFE"/>
        </w:rPr>
        <w:t>Books</w:t>
      </w:r>
    </w:p>
    <w:p w:rsidR="00575819" w:rsidRDefault="006A02D3">
      <w:pPr>
        <w:rPr>
          <w:rFonts w:ascii="Verdana" w:hAnsi="Verdana"/>
          <w:color w:val="000000"/>
          <w:shd w:val="clear" w:color="auto" w:fill="FEFEFE"/>
        </w:rPr>
      </w:pPr>
      <w:r>
        <w:rPr>
          <w:rFonts w:ascii="Verdana" w:hAnsi="Verdana"/>
          <w:color w:val="000000"/>
          <w:shd w:val="clear" w:color="auto" w:fill="FEFEFE"/>
        </w:rPr>
        <w:t xml:space="preserve">Savage, A. </w:t>
      </w:r>
      <w:r w:rsidR="00575819">
        <w:rPr>
          <w:rFonts w:ascii="Verdana" w:hAnsi="Verdana"/>
          <w:i/>
          <w:color w:val="000000"/>
          <w:shd w:val="clear" w:color="auto" w:fill="FEFEFE"/>
        </w:rPr>
        <w:t>The Anglo-Saxon Chronicle</w:t>
      </w:r>
      <w:r>
        <w:rPr>
          <w:rFonts w:ascii="Verdana" w:hAnsi="Verdana"/>
          <w:color w:val="000000"/>
          <w:shd w:val="clear" w:color="auto" w:fill="FEFEFE"/>
        </w:rPr>
        <w:t xml:space="preserve">. Surrey: Coombe Books, 1996. </w:t>
      </w:r>
    </w:p>
    <w:p w:rsidR="005F2B68" w:rsidRDefault="005F2B68">
      <w:pPr>
        <w:rPr>
          <w:rFonts w:ascii="Verdana" w:hAnsi="Verdana"/>
          <w:color w:val="000000"/>
          <w:shd w:val="clear" w:color="auto" w:fill="FEFEFE"/>
        </w:rPr>
      </w:pPr>
    </w:p>
    <w:p w:rsidR="005F2B68" w:rsidRDefault="005F2B68">
      <w:pPr>
        <w:rPr>
          <w:rFonts w:ascii="Verdana" w:hAnsi="Verdana"/>
          <w:color w:val="000000"/>
          <w:shd w:val="clear" w:color="auto" w:fill="FEFEFE"/>
        </w:rPr>
      </w:pPr>
      <w:r>
        <w:rPr>
          <w:rFonts w:ascii="Verdana" w:hAnsi="Verdana"/>
          <w:color w:val="000000"/>
          <w:shd w:val="clear" w:color="auto" w:fill="FEFEFE"/>
        </w:rPr>
        <w:t xml:space="preserve">Ker, N. R., </w:t>
      </w:r>
      <w:r w:rsidRPr="005F2B68">
        <w:rPr>
          <w:rFonts w:ascii="Verdana" w:hAnsi="Verdana"/>
          <w:i/>
          <w:color w:val="000000"/>
          <w:shd w:val="clear" w:color="auto" w:fill="FEFEFE"/>
        </w:rPr>
        <w:t xml:space="preserve">Catalogue of Manuscripts Containing Anglo-Saxon </w:t>
      </w:r>
      <w:r>
        <w:rPr>
          <w:rFonts w:ascii="Verdana" w:hAnsi="Verdana"/>
          <w:color w:val="000000"/>
          <w:shd w:val="clear" w:color="auto" w:fill="FEFEFE"/>
        </w:rPr>
        <w:t>(Oxford: Clarendon Press, 1957).</w:t>
      </w:r>
    </w:p>
    <w:p w:rsidR="008614D6" w:rsidRPr="00575819" w:rsidRDefault="008614D6">
      <w:pPr>
        <w:rPr>
          <w:rFonts w:ascii="Verdana" w:hAnsi="Verdana"/>
          <w:color w:val="000000"/>
          <w:shd w:val="clear" w:color="auto" w:fill="FEFEFE"/>
        </w:rPr>
      </w:pPr>
    </w:p>
    <w:p w:rsidR="00954791" w:rsidRPr="00A1389F" w:rsidRDefault="006A02D3">
      <w:pPr>
        <w:rPr>
          <w:rFonts w:ascii="Verdana" w:hAnsi="Verdana"/>
          <w:b/>
          <w:color w:val="000000"/>
          <w:shd w:val="clear" w:color="auto" w:fill="FEFEFE"/>
        </w:rPr>
      </w:pPr>
      <w:r>
        <w:rPr>
          <w:rFonts w:ascii="Verdana" w:hAnsi="Verdana"/>
          <w:b/>
          <w:color w:val="000000"/>
          <w:shd w:val="clear" w:color="auto" w:fill="FEFEFE"/>
        </w:rPr>
        <w:t xml:space="preserve">Journal </w:t>
      </w:r>
      <w:r w:rsidR="00A1389F">
        <w:rPr>
          <w:rFonts w:ascii="Verdana" w:hAnsi="Verdana"/>
          <w:b/>
          <w:color w:val="000000"/>
          <w:shd w:val="clear" w:color="auto" w:fill="FEFEFE"/>
        </w:rPr>
        <w:t>Articles</w:t>
      </w:r>
    </w:p>
    <w:p w:rsidR="0082038D" w:rsidRDefault="00954791">
      <w:pPr>
        <w:rPr>
          <w:rFonts w:ascii="Verdana" w:hAnsi="Verdana"/>
          <w:color w:val="000000"/>
          <w:shd w:val="clear" w:color="auto" w:fill="FEFEFE"/>
        </w:rPr>
      </w:pPr>
      <w:r>
        <w:rPr>
          <w:rFonts w:ascii="Verdana" w:hAnsi="Verdana"/>
          <w:color w:val="000000"/>
          <w:shd w:val="clear" w:color="auto" w:fill="FEFEFE"/>
        </w:rPr>
        <w:t>Breeze, A. “The Stockholm ‘Golden Gospels’ in seventeenth-</w:t>
      </w:r>
      <w:r w:rsidR="00FD22BB">
        <w:rPr>
          <w:rFonts w:ascii="Verdana" w:hAnsi="Verdana"/>
          <w:color w:val="000000"/>
          <w:shd w:val="clear" w:color="auto" w:fill="FEFEFE"/>
        </w:rPr>
        <w:t>century</w:t>
      </w:r>
      <w:r>
        <w:rPr>
          <w:rFonts w:ascii="Verdana" w:hAnsi="Verdana"/>
          <w:color w:val="000000"/>
          <w:shd w:val="clear" w:color="auto" w:fill="FEFEFE"/>
        </w:rPr>
        <w:t xml:space="preserve"> Spain.” </w:t>
      </w:r>
      <w:r w:rsidRPr="00B571E8">
        <w:rPr>
          <w:rFonts w:ascii="Verdana" w:hAnsi="Verdana"/>
          <w:i/>
          <w:color w:val="000000"/>
          <w:shd w:val="clear" w:color="auto" w:fill="FEFEFE"/>
        </w:rPr>
        <w:t>Notes and Queries</w:t>
      </w:r>
      <w:r>
        <w:rPr>
          <w:rFonts w:ascii="Verdana" w:hAnsi="Verdana"/>
          <w:color w:val="000000"/>
          <w:shd w:val="clear" w:color="auto" w:fill="FEFEFE"/>
        </w:rPr>
        <w:t>, 43 (1996), 395-97.</w:t>
      </w:r>
    </w:p>
    <w:p w:rsidR="00FD22BB" w:rsidRDefault="00FD22BB">
      <w:pPr>
        <w:rPr>
          <w:rFonts w:ascii="Verdana" w:hAnsi="Verdana"/>
          <w:color w:val="000000"/>
          <w:shd w:val="clear" w:color="auto" w:fill="FEFEFE"/>
        </w:rPr>
      </w:pPr>
    </w:p>
    <w:p w:rsidR="00FD22BB" w:rsidRPr="00D01C63" w:rsidRDefault="006A02D3">
      <w:pPr>
        <w:rPr>
          <w:rFonts w:ascii="Verdana" w:hAnsi="Verdana"/>
          <w:b/>
          <w:color w:val="000000"/>
          <w:shd w:val="clear" w:color="auto" w:fill="FEFEFE"/>
        </w:rPr>
      </w:pPr>
      <w:r>
        <w:rPr>
          <w:rFonts w:ascii="Verdana" w:hAnsi="Verdana"/>
          <w:b/>
          <w:color w:val="000000"/>
          <w:shd w:val="clear" w:color="auto" w:fill="FEFEFE"/>
        </w:rPr>
        <w:t>Website Articles</w:t>
      </w:r>
    </w:p>
    <w:p w:rsidR="004546BA" w:rsidRDefault="00FD22BB" w:rsidP="006A02D3">
      <w:pPr>
        <w:spacing w:line="360" w:lineRule="auto"/>
        <w:contextualSpacing/>
        <w:rPr>
          <w:rFonts w:ascii="Verdana" w:hAnsi="Verdana"/>
          <w:shd w:val="clear" w:color="auto" w:fill="FEFEFE"/>
        </w:rPr>
      </w:pPr>
      <w:r w:rsidRPr="006A659B">
        <w:rPr>
          <w:rFonts w:ascii="Verdana" w:hAnsi="Verdana"/>
          <w:i/>
          <w:shd w:val="clear" w:color="auto" w:fill="FEFEFE"/>
        </w:rPr>
        <w:t>Anglo-Saxon Archaeology</w:t>
      </w:r>
      <w:r w:rsidRPr="006A659B">
        <w:rPr>
          <w:rFonts w:ascii="Verdana" w:hAnsi="Verdana"/>
          <w:shd w:val="clear" w:color="auto" w:fill="FEFEFE"/>
        </w:rPr>
        <w:t>.</w:t>
      </w:r>
      <w:r w:rsidR="004546BA">
        <w:rPr>
          <w:rFonts w:ascii="Verdana" w:hAnsi="Verdana"/>
          <w:shd w:val="clear" w:color="auto" w:fill="FEFEFE"/>
        </w:rPr>
        <w:t xml:space="preserve"> ‘Art.’</w:t>
      </w:r>
      <w:r w:rsidRPr="006A659B">
        <w:rPr>
          <w:rFonts w:ascii="Verdana" w:hAnsi="Verdana"/>
          <w:shd w:val="clear" w:color="auto" w:fill="FEFEFE"/>
        </w:rPr>
        <w:t xml:space="preserve"> </w:t>
      </w:r>
    </w:p>
    <w:p w:rsidR="00FD22BB" w:rsidRDefault="00902A5C" w:rsidP="006A02D3">
      <w:pPr>
        <w:spacing w:line="360" w:lineRule="auto"/>
        <w:contextualSpacing/>
        <w:rPr>
          <w:rFonts w:ascii="Verdana" w:hAnsi="Verdana"/>
          <w:shd w:val="clear" w:color="auto" w:fill="FEFEFE"/>
        </w:rPr>
      </w:pPr>
      <w:hyperlink r:id="rId7" w:history="1">
        <w:r w:rsidR="006A659B" w:rsidRPr="006A659B">
          <w:rPr>
            <w:rStyle w:val="Hyperlink"/>
            <w:rFonts w:ascii="Verdana" w:hAnsi="Verdana"/>
            <w:color w:val="auto"/>
            <w:u w:val="none"/>
            <w:shd w:val="clear" w:color="auto" w:fill="FEFEFE"/>
          </w:rPr>
          <w:t>www.Anglosaxon.archeurope.info</w:t>
        </w:r>
      </w:hyperlink>
      <w:r w:rsidR="00FD22BB" w:rsidRPr="006A659B">
        <w:rPr>
          <w:rFonts w:ascii="Verdana" w:hAnsi="Verdana"/>
          <w:shd w:val="clear" w:color="auto" w:fill="FEFEFE"/>
        </w:rPr>
        <w:t>.</w:t>
      </w:r>
    </w:p>
    <w:p w:rsidR="00575819" w:rsidRDefault="00575819" w:rsidP="006A02D3">
      <w:pPr>
        <w:spacing w:line="360" w:lineRule="auto"/>
        <w:contextualSpacing/>
        <w:rPr>
          <w:rFonts w:ascii="Verdana" w:hAnsi="Verdana"/>
          <w:shd w:val="clear" w:color="auto" w:fill="FEFEFE"/>
        </w:rPr>
      </w:pPr>
    </w:p>
    <w:p w:rsidR="00575819" w:rsidRDefault="00575819" w:rsidP="006A02D3">
      <w:pPr>
        <w:spacing w:line="360" w:lineRule="auto"/>
        <w:contextualSpacing/>
        <w:rPr>
          <w:rFonts w:ascii="Verdana" w:hAnsi="Verdana"/>
          <w:shd w:val="clear" w:color="auto" w:fill="FEFEFE"/>
        </w:rPr>
      </w:pPr>
      <w:r>
        <w:rPr>
          <w:rFonts w:ascii="Verdana" w:hAnsi="Verdana"/>
          <w:shd w:val="clear" w:color="auto" w:fill="FEFEFE"/>
        </w:rPr>
        <w:t xml:space="preserve">Booth, A. ‘Medieval and renaissance handwriting tutorials.’ </w:t>
      </w:r>
      <w:hyperlink r:id="rId8" w:history="1">
        <w:r w:rsidRPr="00575819">
          <w:rPr>
            <w:rStyle w:val="Hyperlink"/>
            <w:rFonts w:ascii="Verdana" w:hAnsi="Verdana"/>
            <w:color w:val="auto"/>
            <w:u w:val="none"/>
            <w:shd w:val="clear" w:color="auto" w:fill="FEFEFE"/>
          </w:rPr>
          <w:t>www.ospickering.wordpress.com</w:t>
        </w:r>
      </w:hyperlink>
      <w:r w:rsidRPr="00575819">
        <w:rPr>
          <w:rFonts w:ascii="Verdana" w:hAnsi="Verdana"/>
          <w:shd w:val="clear" w:color="auto" w:fill="FEFEFE"/>
        </w:rPr>
        <w:t xml:space="preserve"> </w:t>
      </w:r>
    </w:p>
    <w:p w:rsidR="00575819" w:rsidRDefault="00575819" w:rsidP="006A02D3">
      <w:pPr>
        <w:spacing w:line="360" w:lineRule="auto"/>
        <w:contextualSpacing/>
        <w:rPr>
          <w:rFonts w:ascii="Verdana" w:hAnsi="Verdana"/>
          <w:shd w:val="clear" w:color="auto" w:fill="FEFEFE"/>
        </w:rPr>
      </w:pPr>
    </w:p>
    <w:p w:rsidR="004546BA" w:rsidRDefault="00575819" w:rsidP="006A02D3">
      <w:pPr>
        <w:spacing w:line="360" w:lineRule="auto"/>
        <w:contextualSpacing/>
        <w:rPr>
          <w:rFonts w:ascii="Verdana" w:hAnsi="Verdana"/>
          <w:shd w:val="clear" w:color="auto" w:fill="FEFEFE"/>
        </w:rPr>
      </w:pPr>
      <w:r>
        <w:rPr>
          <w:rFonts w:ascii="Verdana" w:hAnsi="Verdana"/>
          <w:shd w:val="clear" w:color="auto" w:fill="FEFEFE"/>
        </w:rPr>
        <w:t xml:space="preserve">Internet Archive. ‘Lexicon abbreviations.’ </w:t>
      </w:r>
    </w:p>
    <w:p w:rsidR="00273516" w:rsidRDefault="00902A5C" w:rsidP="006A02D3">
      <w:pPr>
        <w:spacing w:line="360" w:lineRule="auto"/>
        <w:contextualSpacing/>
        <w:rPr>
          <w:rFonts w:ascii="Verdana" w:hAnsi="Verdana"/>
          <w:shd w:val="clear" w:color="auto" w:fill="FEFEFE"/>
        </w:rPr>
      </w:pPr>
      <w:hyperlink r:id="rId9" w:history="1">
        <w:r w:rsidR="00575819" w:rsidRPr="00575819">
          <w:rPr>
            <w:rStyle w:val="Hyperlink"/>
            <w:rFonts w:ascii="Verdana" w:hAnsi="Verdana"/>
            <w:color w:val="auto"/>
            <w:u w:val="none"/>
            <w:shd w:val="clear" w:color="auto" w:fill="FEFEFE"/>
          </w:rPr>
          <w:t>www.archive.org</w:t>
        </w:r>
      </w:hyperlink>
      <w:r w:rsidR="00575819" w:rsidRPr="00575819">
        <w:rPr>
          <w:rFonts w:ascii="Verdana" w:hAnsi="Verdana"/>
          <w:shd w:val="clear" w:color="auto" w:fill="FEFEFE"/>
        </w:rPr>
        <w:t xml:space="preserve"> </w:t>
      </w:r>
    </w:p>
    <w:p w:rsidR="00575819" w:rsidRDefault="00575819" w:rsidP="006A02D3">
      <w:pPr>
        <w:spacing w:line="360" w:lineRule="auto"/>
        <w:contextualSpacing/>
        <w:rPr>
          <w:rFonts w:ascii="Verdana" w:hAnsi="Verdana"/>
          <w:shd w:val="clear" w:color="auto" w:fill="FEFEFE"/>
        </w:rPr>
      </w:pPr>
    </w:p>
    <w:p w:rsidR="004546BA" w:rsidRDefault="00273516" w:rsidP="006A02D3">
      <w:pPr>
        <w:spacing w:line="360" w:lineRule="auto"/>
        <w:contextualSpacing/>
        <w:rPr>
          <w:rFonts w:ascii="Verdana" w:hAnsi="Verdana"/>
          <w:shd w:val="clear" w:color="auto" w:fill="FEFEFE"/>
        </w:rPr>
      </w:pPr>
      <w:r>
        <w:rPr>
          <w:rFonts w:ascii="Verdana" w:hAnsi="Verdana"/>
          <w:shd w:val="clear" w:color="auto" w:fill="FEFEFE"/>
        </w:rPr>
        <w:t xml:space="preserve">The University of Texas at Austin. ‘English: Master </w:t>
      </w:r>
      <w:r w:rsidR="00B571E8">
        <w:rPr>
          <w:rFonts w:ascii="Verdana" w:hAnsi="Verdana"/>
          <w:shd w:val="clear" w:color="auto" w:fill="FEFEFE"/>
        </w:rPr>
        <w:t>Glossary</w:t>
      </w:r>
      <w:r>
        <w:rPr>
          <w:rFonts w:ascii="Verdana" w:hAnsi="Verdana"/>
          <w:shd w:val="clear" w:color="auto" w:fill="FEFEFE"/>
        </w:rPr>
        <w:t xml:space="preserve">’. </w:t>
      </w:r>
    </w:p>
    <w:p w:rsidR="00273516" w:rsidRPr="006A659B" w:rsidRDefault="00273516" w:rsidP="006A02D3">
      <w:pPr>
        <w:spacing w:line="360" w:lineRule="auto"/>
        <w:contextualSpacing/>
        <w:rPr>
          <w:rFonts w:ascii="Verdana" w:hAnsi="Verdana"/>
          <w:shd w:val="clear" w:color="auto" w:fill="FEFEFE"/>
        </w:rPr>
      </w:pPr>
      <w:r>
        <w:rPr>
          <w:rFonts w:ascii="Verdana" w:hAnsi="Verdana"/>
          <w:shd w:val="clear" w:color="auto" w:fill="FEFEFE"/>
        </w:rPr>
        <w:t>www.Irc.la.utexas.edu</w:t>
      </w:r>
    </w:p>
    <w:p w:rsidR="006A659B" w:rsidRPr="006A659B" w:rsidRDefault="006A659B" w:rsidP="006A02D3">
      <w:pPr>
        <w:spacing w:line="360" w:lineRule="auto"/>
        <w:contextualSpacing/>
        <w:rPr>
          <w:rFonts w:ascii="Verdana" w:hAnsi="Verdana"/>
          <w:shd w:val="clear" w:color="auto" w:fill="FEFEFE"/>
        </w:rPr>
      </w:pPr>
    </w:p>
    <w:p w:rsidR="004546BA" w:rsidRDefault="006A659B" w:rsidP="006A02D3">
      <w:pPr>
        <w:spacing w:line="360" w:lineRule="auto"/>
        <w:contextualSpacing/>
        <w:rPr>
          <w:rFonts w:ascii="Verdana" w:hAnsi="Verdana"/>
          <w:shd w:val="clear" w:color="auto" w:fill="FEFEFE"/>
        </w:rPr>
      </w:pPr>
      <w:r w:rsidRPr="006A659B">
        <w:rPr>
          <w:rFonts w:ascii="Verdana" w:hAnsi="Verdana"/>
          <w:shd w:val="clear" w:color="auto" w:fill="FEFEFE"/>
        </w:rPr>
        <w:t xml:space="preserve">World Digital Library. </w:t>
      </w:r>
      <w:r w:rsidR="00273516">
        <w:rPr>
          <w:rFonts w:ascii="Verdana" w:hAnsi="Verdana"/>
          <w:shd w:val="clear" w:color="auto" w:fill="FEFEFE"/>
        </w:rPr>
        <w:t xml:space="preserve">‘The Codex Aureus’. </w:t>
      </w:r>
    </w:p>
    <w:p w:rsidR="006A659B" w:rsidRDefault="00902A5C" w:rsidP="006A02D3">
      <w:pPr>
        <w:spacing w:line="360" w:lineRule="auto"/>
        <w:contextualSpacing/>
        <w:rPr>
          <w:rFonts w:ascii="Verdana" w:hAnsi="Verdana"/>
          <w:shd w:val="clear" w:color="auto" w:fill="FEFEFE"/>
        </w:rPr>
      </w:pPr>
      <w:hyperlink r:id="rId10" w:history="1">
        <w:r w:rsidR="006A659B" w:rsidRPr="006A659B">
          <w:rPr>
            <w:rStyle w:val="Hyperlink"/>
            <w:rFonts w:ascii="Verdana" w:hAnsi="Verdana"/>
            <w:color w:val="auto"/>
            <w:u w:val="none"/>
            <w:shd w:val="clear" w:color="auto" w:fill="FEFEFE"/>
          </w:rPr>
          <w:t>www.wdl.org</w:t>
        </w:r>
      </w:hyperlink>
      <w:r w:rsidR="006A659B" w:rsidRPr="006A659B">
        <w:rPr>
          <w:rFonts w:ascii="Verdana" w:hAnsi="Verdana"/>
          <w:shd w:val="clear" w:color="auto" w:fill="FEFEFE"/>
        </w:rPr>
        <w:t xml:space="preserve"> </w:t>
      </w:r>
    </w:p>
    <w:p w:rsidR="00273516" w:rsidRPr="00FD22BB" w:rsidRDefault="00273516">
      <w:pPr>
        <w:rPr>
          <w:rFonts w:ascii="Verdana" w:hAnsi="Verdana"/>
          <w:color w:val="000000"/>
          <w:shd w:val="clear" w:color="auto" w:fill="FEFEFE"/>
        </w:rPr>
      </w:pPr>
    </w:p>
    <w:p w:rsidR="00FD22BB" w:rsidRPr="006A02D3" w:rsidRDefault="00FD22BB">
      <w:r>
        <w:rPr>
          <w:noProof/>
        </w:rPr>
        <w:lastRenderedPageBreak/>
        <w:drawing>
          <wp:inline distT="0" distB="0" distL="0" distR="0">
            <wp:extent cx="5943600" cy="80238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dex Aureus.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8023860"/>
                    </a:xfrm>
                    <a:prstGeom prst="rect">
                      <a:avLst/>
                    </a:prstGeom>
                  </pic:spPr>
                </pic:pic>
              </a:graphicData>
            </a:graphic>
          </wp:inline>
        </w:drawing>
      </w:r>
      <w:r w:rsidR="006A02D3">
        <w:rPr>
          <w:rStyle w:val="FootnoteReference"/>
        </w:rPr>
        <w:footnoteReference w:id="12"/>
      </w:r>
      <w:r w:rsidR="006A02D3">
        <w:t xml:space="preserve"> Savage. A. </w:t>
      </w:r>
      <w:r w:rsidR="006A02D3">
        <w:rPr>
          <w:i/>
        </w:rPr>
        <w:t xml:space="preserve">The Anglo-Saxon Chronicle. </w:t>
      </w:r>
      <w:r w:rsidR="006A02D3">
        <w:t xml:space="preserve">Surrey: Coombe Books, 1996. </w:t>
      </w:r>
    </w:p>
    <w:sectPr w:rsidR="00FD22BB" w:rsidRPr="006A02D3">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02A5C" w:rsidRDefault="00902A5C" w:rsidP="00FD22BB">
      <w:pPr>
        <w:spacing w:after="0" w:line="240" w:lineRule="auto"/>
      </w:pPr>
      <w:r>
        <w:separator/>
      </w:r>
    </w:p>
  </w:endnote>
  <w:endnote w:type="continuationSeparator" w:id="0">
    <w:p w:rsidR="00902A5C" w:rsidRDefault="00902A5C" w:rsidP="00FD22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02A5C" w:rsidRDefault="00902A5C" w:rsidP="00FD22BB">
      <w:pPr>
        <w:spacing w:after="0" w:line="240" w:lineRule="auto"/>
      </w:pPr>
      <w:r>
        <w:separator/>
      </w:r>
    </w:p>
  </w:footnote>
  <w:footnote w:type="continuationSeparator" w:id="0">
    <w:p w:rsidR="00902A5C" w:rsidRDefault="00902A5C" w:rsidP="00FD22BB">
      <w:pPr>
        <w:spacing w:after="0" w:line="240" w:lineRule="auto"/>
      </w:pPr>
      <w:r>
        <w:continuationSeparator/>
      </w:r>
    </w:p>
  </w:footnote>
  <w:footnote w:id="1">
    <w:p w:rsidR="00575819" w:rsidRDefault="00575819">
      <w:pPr>
        <w:pStyle w:val="FootnoteText"/>
      </w:pPr>
      <w:r>
        <w:rPr>
          <w:rStyle w:val="FootnoteReference"/>
        </w:rPr>
        <w:footnoteRef/>
      </w:r>
      <w:r>
        <w:t xml:space="preserve"> England, as I have written, represents the whole of Anglo-Saxon culture despite the fact that the country itself did not exist yet nor was it a confederation of hegemonies. </w:t>
      </w:r>
    </w:p>
  </w:footnote>
  <w:footnote w:id="2">
    <w:p w:rsidR="00FD22BB" w:rsidRDefault="00FD22BB">
      <w:pPr>
        <w:pStyle w:val="FootnoteText"/>
      </w:pPr>
      <w:r>
        <w:rPr>
          <w:rStyle w:val="FootnoteReference"/>
        </w:rPr>
        <w:footnoteRef/>
      </w:r>
      <w:r>
        <w:t xml:space="preserve"> The codex was most likely adorned with jewels due to the reference to a jeweler on the first page. </w:t>
      </w:r>
      <w:r>
        <w:rPr>
          <w:i/>
        </w:rPr>
        <w:t>Anglo-Saxon Archaeology</w:t>
      </w:r>
      <w:r>
        <w:t xml:space="preserve">. ‘Art’: </w:t>
      </w:r>
      <w:r w:rsidR="00557260">
        <w:t>www.</w:t>
      </w:r>
      <w:r>
        <w:t>Anglosaxon</w:t>
      </w:r>
      <w:r w:rsidR="00901081">
        <w:t>.archeurope.info.</w:t>
      </w:r>
    </w:p>
  </w:footnote>
  <w:footnote w:id="3">
    <w:p w:rsidR="00557260" w:rsidRDefault="00557260">
      <w:pPr>
        <w:pStyle w:val="FootnoteText"/>
      </w:pPr>
      <w:r>
        <w:rPr>
          <w:rStyle w:val="FootnoteReference"/>
        </w:rPr>
        <w:footnoteRef/>
      </w:r>
      <w:r>
        <w:t xml:space="preserve"> See facsimile on the last page.</w:t>
      </w:r>
    </w:p>
  </w:footnote>
  <w:footnote w:id="4">
    <w:p w:rsidR="00557260" w:rsidRPr="00557260" w:rsidRDefault="00557260">
      <w:pPr>
        <w:pStyle w:val="FootnoteText"/>
      </w:pPr>
      <w:r>
        <w:rPr>
          <w:rStyle w:val="FootnoteReference"/>
        </w:rPr>
        <w:footnoteRef/>
      </w:r>
      <w:r>
        <w:t xml:space="preserve"> </w:t>
      </w:r>
      <w:r>
        <w:rPr>
          <w:i/>
        </w:rPr>
        <w:t>World Digital Library.</w:t>
      </w:r>
      <w:r w:rsidRPr="00557260">
        <w:t xml:space="preserve"> </w:t>
      </w:r>
      <w:hyperlink r:id="rId1" w:history="1">
        <w:r w:rsidRPr="00557260">
          <w:rPr>
            <w:rStyle w:val="Hyperlink"/>
            <w:color w:val="auto"/>
            <w:u w:val="none"/>
          </w:rPr>
          <w:t>www.wdl.org</w:t>
        </w:r>
      </w:hyperlink>
      <w:r w:rsidRPr="00557260">
        <w:t xml:space="preserve">. </w:t>
      </w:r>
    </w:p>
  </w:footnote>
  <w:footnote w:id="5">
    <w:p w:rsidR="00077578" w:rsidRDefault="00077578">
      <w:pPr>
        <w:pStyle w:val="FootnoteText"/>
      </w:pPr>
      <w:r>
        <w:rPr>
          <w:rStyle w:val="FootnoteReference"/>
        </w:rPr>
        <w:footnoteRef/>
      </w:r>
      <w:r>
        <w:t xml:space="preserve"> Ibid </w:t>
      </w:r>
    </w:p>
  </w:footnote>
  <w:footnote w:id="6">
    <w:p w:rsidR="005E6B3E" w:rsidRDefault="005E6B3E" w:rsidP="005E6B3E">
      <w:pPr>
        <w:pStyle w:val="FootnoteText"/>
      </w:pPr>
      <w:r>
        <w:rPr>
          <w:rStyle w:val="FootnoteReference"/>
        </w:rPr>
        <w:footnoteRef/>
      </w:r>
      <w:r>
        <w:t xml:space="preserve"> Ibid</w:t>
      </w:r>
    </w:p>
  </w:footnote>
  <w:footnote w:id="7">
    <w:p w:rsidR="008D5B19" w:rsidRDefault="008D5B19">
      <w:pPr>
        <w:pStyle w:val="FootnoteText"/>
      </w:pPr>
      <w:r>
        <w:rPr>
          <w:rStyle w:val="FootnoteReference"/>
        </w:rPr>
        <w:footnoteRef/>
      </w:r>
      <w:r>
        <w:t xml:space="preserve"> Ibid</w:t>
      </w:r>
    </w:p>
  </w:footnote>
  <w:footnote w:id="8">
    <w:p w:rsidR="005E6B3E" w:rsidRDefault="005E6B3E" w:rsidP="005E6B3E">
      <w:pPr>
        <w:pStyle w:val="FootnoteText"/>
      </w:pPr>
      <w:r>
        <w:rPr>
          <w:rStyle w:val="FootnoteReference"/>
        </w:rPr>
        <w:footnoteRef/>
      </w:r>
      <w:r>
        <w:t xml:space="preserve"> Breeze, A. “The Stockholm ‘Golden Gospels’ in seventeenth century Spain.’ </w:t>
      </w:r>
      <w:r w:rsidRPr="00B571E8">
        <w:rPr>
          <w:i/>
        </w:rPr>
        <w:t>Notes and Queries</w:t>
      </w:r>
      <w:r>
        <w:t>, 1996. p. 396</w:t>
      </w:r>
    </w:p>
  </w:footnote>
  <w:footnote w:id="9">
    <w:p w:rsidR="00901081" w:rsidRPr="008614D6" w:rsidRDefault="00901081">
      <w:pPr>
        <w:pStyle w:val="FootnoteText"/>
      </w:pPr>
      <w:r>
        <w:rPr>
          <w:rStyle w:val="FootnoteReference"/>
        </w:rPr>
        <w:footnoteRef/>
      </w:r>
      <w:r>
        <w:t xml:space="preserve"> </w:t>
      </w:r>
      <w:r>
        <w:rPr>
          <w:i/>
        </w:rPr>
        <w:t xml:space="preserve">Anglo-Saxon Archeology. </w:t>
      </w:r>
    </w:p>
  </w:footnote>
  <w:footnote w:id="10">
    <w:p w:rsidR="00740AA3" w:rsidRDefault="00740AA3">
      <w:pPr>
        <w:pStyle w:val="FootnoteText"/>
      </w:pPr>
      <w:r>
        <w:rPr>
          <w:rStyle w:val="FootnoteReference"/>
        </w:rPr>
        <w:footnoteRef/>
      </w:r>
      <w:r>
        <w:t xml:space="preserve"> </w:t>
      </w:r>
      <w:r w:rsidR="0016785B">
        <w:t>Instead of b</w:t>
      </w:r>
      <w:r w:rsidR="00682F59">
        <w:t>utchering the letters by typing</w:t>
      </w:r>
      <w:r w:rsidR="0016785B">
        <w:t xml:space="preserve"> them in Modern English, I found a copy of t</w:t>
      </w:r>
      <w:r>
        <w:t>he original Old English text</w:t>
      </w:r>
      <w:r w:rsidR="0016785B">
        <w:t xml:space="preserve"> at</w:t>
      </w:r>
      <w:r>
        <w:t xml:space="preserve"> </w:t>
      </w:r>
      <w:hyperlink r:id="rId2" w:history="1">
        <w:r w:rsidR="0016785B" w:rsidRPr="0016785B">
          <w:rPr>
            <w:rStyle w:val="Hyperlink"/>
            <w:color w:val="auto"/>
            <w:u w:val="none"/>
          </w:rPr>
          <w:t>www.Anglo-Saxon.archeurope.info</w:t>
        </w:r>
      </w:hyperlink>
      <w:r w:rsidR="0016785B" w:rsidRPr="0016785B">
        <w:t xml:space="preserve">. </w:t>
      </w:r>
    </w:p>
  </w:footnote>
  <w:footnote w:id="11">
    <w:p w:rsidR="006551CC" w:rsidRDefault="006551CC">
      <w:pPr>
        <w:pStyle w:val="FootnoteText"/>
      </w:pPr>
      <w:r>
        <w:rPr>
          <w:rStyle w:val="FootnoteReference"/>
        </w:rPr>
        <w:footnoteRef/>
      </w:r>
      <w:r>
        <w:t xml:space="preserve"> Ker, N. R. Catalogue of Manuscripts containing Anglo-Saxon (Oxford: Clarendon Press, 1957, p. 456. </w:t>
      </w:r>
    </w:p>
  </w:footnote>
  <w:footnote w:id="12">
    <w:p w:rsidR="006A02D3" w:rsidRDefault="006A02D3">
      <w:pPr>
        <w:pStyle w:val="FootnoteText"/>
      </w:pPr>
      <w:r>
        <w:rPr>
          <w:rStyle w:val="FootnoteReference"/>
        </w:rPr>
        <w:footnoteRef/>
      </w:r>
      <w:r>
        <w:t xml:space="preserve"> </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0208868"/>
      <w:docPartObj>
        <w:docPartGallery w:val="Page Numbers (Top of Page)"/>
        <w:docPartUnique/>
      </w:docPartObj>
    </w:sdtPr>
    <w:sdtEndPr>
      <w:rPr>
        <w:noProof/>
      </w:rPr>
    </w:sdtEndPr>
    <w:sdtContent>
      <w:p w:rsidR="006A02D3" w:rsidRDefault="006A02D3">
        <w:pPr>
          <w:pStyle w:val="Header"/>
          <w:jc w:val="right"/>
        </w:pPr>
        <w:r>
          <w:fldChar w:fldCharType="begin"/>
        </w:r>
        <w:r>
          <w:instrText xml:space="preserve"> PAGE   \* MERGEFORMAT </w:instrText>
        </w:r>
        <w:r>
          <w:fldChar w:fldCharType="separate"/>
        </w:r>
        <w:r w:rsidR="00756585">
          <w:rPr>
            <w:noProof/>
          </w:rPr>
          <w:t>7</w:t>
        </w:r>
        <w:r>
          <w:rPr>
            <w:noProof/>
          </w:rPr>
          <w:fldChar w:fldCharType="end"/>
        </w:r>
      </w:p>
    </w:sdtContent>
  </w:sdt>
  <w:p w:rsidR="006A02D3" w:rsidRDefault="006A02D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4791"/>
    <w:rsid w:val="00025695"/>
    <w:rsid w:val="00046055"/>
    <w:rsid w:val="0006572E"/>
    <w:rsid w:val="00077578"/>
    <w:rsid w:val="000830C9"/>
    <w:rsid w:val="000D35F0"/>
    <w:rsid w:val="00101D71"/>
    <w:rsid w:val="00102CA4"/>
    <w:rsid w:val="00150AA2"/>
    <w:rsid w:val="001607D4"/>
    <w:rsid w:val="0016785B"/>
    <w:rsid w:val="0025638D"/>
    <w:rsid w:val="00273516"/>
    <w:rsid w:val="00276D3B"/>
    <w:rsid w:val="002C37A9"/>
    <w:rsid w:val="003067A9"/>
    <w:rsid w:val="0035664A"/>
    <w:rsid w:val="00362A71"/>
    <w:rsid w:val="003A03B2"/>
    <w:rsid w:val="003B3CF3"/>
    <w:rsid w:val="0045045C"/>
    <w:rsid w:val="004546BA"/>
    <w:rsid w:val="0048641E"/>
    <w:rsid w:val="0052274E"/>
    <w:rsid w:val="00557260"/>
    <w:rsid w:val="005660C4"/>
    <w:rsid w:val="00575819"/>
    <w:rsid w:val="005821F8"/>
    <w:rsid w:val="005E6B3E"/>
    <w:rsid w:val="005F2B68"/>
    <w:rsid w:val="006551CC"/>
    <w:rsid w:val="00676731"/>
    <w:rsid w:val="00682F59"/>
    <w:rsid w:val="006A02D3"/>
    <w:rsid w:val="006A5DBA"/>
    <w:rsid w:val="006A659B"/>
    <w:rsid w:val="006E155A"/>
    <w:rsid w:val="00740AA3"/>
    <w:rsid w:val="00756585"/>
    <w:rsid w:val="007703BF"/>
    <w:rsid w:val="007C25CF"/>
    <w:rsid w:val="0082038D"/>
    <w:rsid w:val="008614D6"/>
    <w:rsid w:val="0087717F"/>
    <w:rsid w:val="008D5B19"/>
    <w:rsid w:val="00901081"/>
    <w:rsid w:val="00901E92"/>
    <w:rsid w:val="00902A5C"/>
    <w:rsid w:val="00925D70"/>
    <w:rsid w:val="00954791"/>
    <w:rsid w:val="00980C80"/>
    <w:rsid w:val="0098370F"/>
    <w:rsid w:val="00990E69"/>
    <w:rsid w:val="00995470"/>
    <w:rsid w:val="009E16B4"/>
    <w:rsid w:val="00A1389F"/>
    <w:rsid w:val="00AF6CAA"/>
    <w:rsid w:val="00B05E33"/>
    <w:rsid w:val="00B3242A"/>
    <w:rsid w:val="00B36C14"/>
    <w:rsid w:val="00B4171A"/>
    <w:rsid w:val="00B571E8"/>
    <w:rsid w:val="00BF773B"/>
    <w:rsid w:val="00CC5C8D"/>
    <w:rsid w:val="00CE1B28"/>
    <w:rsid w:val="00D01C63"/>
    <w:rsid w:val="00DB070D"/>
    <w:rsid w:val="00E268B1"/>
    <w:rsid w:val="00E562D6"/>
    <w:rsid w:val="00EB3E93"/>
    <w:rsid w:val="00F75B90"/>
    <w:rsid w:val="00FA5987"/>
    <w:rsid w:val="00FD22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EDAA715-F892-4F59-BD87-88C1DEF54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54791"/>
    <w:pPr>
      <w:spacing w:before="100" w:beforeAutospacing="1" w:after="100" w:afterAutospacing="1" w:line="240" w:lineRule="auto"/>
    </w:pPr>
    <w:rPr>
      <w:rFonts w:ascii="Times New Roman" w:eastAsia="Times New Roman" w:hAnsi="Times New Roman" w:cs="Times New Roman"/>
      <w:sz w:val="24"/>
      <w:szCs w:val="24"/>
    </w:rPr>
  </w:style>
  <w:style w:type="paragraph" w:styleId="FootnoteText">
    <w:name w:val="footnote text"/>
    <w:basedOn w:val="Normal"/>
    <w:link w:val="FootnoteTextChar"/>
    <w:uiPriority w:val="99"/>
    <w:semiHidden/>
    <w:unhideWhenUsed/>
    <w:rsid w:val="00FD22B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D22BB"/>
    <w:rPr>
      <w:sz w:val="20"/>
      <w:szCs w:val="20"/>
    </w:rPr>
  </w:style>
  <w:style w:type="character" w:styleId="FootnoteReference">
    <w:name w:val="footnote reference"/>
    <w:basedOn w:val="DefaultParagraphFont"/>
    <w:uiPriority w:val="99"/>
    <w:semiHidden/>
    <w:unhideWhenUsed/>
    <w:rsid w:val="00FD22BB"/>
    <w:rPr>
      <w:vertAlign w:val="superscript"/>
    </w:rPr>
  </w:style>
  <w:style w:type="character" w:styleId="Hyperlink">
    <w:name w:val="Hyperlink"/>
    <w:basedOn w:val="DefaultParagraphFont"/>
    <w:uiPriority w:val="99"/>
    <w:unhideWhenUsed/>
    <w:rsid w:val="00557260"/>
    <w:rPr>
      <w:color w:val="0563C1" w:themeColor="hyperlink"/>
      <w:u w:val="single"/>
    </w:rPr>
  </w:style>
  <w:style w:type="character" w:styleId="Emphasis">
    <w:name w:val="Emphasis"/>
    <w:basedOn w:val="DefaultParagraphFont"/>
    <w:uiPriority w:val="20"/>
    <w:qFormat/>
    <w:rsid w:val="007703BF"/>
    <w:rPr>
      <w:i/>
      <w:iCs/>
    </w:rPr>
  </w:style>
  <w:style w:type="character" w:styleId="CommentReference">
    <w:name w:val="annotation reference"/>
    <w:basedOn w:val="DefaultParagraphFont"/>
    <w:uiPriority w:val="99"/>
    <w:semiHidden/>
    <w:unhideWhenUsed/>
    <w:rsid w:val="00F75B90"/>
    <w:rPr>
      <w:sz w:val="16"/>
      <w:szCs w:val="16"/>
    </w:rPr>
  </w:style>
  <w:style w:type="paragraph" w:styleId="CommentText">
    <w:name w:val="annotation text"/>
    <w:basedOn w:val="Normal"/>
    <w:link w:val="CommentTextChar"/>
    <w:uiPriority w:val="99"/>
    <w:semiHidden/>
    <w:unhideWhenUsed/>
    <w:rsid w:val="00F75B90"/>
    <w:pPr>
      <w:spacing w:line="240" w:lineRule="auto"/>
    </w:pPr>
    <w:rPr>
      <w:sz w:val="20"/>
      <w:szCs w:val="20"/>
    </w:rPr>
  </w:style>
  <w:style w:type="character" w:customStyle="1" w:styleId="CommentTextChar">
    <w:name w:val="Comment Text Char"/>
    <w:basedOn w:val="DefaultParagraphFont"/>
    <w:link w:val="CommentText"/>
    <w:uiPriority w:val="99"/>
    <w:semiHidden/>
    <w:rsid w:val="00F75B90"/>
    <w:rPr>
      <w:sz w:val="20"/>
      <w:szCs w:val="20"/>
    </w:rPr>
  </w:style>
  <w:style w:type="paragraph" w:styleId="CommentSubject">
    <w:name w:val="annotation subject"/>
    <w:basedOn w:val="CommentText"/>
    <w:next w:val="CommentText"/>
    <w:link w:val="CommentSubjectChar"/>
    <w:uiPriority w:val="99"/>
    <w:semiHidden/>
    <w:unhideWhenUsed/>
    <w:rsid w:val="00F75B90"/>
    <w:rPr>
      <w:b/>
      <w:bCs/>
    </w:rPr>
  </w:style>
  <w:style w:type="character" w:customStyle="1" w:styleId="CommentSubjectChar">
    <w:name w:val="Comment Subject Char"/>
    <w:basedOn w:val="CommentTextChar"/>
    <w:link w:val="CommentSubject"/>
    <w:uiPriority w:val="99"/>
    <w:semiHidden/>
    <w:rsid w:val="00F75B90"/>
    <w:rPr>
      <w:b/>
      <w:bCs/>
      <w:sz w:val="20"/>
      <w:szCs w:val="20"/>
    </w:rPr>
  </w:style>
  <w:style w:type="paragraph" w:styleId="BalloonText">
    <w:name w:val="Balloon Text"/>
    <w:basedOn w:val="Normal"/>
    <w:link w:val="BalloonTextChar"/>
    <w:uiPriority w:val="99"/>
    <w:semiHidden/>
    <w:unhideWhenUsed/>
    <w:rsid w:val="00F75B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5B90"/>
    <w:rPr>
      <w:rFonts w:ascii="Segoe UI" w:hAnsi="Segoe UI" w:cs="Segoe UI"/>
      <w:sz w:val="18"/>
      <w:szCs w:val="18"/>
    </w:rPr>
  </w:style>
  <w:style w:type="paragraph" w:styleId="Header">
    <w:name w:val="header"/>
    <w:basedOn w:val="Normal"/>
    <w:link w:val="HeaderChar"/>
    <w:uiPriority w:val="99"/>
    <w:unhideWhenUsed/>
    <w:rsid w:val="006A02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02D3"/>
  </w:style>
  <w:style w:type="paragraph" w:styleId="Footer">
    <w:name w:val="footer"/>
    <w:basedOn w:val="Normal"/>
    <w:link w:val="FooterChar"/>
    <w:uiPriority w:val="99"/>
    <w:unhideWhenUsed/>
    <w:rsid w:val="006A02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02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15344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spickering.wordpress.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Anglosaxon.archeurope.info"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1.jpg"/><Relationship Id="rId5" Type="http://schemas.openxmlformats.org/officeDocument/2006/relationships/footnotes" Target="footnotes.xml"/><Relationship Id="rId10" Type="http://schemas.openxmlformats.org/officeDocument/2006/relationships/hyperlink" Target="http://www.wdl.org" TargetMode="External"/><Relationship Id="rId4" Type="http://schemas.openxmlformats.org/officeDocument/2006/relationships/webSettings" Target="webSettings.xml"/><Relationship Id="rId9" Type="http://schemas.openxmlformats.org/officeDocument/2006/relationships/hyperlink" Target="http://www.archive.org"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www.Anglo-Saxon.archeurope.info" TargetMode="External"/><Relationship Id="rId1" Type="http://schemas.openxmlformats.org/officeDocument/2006/relationships/hyperlink" Target="http://www.wdl.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2B3CBD-42AA-46C6-8010-A70391C848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1416</TotalTime>
  <Pages>7</Pages>
  <Words>1413</Words>
  <Characters>8060</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Carter Henley</dc:creator>
  <cp:keywords/>
  <dc:description/>
  <cp:lastModifiedBy>Carter Henley</cp:lastModifiedBy>
  <cp:revision>58</cp:revision>
  <dcterms:created xsi:type="dcterms:W3CDTF">2021-01-06T17:37:00Z</dcterms:created>
  <dcterms:modified xsi:type="dcterms:W3CDTF">2021-01-08T15:55:00Z</dcterms:modified>
</cp:coreProperties>
</file>