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B686F88" w:rsidP="5D55E4E6" w:rsidRDefault="5B686F88" w14:paraId="3BCDC31F" w14:textId="59C5B45C">
      <w:pPr>
        <w:pStyle w:val="Normal"/>
        <w:spacing w:after="160" w:line="360" w:lineRule="auto"/>
        <w:jc w:val="both"/>
        <w:rPr>
          <w:rFonts w:ascii="Times New Roman" w:hAnsi="Times New Roman" w:eastAsia="Times New Roman" w:cs="Times New Roman"/>
          <w:b w:val="1"/>
          <w:bCs w:val="1"/>
          <w:noProof w:val="0"/>
          <w:color w:val="auto"/>
          <w:sz w:val="24"/>
          <w:szCs w:val="24"/>
          <w:u w:val="single"/>
          <w:lang w:val="en-GB"/>
        </w:rPr>
      </w:pPr>
      <w:hyperlink r:id="R7e87d27f7a164a77">
        <w:r w:rsidRPr="5D55E4E6" w:rsidR="5D55E4E6">
          <w:rPr>
            <w:rStyle w:val="Hyperlink"/>
            <w:rFonts w:ascii="Times New Roman" w:hAnsi="Times New Roman" w:eastAsia="Times New Roman" w:cs="Times New Roman"/>
            <w:b w:val="1"/>
            <w:bCs w:val="1"/>
            <w:noProof w:val="0"/>
            <w:color w:val="auto"/>
            <w:sz w:val="24"/>
            <w:szCs w:val="24"/>
            <w:u w:val="single"/>
            <w:lang w:val="en-GB"/>
          </w:rPr>
          <w:t>Portfolio - Part 1 Book Chapter.</w:t>
        </w:r>
      </w:hyperlink>
      <w:r w:rsidRPr="5D55E4E6" w:rsidR="5D55E4E6">
        <w:rPr>
          <w:rFonts w:ascii="Times New Roman" w:hAnsi="Times New Roman" w:eastAsia="Times New Roman" w:cs="Times New Roman"/>
          <w:b w:val="1"/>
          <w:bCs w:val="1"/>
          <w:noProof w:val="0"/>
          <w:color w:val="auto"/>
          <w:sz w:val="24"/>
          <w:szCs w:val="24"/>
          <w:u w:val="single"/>
          <w:lang w:val="en-GB"/>
        </w:rPr>
        <w:t xml:space="preserve"> Eating Disorders.</w:t>
      </w:r>
    </w:p>
    <w:p w:rsidR="5B686F88" w:rsidP="5D55E4E6" w:rsidRDefault="5B686F88" w14:paraId="179891F0" w14:textId="2A8E7E69">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Eating disorders in Western industrialised societies have been rising in the last 30 years. There are links to this with so much more food available. This could be a direct link to the causes of eating disorders with physical appearance and diet now so common. Throughout culture, there is a growing popularity of being thin as the norm, which is often portrayed in the press. (Gross R, 2015).</w:t>
      </w:r>
    </w:p>
    <w:p w:rsidR="5B686F88" w:rsidP="5D55E4E6" w:rsidRDefault="5B686F88" w14:paraId="1C0EBBF5" w14:textId="6B07B898">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There has been increasing evidence that a nutrition addiction cannot be induced by cultural factors alone and is a serious psychological illness.</w:t>
      </w:r>
    </w:p>
    <w:p w:rsidR="5B686F88" w:rsidP="5D55E4E6" w:rsidRDefault="5B686F88" w14:paraId="34452AED" w14:textId="4E8935AD">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Anorexia nervosa usually starts between the ages of sixteen and seventeen, with a high number being females that are overly concerned about their `puppy fat` and have started to diet. Anorexia nervosa shows that patients limit calorie intake to an abnormally low body weight and often don’t realise that they have themselves got an eating disorder (Gross R, 2015).</w:t>
      </w:r>
    </w:p>
    <w:p w:rsidR="5B686F88" w:rsidP="5D55E4E6" w:rsidRDefault="5B686F88" w14:paraId="100EA355" w14:textId="2EC3E1B2">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Bulimia nervosa is the type of eating disorder which sees the person overindulging in food and then making themselves purge afterwards through vomiting or misuse of laxatives or diuretics due to the guilt of overindulgence. It is not uncommon to find that these women also suffer with some other form of psychological disorder such as depression and are often suicidal after overindulging. This type of eating disorder is often found in older woman who already engage in antisocial/impulsive behaviours such as drug misuse and are often from lower class backgrounds. (Gross R, 2015).</w:t>
      </w:r>
    </w:p>
    <w:p w:rsidR="5B686F88" w:rsidP="5D55E4E6" w:rsidRDefault="5B686F88" w14:paraId="17161F67" w14:textId="30A81342">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Not all people with bulimia nervosa will purge after overindulging in their food this is known as the non-purging type.  They often know that they have an eating disorder but hide it well as they will often show no signs of weight loss. (Gross R, 2015).</w:t>
      </w:r>
    </w:p>
    <w:p w:rsidR="5B686F88" w:rsidP="5D55E4E6" w:rsidRDefault="5B686F88" w14:paraId="2F569051" w14:textId="207A8360">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Anorexia and bulimia have a lot of common symptoms and happen far more often in developed countries as they become more westernised. (Gross R, 2015).</w:t>
      </w:r>
    </w:p>
    <w:p w:rsidR="5B686F88" w:rsidP="5D55E4E6" w:rsidRDefault="5B686F88" w14:paraId="50D37DAE" w14:textId="3BDBD34B">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Although eating disorders are far too common to be deemed Western culture based. Eating disorders in more westernised cultures may be partly the result of food ambivalence. Wanting to be thin clashes with food availability and overall food intake. While the social and cultural theory is strongly supported, certain considerations must be included to provide a more accurate account.  Many disorders of the brain are pre-existent such as anxiety, depression or high stress levels. (Gross R, 2015).</w:t>
      </w:r>
    </w:p>
    <w:p w:rsidR="5B686F88" w:rsidP="5D55E4E6" w:rsidRDefault="5B686F88" w14:paraId="73868404" w14:textId="6957B569">
      <w:pPr>
        <w:pStyle w:val="Normal"/>
        <w:spacing w:after="160" w:line="360" w:lineRule="auto"/>
        <w:jc w:val="both"/>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Gross, R. (2015). </w:t>
      </w:r>
      <w:r w:rsidRPr="5D55E4E6" w:rsidR="5D55E4E6">
        <w:rPr>
          <w:rFonts w:ascii="Times New Roman" w:hAnsi="Times New Roman" w:eastAsia="Times New Roman" w:cs="Times New Roman"/>
          <w:i w:val="1"/>
          <w:iCs w:val="1"/>
          <w:noProof w:val="0"/>
          <w:color w:val="222222"/>
          <w:sz w:val="24"/>
          <w:szCs w:val="24"/>
          <w:lang w:val="en-GB"/>
        </w:rPr>
        <w:t>Psychology: The science of mind and behaviour</w:t>
      </w:r>
      <w:r w:rsidRPr="5D55E4E6" w:rsidR="5D55E4E6">
        <w:rPr>
          <w:rFonts w:ascii="Times New Roman" w:hAnsi="Times New Roman" w:eastAsia="Times New Roman" w:cs="Times New Roman"/>
          <w:i w:val="1"/>
          <w:iCs w:val="1"/>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7</w:t>
      </w:r>
      <w:r w:rsidRPr="5D55E4E6" w:rsidR="5D55E4E6">
        <w:rPr>
          <w:rFonts w:ascii="Times New Roman" w:hAnsi="Times New Roman" w:eastAsia="Times New Roman" w:cs="Times New Roman"/>
          <w:i w:val="1"/>
          <w:iCs w:val="1"/>
          <w:noProof w:val="0"/>
          <w:color w:val="222222"/>
          <w:sz w:val="24"/>
          <w:szCs w:val="24"/>
          <w:vertAlign w:val="superscript"/>
          <w:lang w:val="en-GB"/>
        </w:rPr>
        <w:t>th</w:t>
      </w:r>
      <w:r w:rsidRPr="5D55E4E6" w:rsidR="5D55E4E6">
        <w:rPr>
          <w:rFonts w:ascii="Times New Roman" w:hAnsi="Times New Roman" w:eastAsia="Times New Roman" w:cs="Times New Roman"/>
          <w:i w:val="1"/>
          <w:iCs w:val="1"/>
          <w:noProof w:val="0"/>
          <w:color w:val="222222"/>
          <w:sz w:val="24"/>
          <w:szCs w:val="24"/>
          <w:lang w:val="en-GB"/>
        </w:rPr>
        <w:t>edition</w:t>
      </w:r>
      <w:r w:rsidRPr="5D55E4E6" w:rsidR="5D55E4E6">
        <w:rPr>
          <w:rFonts w:ascii="Times New Roman" w:hAnsi="Times New Roman" w:eastAsia="Times New Roman" w:cs="Times New Roman"/>
          <w:noProof w:val="0"/>
          <w:color w:val="222222"/>
          <w:sz w:val="24"/>
          <w:szCs w:val="24"/>
          <w:lang w:val="en-GB"/>
        </w:rPr>
        <w:t>. Hodder Education. 716-721.</w:t>
      </w:r>
    </w:p>
    <w:p w:rsidR="5B686F88" w:rsidP="5D55E4E6" w:rsidRDefault="5B686F88" w14:paraId="752C90C0" w14:textId="4AA0ECEC">
      <w:pPr>
        <w:pStyle w:val="Normal"/>
        <w:spacing w:after="160" w:line="360" w:lineRule="auto"/>
        <w:jc w:val="both"/>
        <w:rPr>
          <w:rFonts w:ascii="Times New Roman" w:hAnsi="Times New Roman" w:eastAsia="Times New Roman" w:cs="Times New Roman"/>
          <w:b w:val="1"/>
          <w:bCs w:val="1"/>
          <w:sz w:val="24"/>
          <w:szCs w:val="24"/>
          <w:u w:val="single"/>
        </w:rPr>
      </w:pPr>
      <w:r w:rsidRPr="5D55E4E6" w:rsidR="5D55E4E6">
        <w:rPr>
          <w:rFonts w:ascii="Times New Roman" w:hAnsi="Times New Roman" w:eastAsia="Times New Roman" w:cs="Times New Roman"/>
          <w:b w:val="1"/>
          <w:bCs w:val="1"/>
          <w:noProof w:val="0"/>
          <w:color w:val="00090E"/>
          <w:sz w:val="24"/>
          <w:szCs w:val="24"/>
          <w:u w:val="single"/>
          <w:lang w:val="en-GB"/>
        </w:rPr>
        <w:t>Portfolio - Part 2 - Three selected journal articles into abstracts.</w:t>
      </w:r>
    </w:p>
    <w:p w:rsidR="5B686F88" w:rsidP="5D55E4E6" w:rsidRDefault="5B686F88" w14:paraId="5EF26762" w14:textId="1B1D574A">
      <w:pPr>
        <w:spacing w:after="160" w:line="360" w:lineRule="auto"/>
        <w:rPr>
          <w:rFonts w:ascii="Times New Roman" w:hAnsi="Times New Roman" w:eastAsia="Times New Roman" w:cs="Times New Roman"/>
          <w:noProof w:val="0"/>
          <w:sz w:val="24"/>
          <w:szCs w:val="24"/>
          <w:u w:val="single"/>
          <w:lang w:val="en-GB"/>
        </w:rPr>
      </w:pPr>
      <w:r w:rsidRPr="5D55E4E6" w:rsidR="5D55E4E6">
        <w:rPr>
          <w:rFonts w:ascii="Times New Roman" w:hAnsi="Times New Roman" w:eastAsia="Times New Roman" w:cs="Times New Roman"/>
          <w:b w:val="1"/>
          <w:bCs w:val="1"/>
          <w:noProof w:val="0"/>
          <w:sz w:val="24"/>
          <w:szCs w:val="24"/>
          <w:u w:val="single"/>
          <w:lang w:val="en-GB"/>
        </w:rPr>
        <w:t>Is gambling an emerging health issue for Wales UK?</w:t>
      </w:r>
    </w:p>
    <w:p w:rsidR="5B686F88" w:rsidP="5D55E4E6" w:rsidRDefault="5B686F88" w14:paraId="050AB1F1" w14:textId="6FFEA99D">
      <w:pPr>
        <w:pStyle w:val="Normal"/>
        <w:spacing w:after="160"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Gambling can have a detrimental effect on different individuals. The study suggests that high stress levels, anxiety, depression, alcohol and substance abuse are more associated with gambling. Deprived backgrounds and their families are more likely to be affected, this can cause financial hardship along with higher rates of divorce and abuse among those who gamble. </w:t>
      </w:r>
    </w:p>
    <w:p w:rsidR="5B686F88" w:rsidP="5D55E4E6" w:rsidRDefault="5B686F88" w14:paraId="7663C467" w14:textId="63C16B44">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Existing data was reviewed to establish whether gambling is emerging as a public health issue.</w:t>
      </w:r>
    </w:p>
    <w:p w:rsidR="5B686F88" w:rsidP="5D55E4E6" w:rsidRDefault="5B686F88" w14:paraId="650EC6C3" w14:textId="1198BB7A">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In Wales 1.1% of people reported themselves to have a gambling problem. The cost of gambling for Wales was estimated to be between £40 and £70 million which is a large cost to society. Those from deprived backgrounds were more likely to bet more than they could afford which would then cause them financial problems and harm from gambling, having to seek help.</w:t>
      </w:r>
    </w:p>
    <w:p w:rsidR="5B686F88" w:rsidP="5D55E4E6" w:rsidRDefault="5B686F88" w14:paraId="0CDFD3C7" w14:textId="7971389C">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The study showed that gambling is emerging as a health issue in Wales. It is especially shown to cause gamble related harm to those from deprived backgrounds. </w:t>
      </w:r>
    </w:p>
    <w:p w:rsidR="5B686F88" w:rsidP="5D55E4E6" w:rsidRDefault="5B686F88" w14:paraId="64D60A37" w14:textId="14242B5C">
      <w:pPr>
        <w:spacing w:after="160" w:line="360" w:lineRule="auto"/>
        <w:jc w:val="both"/>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A more widespread study is needed to get more accurate results.</w:t>
      </w:r>
    </w:p>
    <w:p w:rsidR="5B686F88" w:rsidP="5D55E4E6" w:rsidRDefault="5B686F88" w14:paraId="5C682C0C" w14:textId="4BFF4E1D">
      <w:pPr>
        <w:pStyle w:val="Normal"/>
        <w:spacing w:line="360" w:lineRule="auto"/>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Atherton, F., &amp; Beynon, C. (2018). Is gambling an emerging public health issue for Wales, </w:t>
      </w:r>
      <w:proofErr w:type="gramStart"/>
      <w:r w:rsidRPr="5D55E4E6" w:rsidR="5D55E4E6">
        <w:rPr>
          <w:rFonts w:ascii="Times New Roman" w:hAnsi="Times New Roman" w:eastAsia="Times New Roman" w:cs="Times New Roman"/>
          <w:noProof w:val="0"/>
          <w:color w:val="222222"/>
          <w:sz w:val="24"/>
          <w:szCs w:val="24"/>
          <w:lang w:val="en-GB"/>
        </w:rPr>
        <w:t>UK?.</w:t>
      </w:r>
      <w:proofErr w:type="gramEnd"/>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Journal of Public Health</w:t>
      </w:r>
      <w:r w:rsidRPr="5D55E4E6" w:rsidR="5D55E4E6">
        <w:rPr>
          <w:rFonts w:ascii="Times New Roman" w:hAnsi="Times New Roman" w:eastAsia="Times New Roman" w:cs="Times New Roman"/>
          <w:noProof w:val="0"/>
          <w:color w:val="222222"/>
          <w:sz w:val="24"/>
          <w:szCs w:val="24"/>
          <w:lang w:val="en-GB"/>
        </w:rPr>
        <w:t>.</w:t>
      </w:r>
    </w:p>
    <w:p w:rsidR="5B686F88" w:rsidP="5D55E4E6" w:rsidRDefault="5B686F88" w14:paraId="2AD3DBC0" w14:textId="5A1C39D6">
      <w:pPr>
        <w:pStyle w:val="Normal"/>
        <w:spacing w:after="160" w:line="360" w:lineRule="auto"/>
        <w:jc w:val="both"/>
        <w:rPr>
          <w:rFonts w:ascii="Times New Roman" w:hAnsi="Times New Roman" w:eastAsia="Times New Roman" w:cs="Times New Roman"/>
          <w:b w:val="1"/>
          <w:bCs w:val="1"/>
          <w:noProof w:val="0"/>
          <w:sz w:val="24"/>
          <w:szCs w:val="24"/>
          <w:lang w:val="en-GB"/>
        </w:rPr>
      </w:pPr>
    </w:p>
    <w:p w:rsidR="5B686F88" w:rsidP="5D55E4E6" w:rsidRDefault="5B686F88" w14:paraId="03A2867F" w14:textId="144867D7">
      <w:pPr>
        <w:pStyle w:val="Normal"/>
        <w:spacing w:after="160" w:line="360" w:lineRule="auto"/>
        <w:jc w:val="both"/>
        <w:rPr>
          <w:rFonts w:ascii="Times New Roman" w:hAnsi="Times New Roman" w:eastAsia="Times New Roman" w:cs="Times New Roman"/>
          <w:b w:val="1"/>
          <w:bCs w:val="1"/>
          <w:noProof w:val="0"/>
          <w:sz w:val="24"/>
          <w:szCs w:val="24"/>
          <w:lang w:val="en-GB"/>
        </w:rPr>
      </w:pPr>
      <w:r w:rsidRPr="5D55E4E6" w:rsidR="5D55E4E6">
        <w:rPr>
          <w:rFonts w:ascii="Times New Roman" w:hAnsi="Times New Roman" w:eastAsia="Times New Roman" w:cs="Times New Roman"/>
          <w:b w:val="1"/>
          <w:bCs w:val="1"/>
          <w:noProof w:val="0"/>
          <w:sz w:val="24"/>
          <w:szCs w:val="24"/>
          <w:lang w:val="en-GB"/>
        </w:rPr>
        <w:t xml:space="preserve">The price of sexy: Viewers’ Perceptions of a Sexualised Versus </w:t>
      </w:r>
      <w:proofErr w:type="spellStart"/>
      <w:r w:rsidRPr="5D55E4E6" w:rsidR="5D55E4E6">
        <w:rPr>
          <w:rFonts w:ascii="Times New Roman" w:hAnsi="Times New Roman" w:eastAsia="Times New Roman" w:cs="Times New Roman"/>
          <w:b w:val="1"/>
          <w:bCs w:val="1"/>
          <w:noProof w:val="0"/>
          <w:sz w:val="24"/>
          <w:szCs w:val="24"/>
          <w:lang w:val="en-GB"/>
        </w:rPr>
        <w:t>Nonsexualised</w:t>
      </w:r>
      <w:proofErr w:type="spellEnd"/>
      <w:r w:rsidRPr="5D55E4E6" w:rsidR="5D55E4E6">
        <w:rPr>
          <w:rFonts w:ascii="Times New Roman" w:hAnsi="Times New Roman" w:eastAsia="Times New Roman" w:cs="Times New Roman"/>
          <w:b w:val="1"/>
          <w:bCs w:val="1"/>
          <w:noProof w:val="0"/>
          <w:sz w:val="24"/>
          <w:szCs w:val="24"/>
          <w:lang w:val="en-GB"/>
        </w:rPr>
        <w:t xml:space="preserve"> Facebook Profile photograph Abstract</w:t>
      </w:r>
    </w:p>
    <w:p w:rsidR="5B686F88" w:rsidP="5D55E4E6" w:rsidRDefault="5B686F88" w14:paraId="5A1E23F4" w14:textId="0A67C2DF">
      <w:pPr>
        <w:spacing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Using a test system, the present study assessed a group of adolescent girls and young women of a female who presented herself on Facebook. Fifty-eight adolescent girls and sixty young women were shown the Facebook profile with either a sexualised profile photo or a non-sexualised profile photo </w:t>
      </w:r>
      <w:r w:rsidRPr="5D55E4E6" w:rsidR="5D55E4E6">
        <w:rPr>
          <w:rFonts w:ascii="Times New Roman" w:hAnsi="Times New Roman" w:eastAsia="Times New Roman" w:cs="Times New Roman"/>
          <w:noProof w:val="0"/>
          <w:sz w:val="24"/>
          <w:szCs w:val="24"/>
          <w:lang w:val="en-GB"/>
        </w:rPr>
        <w:t>of her</w:t>
      </w:r>
      <w:r w:rsidRPr="5D55E4E6" w:rsidR="5D55E4E6">
        <w:rPr>
          <w:rFonts w:ascii="Times New Roman" w:hAnsi="Times New Roman" w:eastAsia="Times New Roman" w:cs="Times New Roman"/>
          <w:noProof w:val="0"/>
          <w:sz w:val="24"/>
          <w:szCs w:val="24"/>
          <w:lang w:val="en-GB"/>
        </w:rPr>
        <w:t>.</w:t>
      </w:r>
    </w:p>
    <w:p w:rsidR="5B686F88" w:rsidP="5D55E4E6" w:rsidRDefault="5B686F88" w14:paraId="675F1B28" w14:textId="6A4F04E8">
      <w:pPr>
        <w:spacing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 The results demonstrated that the sexualised profile owner was less physically engaging, less socially attractive and less capable to complete tasks. There was an essential effect of age in the judgment of social charm, with the young women giving higher assessments than the adolescent girls. There were no other obvious effects of age or relationship among their age and conditions. The disclosures describe that using a sexualised profile photo on Facebook goes with social costs for the adolescent girls and young women. Ways to educate adolescents about new media use and sexualisation are talked about.</w:t>
      </w:r>
      <w:r w:rsidRPr="5D55E4E6" w:rsidR="5D55E4E6">
        <w:rPr>
          <w:rFonts w:ascii="Times New Roman" w:hAnsi="Times New Roman" w:eastAsia="Times New Roman" w:cs="Times New Roman"/>
          <w:noProof w:val="0"/>
          <w:sz w:val="24"/>
          <w:szCs w:val="24"/>
          <w:lang w:val="en-GB"/>
        </w:rPr>
        <w:t xml:space="preserve"> </w:t>
      </w:r>
    </w:p>
    <w:p w:rsidR="5B686F88" w:rsidP="5D55E4E6" w:rsidRDefault="5B686F88" w14:paraId="55B794B2" w14:textId="5A5404AD">
      <w:pPr>
        <w:pStyle w:val="Normal"/>
        <w:spacing w:line="360" w:lineRule="auto"/>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Daniels, E. A., &amp; Zurbriggen, E. L. (2016). The price of sexy: Viewers’ perceptions of a sexualized versus </w:t>
      </w:r>
      <w:proofErr w:type="spellStart"/>
      <w:r w:rsidRPr="5D55E4E6" w:rsidR="5D55E4E6">
        <w:rPr>
          <w:rFonts w:ascii="Times New Roman" w:hAnsi="Times New Roman" w:eastAsia="Times New Roman" w:cs="Times New Roman"/>
          <w:noProof w:val="0"/>
          <w:color w:val="222222"/>
          <w:sz w:val="24"/>
          <w:szCs w:val="24"/>
          <w:lang w:val="en-GB"/>
        </w:rPr>
        <w:t>nonsexualized</w:t>
      </w:r>
      <w:proofErr w:type="spellEnd"/>
      <w:r w:rsidRPr="5D55E4E6" w:rsidR="5D55E4E6">
        <w:rPr>
          <w:rFonts w:ascii="Times New Roman" w:hAnsi="Times New Roman" w:eastAsia="Times New Roman" w:cs="Times New Roman"/>
          <w:noProof w:val="0"/>
          <w:color w:val="222222"/>
          <w:sz w:val="24"/>
          <w:szCs w:val="24"/>
          <w:lang w:val="en-GB"/>
        </w:rPr>
        <w:t xml:space="preserve"> Facebook profile photograph. </w:t>
      </w:r>
      <w:r w:rsidRPr="5D55E4E6" w:rsidR="5D55E4E6">
        <w:rPr>
          <w:rFonts w:ascii="Times New Roman" w:hAnsi="Times New Roman" w:eastAsia="Times New Roman" w:cs="Times New Roman"/>
          <w:i w:val="1"/>
          <w:iCs w:val="1"/>
          <w:noProof w:val="0"/>
          <w:color w:val="222222"/>
          <w:sz w:val="24"/>
          <w:szCs w:val="24"/>
          <w:lang w:val="en-GB"/>
        </w:rPr>
        <w:t>Psychology of popular media culture</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5</w:t>
      </w:r>
      <w:r w:rsidRPr="5D55E4E6" w:rsidR="5D55E4E6">
        <w:rPr>
          <w:rFonts w:ascii="Times New Roman" w:hAnsi="Times New Roman" w:eastAsia="Times New Roman" w:cs="Times New Roman"/>
          <w:noProof w:val="0"/>
          <w:color w:val="222222"/>
          <w:sz w:val="24"/>
          <w:szCs w:val="24"/>
          <w:lang w:val="en-GB"/>
        </w:rPr>
        <w:t>(1), 2-14.</w:t>
      </w:r>
    </w:p>
    <w:p w:rsidR="5B686F88" w:rsidP="5D55E4E6" w:rsidRDefault="5B686F88" w14:paraId="695168D0" w14:textId="36ACD40C">
      <w:pPr>
        <w:pStyle w:val="Normal"/>
        <w:spacing w:line="360" w:lineRule="auto"/>
        <w:rPr>
          <w:rFonts w:ascii="Times New Roman" w:hAnsi="Times New Roman" w:eastAsia="Times New Roman" w:cs="Times New Roman"/>
          <w:noProof w:val="0"/>
          <w:color w:val="222222"/>
          <w:sz w:val="24"/>
          <w:szCs w:val="24"/>
          <w:lang w:val="en-GB"/>
        </w:rPr>
      </w:pPr>
    </w:p>
    <w:p w:rsidR="5B686F88" w:rsidP="5D55E4E6" w:rsidRDefault="5B686F88" w14:paraId="106249D0" w14:textId="6EC23A5A">
      <w:pPr>
        <w:pStyle w:val="Normal"/>
        <w:spacing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In the present study, a group of 365 undergraduate students studied the role of narcissism throughout. The aim of this study was to examine the relationship between health risk and health protective behaviours. </w:t>
      </w:r>
    </w:p>
    <w:p w:rsidR="5B686F88" w:rsidP="5D55E4E6" w:rsidRDefault="5B686F88" w14:paraId="04F3B63F" w14:textId="2C3AC97A">
      <w:pPr>
        <w:pStyle w:val="Normal"/>
        <w:spacing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The effect of narcissism on health behaviour was tested using regression analyses. It found that the use of tobacco, cannabis and hazardous behaviours, was highly indicative for narcissism. The likelihood of a consistently healthy eating pattern was also associated with an increased risk. Narcissi</w:t>
      </w:r>
      <w:r w:rsidRPr="5D55E4E6" w:rsidR="5D55E4E6">
        <w:rPr>
          <w:rFonts w:ascii="Times New Roman" w:hAnsi="Times New Roman" w:eastAsia="Times New Roman" w:cs="Times New Roman"/>
          <w:noProof w:val="0"/>
          <w:sz w:val="24"/>
          <w:szCs w:val="24"/>
          <w:lang w:val="en-GB"/>
        </w:rPr>
        <w:t>s</w:t>
      </w:r>
      <w:r w:rsidRPr="5D55E4E6" w:rsidR="5D55E4E6">
        <w:rPr>
          <w:rFonts w:ascii="Times New Roman" w:hAnsi="Times New Roman" w:eastAsia="Times New Roman" w:cs="Times New Roman"/>
          <w:noProof w:val="0"/>
          <w:sz w:val="24"/>
          <w:szCs w:val="24"/>
          <w:lang w:val="en-GB"/>
        </w:rPr>
        <w:t xml:space="preserve">m also regarded physical activity negatively. </w:t>
      </w:r>
    </w:p>
    <w:p w:rsidR="5B686F88" w:rsidP="5D55E4E6" w:rsidRDefault="5B686F88" w14:paraId="510FFEC1" w14:textId="141A253D">
      <w:pPr>
        <w:pStyle w:val="Normal"/>
        <w:spacing w:line="360" w:lineRule="auto"/>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The findings are discussed in terms of probable short-and long-term health impacts and the need for future research on factors related to narcissism and health risk and health protective behaviours.</w:t>
      </w:r>
    </w:p>
    <w:p w:rsidR="5B686F88" w:rsidP="5D55E4E6" w:rsidRDefault="5B686F88" w14:paraId="5A948835" w14:textId="5AB69B43">
      <w:pPr>
        <w:pStyle w:val="Normal"/>
        <w:spacing w:line="360" w:lineRule="auto"/>
        <w:rPr>
          <w:rFonts w:ascii="Times New Roman" w:hAnsi="Times New Roman" w:eastAsia="Times New Roman" w:cs="Times New Roman"/>
          <w:noProof w:val="0"/>
          <w:sz w:val="24"/>
          <w:szCs w:val="24"/>
          <w:lang w:val="en-GB"/>
        </w:rPr>
      </w:pPr>
    </w:p>
    <w:p w:rsidR="5B686F88" w:rsidP="5D55E4E6" w:rsidRDefault="5B686F88" w14:paraId="6452EC97" w14:textId="152752BD">
      <w:pPr>
        <w:pStyle w:val="Normal"/>
        <w:spacing w:line="360" w:lineRule="auto"/>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Atherton, F., &amp; Beynon, C. (2018). Is gambling an emerging public health issue for Wales, </w:t>
      </w:r>
      <w:r w:rsidRPr="5D55E4E6" w:rsidR="5D55E4E6">
        <w:rPr>
          <w:rFonts w:ascii="Times New Roman" w:hAnsi="Times New Roman" w:eastAsia="Times New Roman" w:cs="Times New Roman"/>
          <w:noProof w:val="0"/>
          <w:color w:val="222222"/>
          <w:sz w:val="24"/>
          <w:szCs w:val="24"/>
          <w:lang w:val="en-GB"/>
        </w:rPr>
        <w:t>UK.</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Journal of Public Health</w:t>
      </w:r>
      <w:r w:rsidRPr="5D55E4E6" w:rsidR="5D55E4E6">
        <w:rPr>
          <w:rFonts w:ascii="Times New Roman" w:hAnsi="Times New Roman" w:eastAsia="Times New Roman" w:cs="Times New Roman"/>
          <w:noProof w:val="0"/>
          <w:color w:val="222222"/>
          <w:sz w:val="24"/>
          <w:szCs w:val="24"/>
          <w:lang w:val="en-GB"/>
        </w:rPr>
        <w:t>.</w:t>
      </w:r>
    </w:p>
    <w:p w:rsidR="5B686F88" w:rsidP="5D55E4E6" w:rsidRDefault="5B686F88" w14:paraId="14610FC3" w14:textId="5A5404AD">
      <w:pPr>
        <w:pStyle w:val="Normal"/>
        <w:spacing w:line="360" w:lineRule="auto"/>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Daniels, E. A., &amp; Zurbriggen, E. L. (2016). The price of sexy: Viewers’ perceptions of a sexualized versus </w:t>
      </w:r>
      <w:proofErr w:type="spellStart"/>
      <w:r w:rsidRPr="5D55E4E6" w:rsidR="5D55E4E6">
        <w:rPr>
          <w:rFonts w:ascii="Times New Roman" w:hAnsi="Times New Roman" w:eastAsia="Times New Roman" w:cs="Times New Roman"/>
          <w:noProof w:val="0"/>
          <w:color w:val="222222"/>
          <w:sz w:val="24"/>
          <w:szCs w:val="24"/>
          <w:lang w:val="en-GB"/>
        </w:rPr>
        <w:t>nonsexualized</w:t>
      </w:r>
      <w:proofErr w:type="spellEnd"/>
      <w:r w:rsidRPr="5D55E4E6" w:rsidR="5D55E4E6">
        <w:rPr>
          <w:rFonts w:ascii="Times New Roman" w:hAnsi="Times New Roman" w:eastAsia="Times New Roman" w:cs="Times New Roman"/>
          <w:noProof w:val="0"/>
          <w:color w:val="222222"/>
          <w:sz w:val="24"/>
          <w:szCs w:val="24"/>
          <w:lang w:val="en-GB"/>
        </w:rPr>
        <w:t xml:space="preserve"> Facebook profile photograph. </w:t>
      </w:r>
      <w:r w:rsidRPr="5D55E4E6" w:rsidR="5D55E4E6">
        <w:rPr>
          <w:rFonts w:ascii="Times New Roman" w:hAnsi="Times New Roman" w:eastAsia="Times New Roman" w:cs="Times New Roman"/>
          <w:i w:val="1"/>
          <w:iCs w:val="1"/>
          <w:noProof w:val="0"/>
          <w:color w:val="222222"/>
          <w:sz w:val="24"/>
          <w:szCs w:val="24"/>
          <w:lang w:val="en-GB"/>
        </w:rPr>
        <w:t>Psychology of popular media culture</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5</w:t>
      </w:r>
      <w:r w:rsidRPr="5D55E4E6" w:rsidR="5D55E4E6">
        <w:rPr>
          <w:rFonts w:ascii="Times New Roman" w:hAnsi="Times New Roman" w:eastAsia="Times New Roman" w:cs="Times New Roman"/>
          <w:noProof w:val="0"/>
          <w:color w:val="222222"/>
          <w:sz w:val="24"/>
          <w:szCs w:val="24"/>
          <w:lang w:val="en-GB"/>
        </w:rPr>
        <w:t>(1), 2-14.</w:t>
      </w:r>
    </w:p>
    <w:p w:rsidR="5B686F88" w:rsidP="5D55E4E6" w:rsidRDefault="5B686F88" w14:paraId="1156D55E" w14:textId="5C2983D7">
      <w:pPr>
        <w:pStyle w:val="Normal"/>
        <w:spacing w:line="360" w:lineRule="auto"/>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Hill, E. M. (2016). The role of narcissism in health-risk and health-protective </w:t>
      </w:r>
      <w:proofErr w:type="spellStart"/>
      <w:r w:rsidRPr="5D55E4E6" w:rsidR="5D55E4E6">
        <w:rPr>
          <w:rFonts w:ascii="Times New Roman" w:hAnsi="Times New Roman" w:eastAsia="Times New Roman" w:cs="Times New Roman"/>
          <w:noProof w:val="0"/>
          <w:color w:val="222222"/>
          <w:sz w:val="24"/>
          <w:szCs w:val="24"/>
          <w:lang w:val="en-GB"/>
        </w:rPr>
        <w:t>behaviors</w:t>
      </w:r>
      <w:proofErr w:type="spellEnd"/>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Journal of health psychology</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21</w:t>
      </w:r>
      <w:r w:rsidRPr="5D55E4E6" w:rsidR="5D55E4E6">
        <w:rPr>
          <w:rFonts w:ascii="Times New Roman" w:hAnsi="Times New Roman" w:eastAsia="Times New Roman" w:cs="Times New Roman"/>
          <w:noProof w:val="0"/>
          <w:color w:val="222222"/>
          <w:sz w:val="24"/>
          <w:szCs w:val="24"/>
          <w:lang w:val="en-GB"/>
        </w:rPr>
        <w:t>(9), 2021-2032.</w:t>
      </w:r>
    </w:p>
    <w:p w:rsidR="5B686F88" w:rsidP="5D55E4E6" w:rsidRDefault="5B686F88" w14:paraId="090A124F" w14:textId="2CF4B596">
      <w:pPr>
        <w:pStyle w:val="Normal"/>
        <w:spacing w:line="360" w:lineRule="auto"/>
        <w:rPr>
          <w:rFonts w:ascii="Times New Roman" w:hAnsi="Times New Roman" w:eastAsia="Times New Roman" w:cs="Times New Roman"/>
          <w:b w:val="1"/>
          <w:bCs w:val="1"/>
          <w:noProof w:val="0"/>
          <w:color w:val="00090E"/>
          <w:sz w:val="24"/>
          <w:szCs w:val="24"/>
          <w:u w:val="single"/>
          <w:lang w:val="en-GB"/>
        </w:rPr>
      </w:pPr>
      <w:r w:rsidRPr="5D55E4E6" w:rsidR="5D55E4E6">
        <w:rPr>
          <w:rFonts w:ascii="Times New Roman" w:hAnsi="Times New Roman" w:eastAsia="Times New Roman" w:cs="Times New Roman"/>
          <w:b w:val="1"/>
          <w:bCs w:val="1"/>
          <w:noProof w:val="0"/>
          <w:color w:val="00090E"/>
          <w:sz w:val="24"/>
          <w:szCs w:val="24"/>
          <w:u w:val="single"/>
          <w:lang w:val="en-GB"/>
        </w:rPr>
        <w:t>Portfolio - Part 3 - Jumbled reference list</w:t>
      </w:r>
    </w:p>
    <w:p w:rsidR="5B686F88" w:rsidP="5D55E4E6" w:rsidRDefault="5B686F88" w14:paraId="0B6E2957" w14:textId="1BB8CD5F">
      <w:pPr>
        <w:spacing w:after="160" w:line="360" w:lineRule="auto"/>
        <w:ind w:left="1008"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Mazzetti, G., Schaufeli, W. B., &amp; Guglielmi, D. (2014). Are workaholics born or made?   Relations of workaholism with person characteristics and overwork climate. </w:t>
      </w:r>
      <w:r w:rsidRPr="5D55E4E6" w:rsidR="5D55E4E6">
        <w:rPr>
          <w:rFonts w:ascii="Times New Roman" w:hAnsi="Times New Roman" w:eastAsia="Times New Roman" w:cs="Times New Roman"/>
          <w:i w:val="1"/>
          <w:iCs w:val="1"/>
          <w:noProof w:val="0"/>
          <w:color w:val="222222"/>
          <w:sz w:val="24"/>
          <w:szCs w:val="24"/>
          <w:lang w:val="en-GB"/>
        </w:rPr>
        <w:t>International Journal of Stress Management</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21</w:t>
      </w:r>
      <w:r w:rsidRPr="5D55E4E6" w:rsidR="5D55E4E6">
        <w:rPr>
          <w:rFonts w:ascii="Times New Roman" w:hAnsi="Times New Roman" w:eastAsia="Times New Roman" w:cs="Times New Roman"/>
          <w:noProof w:val="0"/>
          <w:color w:val="222222"/>
          <w:sz w:val="24"/>
          <w:szCs w:val="24"/>
          <w:lang w:val="en-GB"/>
        </w:rPr>
        <w:t>(3), 227.</w:t>
      </w:r>
      <w:r w:rsidRPr="5D55E4E6" w:rsidR="5D55E4E6">
        <w:rPr>
          <w:rFonts w:ascii="Times New Roman" w:hAnsi="Times New Roman" w:eastAsia="Times New Roman" w:cs="Times New Roman"/>
          <w:noProof w:val="0"/>
          <w:sz w:val="24"/>
          <w:szCs w:val="24"/>
          <w:lang w:val="en-GB"/>
        </w:rPr>
        <w:t xml:space="preserve"> </w:t>
      </w:r>
    </w:p>
    <w:p w:rsidR="5B686F88" w:rsidP="5D55E4E6" w:rsidRDefault="5B686F88" w14:paraId="52626546" w14:textId="4B94F7C2">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Hefferon, K., &amp; Boniwell, I. (2011). </w:t>
      </w:r>
      <w:r w:rsidRPr="5D55E4E6" w:rsidR="5D55E4E6">
        <w:rPr>
          <w:rFonts w:ascii="Times New Roman" w:hAnsi="Times New Roman" w:eastAsia="Times New Roman" w:cs="Times New Roman"/>
          <w:i w:val="1"/>
          <w:iCs w:val="1"/>
          <w:noProof w:val="0"/>
          <w:color w:val="222222"/>
          <w:sz w:val="24"/>
          <w:szCs w:val="24"/>
          <w:lang w:val="en-GB"/>
        </w:rPr>
        <w:t>Positive psychology: Theory, research and applications</w:t>
      </w:r>
      <w:r w:rsidRPr="5D55E4E6" w:rsidR="5D55E4E6">
        <w:rPr>
          <w:rFonts w:ascii="Times New Roman" w:hAnsi="Times New Roman" w:eastAsia="Times New Roman" w:cs="Times New Roman"/>
          <w:noProof w:val="0"/>
          <w:color w:val="222222"/>
          <w:sz w:val="24"/>
          <w:szCs w:val="24"/>
          <w:lang w:val="en-GB"/>
        </w:rPr>
        <w:t>. McGraw-Hill Education (UK).</w:t>
      </w:r>
    </w:p>
    <w:p w:rsidR="5B686F88" w:rsidP="5D55E4E6" w:rsidRDefault="5B686F88" w14:paraId="54C01264" w14:textId="53F3B350">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Office for National Statistics. (2017). Adult drinking habits in Great Britain: 2005 to 2016. </w:t>
      </w:r>
      <w:r w:rsidRPr="5D55E4E6" w:rsidR="5D55E4E6">
        <w:rPr>
          <w:rFonts w:ascii="Times New Roman" w:hAnsi="Times New Roman" w:eastAsia="Times New Roman" w:cs="Times New Roman"/>
          <w:i w:val="1"/>
          <w:iCs w:val="1"/>
          <w:noProof w:val="0"/>
          <w:color w:val="222222"/>
          <w:sz w:val="24"/>
          <w:szCs w:val="24"/>
          <w:lang w:val="en-GB"/>
        </w:rPr>
        <w:t xml:space="preserve">OFFICE FOR NATIONAL STATISTICS: </w:t>
      </w:r>
      <w:r w:rsidRPr="5D55E4E6" w:rsidR="5D55E4E6">
        <w:rPr>
          <w:rFonts w:ascii="Times New Roman" w:hAnsi="Times New Roman" w:eastAsia="Times New Roman" w:cs="Times New Roman"/>
          <w:noProof w:val="0"/>
          <w:sz w:val="24"/>
          <w:szCs w:val="24"/>
          <w:lang w:val="en-GB"/>
        </w:rPr>
        <w:t xml:space="preserve">Retrieved 6 October 2019,  </w:t>
      </w:r>
      <w:hyperlink r:id="R07e39efa877c49de">
        <w:r w:rsidRPr="5D55E4E6" w:rsidR="5D55E4E6">
          <w:rPr>
            <w:rStyle w:val="Hyperlink"/>
            <w:rFonts w:ascii="Times New Roman" w:hAnsi="Times New Roman" w:eastAsia="Times New Roman" w:cs="Times New Roman"/>
            <w:noProof w:val="0"/>
            <w:sz w:val="24"/>
            <w:szCs w:val="24"/>
            <w:lang w:val="en-GB"/>
          </w:rPr>
          <w:t>https://www.ons.gov.uk/peoplepopulationandcommunity/healthandsocialcare/</w:t>
        </w:r>
      </w:hyperlink>
      <w:r w:rsidRPr="5D55E4E6" w:rsidR="5D55E4E6">
        <w:rPr>
          <w:rFonts w:ascii="Times New Roman" w:hAnsi="Times New Roman" w:eastAsia="Times New Roman" w:cs="Times New Roman"/>
          <w:noProof w:val="0"/>
          <w:sz w:val="24"/>
          <w:szCs w:val="24"/>
          <w:lang w:val="en-GB"/>
        </w:rPr>
        <w:t xml:space="preserve"> </w:t>
      </w:r>
      <w:proofErr w:type="spellStart"/>
      <w:r w:rsidRPr="5D55E4E6" w:rsidR="5D55E4E6">
        <w:rPr>
          <w:rFonts w:ascii="Times New Roman" w:hAnsi="Times New Roman" w:eastAsia="Times New Roman" w:cs="Times New Roman"/>
          <w:noProof w:val="0"/>
          <w:sz w:val="24"/>
          <w:szCs w:val="24"/>
          <w:lang w:val="en-GB"/>
        </w:rPr>
        <w:t>drugusealcoholandsmoking</w:t>
      </w:r>
      <w:proofErr w:type="spellEnd"/>
      <w:r w:rsidRPr="5D55E4E6" w:rsidR="5D55E4E6">
        <w:rPr>
          <w:rFonts w:ascii="Times New Roman" w:hAnsi="Times New Roman" w:eastAsia="Times New Roman" w:cs="Times New Roman"/>
          <w:noProof w:val="0"/>
          <w:sz w:val="24"/>
          <w:szCs w:val="24"/>
          <w:lang w:val="en-GB"/>
        </w:rPr>
        <w:t>/bulletins/</w:t>
      </w:r>
      <w:proofErr w:type="spellStart"/>
      <w:r w:rsidRPr="5D55E4E6" w:rsidR="5D55E4E6">
        <w:rPr>
          <w:rFonts w:ascii="Times New Roman" w:hAnsi="Times New Roman" w:eastAsia="Times New Roman" w:cs="Times New Roman"/>
          <w:noProof w:val="0"/>
          <w:sz w:val="24"/>
          <w:szCs w:val="24"/>
          <w:lang w:val="en-GB"/>
        </w:rPr>
        <w:t>opinionsandlifestylesurveyadultdrinkinghabit</w:t>
      </w:r>
      <w:proofErr w:type="spellEnd"/>
      <w:r w:rsidRPr="5D55E4E6" w:rsidR="5D55E4E6">
        <w:rPr>
          <w:rFonts w:ascii="Times New Roman" w:hAnsi="Times New Roman" w:eastAsia="Times New Roman" w:cs="Times New Roman"/>
          <w:noProof w:val="0"/>
          <w:sz w:val="24"/>
          <w:szCs w:val="24"/>
          <w:lang w:val="en-GB"/>
        </w:rPr>
        <w:t xml:space="preserve"> </w:t>
      </w:r>
      <w:proofErr w:type="spellStart"/>
      <w:r w:rsidRPr="5D55E4E6" w:rsidR="5D55E4E6">
        <w:rPr>
          <w:rFonts w:ascii="Times New Roman" w:hAnsi="Times New Roman" w:eastAsia="Times New Roman" w:cs="Times New Roman"/>
          <w:noProof w:val="0"/>
          <w:sz w:val="24"/>
          <w:szCs w:val="24"/>
          <w:lang w:val="en-GB"/>
        </w:rPr>
        <w:t>singreatbritain</w:t>
      </w:r>
      <w:proofErr w:type="spellEnd"/>
      <w:r w:rsidRPr="5D55E4E6" w:rsidR="5D55E4E6">
        <w:rPr>
          <w:rFonts w:ascii="Times New Roman" w:hAnsi="Times New Roman" w:eastAsia="Times New Roman" w:cs="Times New Roman"/>
          <w:noProof w:val="0"/>
          <w:sz w:val="24"/>
          <w:szCs w:val="24"/>
          <w:lang w:val="en-GB"/>
        </w:rPr>
        <w:t>/2005to2016. Last accessed 6</w:t>
      </w:r>
      <w:r w:rsidRPr="5D55E4E6" w:rsidR="5D55E4E6">
        <w:rPr>
          <w:rFonts w:ascii="Times New Roman" w:hAnsi="Times New Roman" w:eastAsia="Times New Roman" w:cs="Times New Roman"/>
          <w:noProof w:val="0"/>
          <w:sz w:val="24"/>
          <w:szCs w:val="24"/>
          <w:vertAlign w:val="superscript"/>
          <w:lang w:val="en-GB"/>
        </w:rPr>
        <w:t>th</w:t>
      </w:r>
      <w:r w:rsidRPr="5D55E4E6" w:rsidR="5D55E4E6">
        <w:rPr>
          <w:rFonts w:ascii="Times New Roman" w:hAnsi="Times New Roman" w:eastAsia="Times New Roman" w:cs="Times New Roman"/>
          <w:noProof w:val="0"/>
          <w:sz w:val="24"/>
          <w:szCs w:val="24"/>
          <w:lang w:val="en-GB"/>
        </w:rPr>
        <w:t xml:space="preserve"> October 2019.</w:t>
      </w:r>
    </w:p>
    <w:p w:rsidR="5B686F88" w:rsidP="5D55E4E6" w:rsidRDefault="5B686F88" w14:paraId="34D6AB8A" w14:textId="090ADFAF">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Hanton, S., &amp; Mellalieu, S. D. (Eds.). (2006). </w:t>
      </w:r>
      <w:r w:rsidRPr="5D55E4E6" w:rsidR="5D55E4E6">
        <w:rPr>
          <w:rFonts w:ascii="Times New Roman" w:hAnsi="Times New Roman" w:eastAsia="Times New Roman" w:cs="Times New Roman"/>
          <w:i w:val="1"/>
          <w:iCs w:val="1"/>
          <w:noProof w:val="0"/>
          <w:color w:val="222222"/>
          <w:sz w:val="24"/>
          <w:szCs w:val="24"/>
          <w:lang w:val="en-GB"/>
        </w:rPr>
        <w:t>Literature reviews in sport psychology</w:t>
      </w:r>
      <w:r w:rsidRPr="5D55E4E6" w:rsidR="5D55E4E6">
        <w:rPr>
          <w:rFonts w:ascii="Times New Roman" w:hAnsi="Times New Roman" w:eastAsia="Times New Roman" w:cs="Times New Roman"/>
          <w:noProof w:val="0"/>
          <w:color w:val="222222"/>
          <w:sz w:val="24"/>
          <w:szCs w:val="24"/>
          <w:lang w:val="en-GB"/>
        </w:rPr>
        <w:t>. Nova Science Pub Incorporated.</w:t>
      </w:r>
      <w:r w:rsidRPr="5D55E4E6" w:rsidR="5D55E4E6">
        <w:rPr>
          <w:rFonts w:ascii="Times New Roman" w:hAnsi="Times New Roman" w:eastAsia="Times New Roman" w:cs="Times New Roman"/>
          <w:i w:val="1"/>
          <w:iCs w:val="1"/>
          <w:noProof w:val="0"/>
          <w:sz w:val="24"/>
          <w:szCs w:val="24"/>
          <w:lang w:val="en-GB"/>
        </w:rPr>
        <w:t xml:space="preserve"> </w:t>
      </w:r>
      <w:r w:rsidRPr="5D55E4E6" w:rsidR="5D55E4E6">
        <w:rPr>
          <w:rFonts w:ascii="Times New Roman" w:hAnsi="Times New Roman" w:eastAsia="Times New Roman" w:cs="Times New Roman"/>
          <w:noProof w:val="0"/>
          <w:sz w:val="24"/>
          <w:szCs w:val="24"/>
          <w:lang w:val="en-GB"/>
        </w:rPr>
        <w:t>New York, pp.289-319. CHECK CORRECT</w:t>
      </w:r>
    </w:p>
    <w:p w:rsidR="5B686F88" w:rsidP="5D55E4E6" w:rsidRDefault="5B686F88" w14:paraId="5AAFD412" w14:textId="6C99425F">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Phelps, C., Minou, M., Baker, A., Hughes, C., French, H., Hawkins, W., ... &amp; Hutchings, P. B. (2017). Necessary but not </w:t>
      </w:r>
      <w:proofErr w:type="gramStart"/>
      <w:r w:rsidRPr="5D55E4E6" w:rsidR="5D55E4E6">
        <w:rPr>
          <w:rFonts w:ascii="Times New Roman" w:hAnsi="Times New Roman" w:eastAsia="Times New Roman" w:cs="Times New Roman"/>
          <w:noProof w:val="0"/>
          <w:color w:val="222222"/>
          <w:sz w:val="24"/>
          <w:szCs w:val="24"/>
          <w:lang w:val="en-GB"/>
        </w:rPr>
        <w:t>sufficient</w:t>
      </w:r>
      <w:proofErr w:type="gramEnd"/>
      <w:r w:rsidRPr="5D55E4E6" w:rsidR="5D55E4E6">
        <w:rPr>
          <w:rFonts w:ascii="Times New Roman" w:hAnsi="Times New Roman" w:eastAsia="Times New Roman" w:cs="Times New Roman"/>
          <w:noProof w:val="0"/>
          <w:color w:val="222222"/>
          <w:sz w:val="24"/>
          <w:szCs w:val="24"/>
          <w:lang w:val="en-GB"/>
        </w:rPr>
        <w:t xml:space="preserve">? Engaging young people in the development of an avatar‐based online intervention designed to provide psychosocial support to young people affected by their own or a family member's cancer diagnosis. </w:t>
      </w:r>
      <w:r w:rsidRPr="5D55E4E6" w:rsidR="5D55E4E6">
        <w:rPr>
          <w:rFonts w:ascii="Times New Roman" w:hAnsi="Times New Roman" w:eastAsia="Times New Roman" w:cs="Times New Roman"/>
          <w:i w:val="1"/>
          <w:iCs w:val="1"/>
          <w:noProof w:val="0"/>
          <w:color w:val="222222"/>
          <w:sz w:val="24"/>
          <w:szCs w:val="24"/>
          <w:lang w:val="en-GB"/>
        </w:rPr>
        <w:t>Health Expectations</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20</w:t>
      </w:r>
      <w:r w:rsidRPr="5D55E4E6" w:rsidR="5D55E4E6">
        <w:rPr>
          <w:rFonts w:ascii="Times New Roman" w:hAnsi="Times New Roman" w:eastAsia="Times New Roman" w:cs="Times New Roman"/>
          <w:noProof w:val="0"/>
          <w:color w:val="222222"/>
          <w:sz w:val="24"/>
          <w:szCs w:val="24"/>
          <w:lang w:val="en-GB"/>
        </w:rPr>
        <w:t>(3), 459-470.</w:t>
      </w:r>
    </w:p>
    <w:p w:rsidR="5B686F88" w:rsidP="5D55E4E6" w:rsidRDefault="5B686F88" w14:paraId="60ACA059" w14:textId="4F708957">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Davey, G. (2014). Psychopathology: Research. </w:t>
      </w:r>
      <w:r w:rsidRPr="5D55E4E6" w:rsidR="5D55E4E6">
        <w:rPr>
          <w:rFonts w:ascii="Times New Roman" w:hAnsi="Times New Roman" w:eastAsia="Times New Roman" w:cs="Times New Roman"/>
          <w:i w:val="1"/>
          <w:iCs w:val="1"/>
          <w:noProof w:val="0"/>
          <w:color w:val="222222"/>
          <w:sz w:val="24"/>
          <w:szCs w:val="24"/>
          <w:lang w:val="en-GB"/>
        </w:rPr>
        <w:t>Assessment and Treatment in Clinical Psychology</w:t>
      </w:r>
      <w:r w:rsidRPr="5D55E4E6" w:rsidR="5D55E4E6">
        <w:rPr>
          <w:rFonts w:ascii="Times New Roman" w:hAnsi="Times New Roman" w:eastAsia="Times New Roman" w:cs="Times New Roman"/>
          <w:noProof w:val="0"/>
          <w:color w:val="222222"/>
          <w:sz w:val="24"/>
          <w:szCs w:val="24"/>
          <w:lang w:val="en-GB"/>
        </w:rPr>
        <w:t>.</w:t>
      </w:r>
      <w:r w:rsidRPr="5D55E4E6" w:rsidR="5D55E4E6">
        <w:rPr>
          <w:rFonts w:ascii="Times New Roman" w:hAnsi="Times New Roman" w:eastAsia="Times New Roman" w:cs="Times New Roman"/>
          <w:noProof w:val="0"/>
          <w:sz w:val="24"/>
          <w:szCs w:val="24"/>
          <w:lang w:val="en-GB"/>
        </w:rPr>
        <w:t xml:space="preserve"> (2nd ed) Oxford, Blackwell.</w:t>
      </w:r>
    </w:p>
    <w:p w:rsidR="4B5EBC63" w:rsidP="5D55E4E6" w:rsidRDefault="4B5EBC63" w14:paraId="7EA68530" w14:textId="2A519D13">
      <w:pPr>
        <w:pStyle w:val="Normal"/>
        <w:spacing w:after="160" w:line="360" w:lineRule="auto"/>
        <w:ind w:left="1080" w:hanging="720"/>
        <w:rPr>
          <w:rFonts w:ascii="Times New Roman" w:hAnsi="Times New Roman" w:eastAsia="Times New Roman" w:cs="Times New Roman"/>
          <w:noProof w:val="0"/>
          <w:color w:val="00B0F0"/>
          <w:sz w:val="24"/>
          <w:szCs w:val="24"/>
          <w:u w:val="single"/>
          <w:lang w:val="en-GB"/>
        </w:rPr>
      </w:pPr>
      <w:r w:rsidRPr="5D55E4E6" w:rsidR="5D55E4E6">
        <w:rPr>
          <w:rFonts w:ascii="Times New Roman" w:hAnsi="Times New Roman" w:eastAsia="Times New Roman" w:cs="Times New Roman"/>
          <w:noProof w:val="0"/>
          <w:color w:val="222222"/>
          <w:sz w:val="24"/>
          <w:szCs w:val="24"/>
          <w:lang w:val="en-GB"/>
        </w:rPr>
        <w:t>Geekie, J., &amp; Read, J. (2009). Making Sense of Madness: Contesting the Meaning of Schizophrenia.</w:t>
      </w:r>
      <w:r w:rsidRPr="5D55E4E6" w:rsidR="5D55E4E6">
        <w:rPr>
          <w:rFonts w:ascii="Times New Roman" w:hAnsi="Times New Roman" w:eastAsia="Times New Roman" w:cs="Times New Roman"/>
          <w:noProof w:val="0"/>
          <w:color w:val="00B0F0"/>
          <w:sz w:val="24"/>
          <w:szCs w:val="24"/>
          <w:lang w:val="en-GB"/>
        </w:rPr>
        <w:t xml:space="preserve"> </w:t>
      </w:r>
      <w:r w:rsidRPr="5D55E4E6" w:rsidR="5D55E4E6">
        <w:rPr>
          <w:rFonts w:ascii="Times New Roman" w:hAnsi="Times New Roman" w:eastAsia="Times New Roman" w:cs="Times New Roman"/>
          <w:noProof w:val="0"/>
          <w:color w:val="0070C0"/>
          <w:sz w:val="24"/>
          <w:szCs w:val="24"/>
          <w:u w:val="single"/>
          <w:lang w:val="en-GB"/>
        </w:rPr>
        <w:t>http://www.tandfebooks.com/doi/view/10.4324/9780203878422</w:t>
      </w:r>
    </w:p>
    <w:p w:rsidR="5B686F88" w:rsidP="5D55E4E6" w:rsidRDefault="5B686F88" w14:paraId="049B9A9D" w14:textId="74B412BD">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Vartanian, L. R., Trewartha, T., &amp; Vanman, E. J. (2016). Disgust predicts prejudice and discrimination toward individuals with obesity. </w:t>
      </w:r>
      <w:r w:rsidRPr="5D55E4E6" w:rsidR="5D55E4E6">
        <w:rPr>
          <w:rFonts w:ascii="Times New Roman" w:hAnsi="Times New Roman" w:eastAsia="Times New Roman" w:cs="Times New Roman"/>
          <w:i w:val="1"/>
          <w:iCs w:val="1"/>
          <w:noProof w:val="0"/>
          <w:color w:val="222222"/>
          <w:sz w:val="24"/>
          <w:szCs w:val="24"/>
          <w:lang w:val="en-GB"/>
        </w:rPr>
        <w:t>Journal of Applied Social Psychology</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46</w:t>
      </w:r>
      <w:r w:rsidRPr="5D55E4E6" w:rsidR="5D55E4E6">
        <w:rPr>
          <w:rFonts w:ascii="Times New Roman" w:hAnsi="Times New Roman" w:eastAsia="Times New Roman" w:cs="Times New Roman"/>
          <w:noProof w:val="0"/>
          <w:color w:val="222222"/>
          <w:sz w:val="24"/>
          <w:szCs w:val="24"/>
          <w:lang w:val="en-GB"/>
        </w:rPr>
        <w:t>(6), 369-375.</w:t>
      </w:r>
    </w:p>
    <w:p w:rsidR="5B686F88" w:rsidP="5D55E4E6" w:rsidRDefault="5B686F88" w14:paraId="19760AAB" w14:textId="7C67C735">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b w:val="1"/>
          <w:bCs w:val="1"/>
          <w:noProof w:val="0"/>
          <w:sz w:val="24"/>
          <w:szCs w:val="24"/>
          <w:lang w:val="en-GB"/>
        </w:rPr>
        <w:t>Supporting adolescents struggling with appearance-altering conditions: the feasibility of using an online psychosocial intervention (YP Face IT) in primary care. Heidi Williamson, Centre for Appearance Research, University of the West of England, Annual Primary Care Conference, Royal College of General Practitioners, 12- 14 October 2016</w:t>
      </w:r>
    </w:p>
    <w:p w:rsidR="5B686F88" w:rsidP="5D55E4E6" w:rsidRDefault="5B686F88" w14:paraId="65AE27A1" w14:textId="78F3514D">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b w:val="1"/>
          <w:bCs w:val="1"/>
          <w:noProof w:val="0"/>
          <w:sz w:val="24"/>
          <w:szCs w:val="24"/>
          <w:lang w:val="en-GB"/>
        </w:rPr>
        <w:t xml:space="preserve">Oral presentation - Families experience of Poverty Stigma in Education. British Psychological Society, 9 – 11 </w:t>
      </w:r>
      <w:proofErr w:type="gramStart"/>
      <w:r w:rsidRPr="5D55E4E6" w:rsidR="5D55E4E6">
        <w:rPr>
          <w:rFonts w:ascii="Times New Roman" w:hAnsi="Times New Roman" w:eastAsia="Times New Roman" w:cs="Times New Roman"/>
          <w:b w:val="1"/>
          <w:bCs w:val="1"/>
          <w:noProof w:val="0"/>
          <w:sz w:val="24"/>
          <w:szCs w:val="24"/>
          <w:lang w:val="en-GB"/>
        </w:rPr>
        <w:t>September,</w:t>
      </w:r>
      <w:proofErr w:type="gramEnd"/>
      <w:r w:rsidRPr="5D55E4E6" w:rsidR="5D55E4E6">
        <w:rPr>
          <w:rFonts w:ascii="Times New Roman" w:hAnsi="Times New Roman" w:eastAsia="Times New Roman" w:cs="Times New Roman"/>
          <w:b w:val="1"/>
          <w:bCs w:val="1"/>
          <w:noProof w:val="0"/>
          <w:sz w:val="24"/>
          <w:szCs w:val="24"/>
          <w:lang w:val="en-GB"/>
        </w:rPr>
        <w:t xml:space="preserve"> 2015, Developmental Psychology Section, Suzanne Day, University of Central Lancashire. Psychology 46, no. 6 (2016): 369-375.</w:t>
      </w:r>
    </w:p>
    <w:p w:rsidR="5B686F88" w:rsidP="5D55E4E6" w:rsidRDefault="5B686F88" w14:paraId="134E9614" w14:textId="69509D15">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sz w:val="24"/>
          <w:szCs w:val="24"/>
          <w:lang w:val="en-GB"/>
        </w:rPr>
        <w:t xml:space="preserve">Smith, E. (2017). Women know better than men what other women are thinking and feeling. Retrieved 18 September 2017, from </w:t>
      </w:r>
      <w:hyperlink r:id="R6c23e3b664f04736">
        <w:r w:rsidRPr="5D55E4E6" w:rsidR="5D55E4E6">
          <w:rPr>
            <w:rStyle w:val="Hyperlink"/>
            <w:rFonts w:ascii="Times New Roman" w:hAnsi="Times New Roman" w:eastAsia="Times New Roman" w:cs="Times New Roman"/>
            <w:noProof w:val="0"/>
            <w:sz w:val="24"/>
            <w:szCs w:val="24"/>
            <w:lang w:val="en-GB"/>
          </w:rPr>
          <w:t>https://digest.bps.org.uk/2017/09/18/women-know-better-than-menwhat-other-women-are-thinking-and-feeling/</w:t>
        </w:r>
      </w:hyperlink>
      <w:r w:rsidRPr="5D55E4E6" w:rsidR="5D55E4E6">
        <w:rPr>
          <w:rFonts w:ascii="Times New Roman" w:hAnsi="Times New Roman" w:eastAsia="Times New Roman" w:cs="Times New Roman"/>
          <w:noProof w:val="0"/>
          <w:sz w:val="24"/>
          <w:szCs w:val="24"/>
          <w:lang w:val="en-GB"/>
        </w:rPr>
        <w:t>. Last accessed 18th September 2017.</w:t>
      </w:r>
    </w:p>
    <w:p w:rsidR="5B686F88" w:rsidP="5D55E4E6" w:rsidRDefault="5B686F88" w14:paraId="72653FAA" w14:textId="763D5E66">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Voigt, D. C., Dillard, J. P., Braddock, K. H., Anderson, J. W., </w:t>
      </w:r>
      <w:proofErr w:type="spellStart"/>
      <w:r w:rsidRPr="5D55E4E6" w:rsidR="5D55E4E6">
        <w:rPr>
          <w:rFonts w:ascii="Times New Roman" w:hAnsi="Times New Roman" w:eastAsia="Times New Roman" w:cs="Times New Roman"/>
          <w:noProof w:val="0"/>
          <w:color w:val="222222"/>
          <w:sz w:val="24"/>
          <w:szCs w:val="24"/>
          <w:lang w:val="en-GB"/>
        </w:rPr>
        <w:t>Sopory</w:t>
      </w:r>
      <w:proofErr w:type="spellEnd"/>
      <w:r w:rsidRPr="5D55E4E6" w:rsidR="5D55E4E6">
        <w:rPr>
          <w:rFonts w:ascii="Times New Roman" w:hAnsi="Times New Roman" w:eastAsia="Times New Roman" w:cs="Times New Roman"/>
          <w:noProof w:val="0"/>
          <w:color w:val="222222"/>
          <w:sz w:val="24"/>
          <w:szCs w:val="24"/>
          <w:lang w:val="en-GB"/>
        </w:rPr>
        <w:t xml:space="preserve">, P., &amp; Stephenson, M. T. (2009). BIS/BAS scales and their relationship to risky health behaviours. </w:t>
      </w:r>
      <w:r w:rsidRPr="5D55E4E6" w:rsidR="5D55E4E6">
        <w:rPr>
          <w:rFonts w:ascii="Times New Roman" w:hAnsi="Times New Roman" w:eastAsia="Times New Roman" w:cs="Times New Roman"/>
          <w:i w:val="1"/>
          <w:iCs w:val="1"/>
          <w:noProof w:val="0"/>
          <w:color w:val="222222"/>
          <w:sz w:val="24"/>
          <w:szCs w:val="24"/>
          <w:lang w:val="en-GB"/>
        </w:rPr>
        <w:t>Personality and Individual Differences</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47</w:t>
      </w:r>
      <w:r w:rsidRPr="5D55E4E6" w:rsidR="5D55E4E6">
        <w:rPr>
          <w:rFonts w:ascii="Times New Roman" w:hAnsi="Times New Roman" w:eastAsia="Times New Roman" w:cs="Times New Roman"/>
          <w:noProof w:val="0"/>
          <w:color w:val="222222"/>
          <w:sz w:val="24"/>
          <w:szCs w:val="24"/>
          <w:lang w:val="en-GB"/>
        </w:rPr>
        <w:t>(2), 89-93.</w:t>
      </w:r>
    </w:p>
    <w:p w:rsidR="5B686F88" w:rsidP="5D55E4E6" w:rsidRDefault="5B686F88" w14:paraId="0BFCB027" w14:textId="0134091E">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Tarrier, N., Liversidge, T., &amp; Gregg, L. (2006). The acceptability and preference for the psychological treatment of PTSD. </w:t>
      </w:r>
      <w:r w:rsidRPr="5D55E4E6" w:rsidR="5D55E4E6">
        <w:rPr>
          <w:rFonts w:ascii="Times New Roman" w:hAnsi="Times New Roman" w:eastAsia="Times New Roman" w:cs="Times New Roman"/>
          <w:i w:val="1"/>
          <w:iCs w:val="1"/>
          <w:noProof w:val="0"/>
          <w:color w:val="222222"/>
          <w:sz w:val="24"/>
          <w:szCs w:val="24"/>
          <w:lang w:val="en-GB"/>
        </w:rPr>
        <w:t>Behaviour Research and Therapy</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44</w:t>
      </w:r>
      <w:r w:rsidRPr="5D55E4E6" w:rsidR="5D55E4E6">
        <w:rPr>
          <w:rFonts w:ascii="Times New Roman" w:hAnsi="Times New Roman" w:eastAsia="Times New Roman" w:cs="Times New Roman"/>
          <w:noProof w:val="0"/>
          <w:color w:val="222222"/>
          <w:sz w:val="24"/>
          <w:szCs w:val="24"/>
          <w:lang w:val="en-GB"/>
        </w:rPr>
        <w:t>(11), 1643-1656.</w:t>
      </w:r>
    </w:p>
    <w:p w:rsidR="5B686F88" w:rsidP="5D55E4E6" w:rsidRDefault="5B686F88" w14:paraId="22247322" w14:textId="03D4408E">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Hill, E. M. (2016). The role of narcissism in health-risk and health-protective </w:t>
      </w:r>
      <w:proofErr w:type="spellStart"/>
      <w:r w:rsidRPr="5D55E4E6" w:rsidR="5D55E4E6">
        <w:rPr>
          <w:rFonts w:ascii="Times New Roman" w:hAnsi="Times New Roman" w:eastAsia="Times New Roman" w:cs="Times New Roman"/>
          <w:noProof w:val="0"/>
          <w:color w:val="222222"/>
          <w:sz w:val="24"/>
          <w:szCs w:val="24"/>
          <w:lang w:val="en-GB"/>
        </w:rPr>
        <w:t>behaviors</w:t>
      </w:r>
      <w:proofErr w:type="spellEnd"/>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Journal of health psychology</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21</w:t>
      </w:r>
      <w:r w:rsidRPr="5D55E4E6" w:rsidR="5D55E4E6">
        <w:rPr>
          <w:rFonts w:ascii="Times New Roman" w:hAnsi="Times New Roman" w:eastAsia="Times New Roman" w:cs="Times New Roman"/>
          <w:noProof w:val="0"/>
          <w:color w:val="222222"/>
          <w:sz w:val="24"/>
          <w:szCs w:val="24"/>
          <w:lang w:val="en-GB"/>
        </w:rPr>
        <w:t>(9), 2021-2032.</w:t>
      </w:r>
    </w:p>
    <w:p w:rsidR="5B686F88" w:rsidP="5D55E4E6" w:rsidRDefault="5B686F88" w14:paraId="6778AB1C" w14:textId="662F41B7">
      <w:pPr>
        <w:spacing w:after="160" w:line="360" w:lineRule="auto"/>
        <w:ind w:left="1080" w:hanging="720"/>
        <w:rPr>
          <w:rFonts w:ascii="Times New Roman" w:hAnsi="Times New Roman" w:eastAsia="Times New Roman" w:cs="Times New Roman"/>
          <w:noProof w:val="0"/>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Bennett, P. (2011). </w:t>
      </w:r>
      <w:r w:rsidRPr="5D55E4E6" w:rsidR="5D55E4E6">
        <w:rPr>
          <w:rFonts w:ascii="Times New Roman" w:hAnsi="Times New Roman" w:eastAsia="Times New Roman" w:cs="Times New Roman"/>
          <w:i w:val="1"/>
          <w:iCs w:val="1"/>
          <w:noProof w:val="0"/>
          <w:color w:val="222222"/>
          <w:sz w:val="24"/>
          <w:szCs w:val="24"/>
          <w:lang w:val="en-GB"/>
        </w:rPr>
        <w:t>Abnormal and clinical psychology: An introductory textbook</w:t>
      </w:r>
      <w:r w:rsidRPr="5D55E4E6" w:rsidR="5D55E4E6">
        <w:rPr>
          <w:rFonts w:ascii="Times New Roman" w:hAnsi="Times New Roman" w:eastAsia="Times New Roman" w:cs="Times New Roman"/>
          <w:noProof w:val="0"/>
          <w:color w:val="222222"/>
          <w:sz w:val="24"/>
          <w:szCs w:val="24"/>
          <w:lang w:val="en-GB"/>
        </w:rPr>
        <w:t>. McGraw-Hill Education (UK).</w:t>
      </w:r>
    </w:p>
    <w:p w:rsidR="4B5EBC63" w:rsidP="5D55E4E6" w:rsidRDefault="4B5EBC63" w14:paraId="10EC6EF6" w14:textId="44E9FA94">
      <w:pPr>
        <w:pStyle w:val="Normal"/>
        <w:spacing w:after="160" w:line="360" w:lineRule="auto"/>
        <w:ind w:left="1080" w:hanging="720"/>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Van Hasselt, V. B., Romano, S. J., &amp; Vecchi, G. M. (2008). Role playing: Applications in hostage and crisis negotiation skills training. </w:t>
      </w:r>
      <w:r w:rsidRPr="5D55E4E6" w:rsidR="5D55E4E6">
        <w:rPr>
          <w:rFonts w:ascii="Times New Roman" w:hAnsi="Times New Roman" w:eastAsia="Times New Roman" w:cs="Times New Roman"/>
          <w:i w:val="1"/>
          <w:iCs w:val="1"/>
          <w:noProof w:val="0"/>
          <w:color w:val="222222"/>
          <w:sz w:val="24"/>
          <w:szCs w:val="24"/>
          <w:lang w:val="en-GB"/>
        </w:rPr>
        <w:t>Behavior modification</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32</w:t>
      </w:r>
      <w:r w:rsidRPr="5D55E4E6" w:rsidR="5D55E4E6">
        <w:rPr>
          <w:rFonts w:ascii="Times New Roman" w:hAnsi="Times New Roman" w:eastAsia="Times New Roman" w:cs="Times New Roman"/>
          <w:noProof w:val="0"/>
          <w:color w:val="222222"/>
          <w:sz w:val="24"/>
          <w:szCs w:val="24"/>
          <w:lang w:val="en-GB"/>
        </w:rPr>
        <w:t>(2), 248-263. DOI:10.1177/0145445507308281</w:t>
      </w:r>
    </w:p>
    <w:p w:rsidR="4B5EBC63" w:rsidP="5D55E4E6" w:rsidRDefault="4B5EBC63" w14:paraId="593BC20E" w14:textId="781EA9AC">
      <w:pPr>
        <w:pStyle w:val="Normal"/>
        <w:spacing w:after="160" w:line="360" w:lineRule="auto"/>
        <w:ind w:left="1080" w:hanging="720"/>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Ulleberg, P., &amp; Rundmo, T. (2003). Personality, attitudes and risk perception as predictors of risky driving behaviour among young drivers. </w:t>
      </w:r>
      <w:r w:rsidRPr="5D55E4E6" w:rsidR="5D55E4E6">
        <w:rPr>
          <w:rFonts w:ascii="Times New Roman" w:hAnsi="Times New Roman" w:eastAsia="Times New Roman" w:cs="Times New Roman"/>
          <w:i w:val="1"/>
          <w:iCs w:val="1"/>
          <w:noProof w:val="0"/>
          <w:color w:val="222222"/>
          <w:sz w:val="24"/>
          <w:szCs w:val="24"/>
          <w:lang w:val="en-GB"/>
        </w:rPr>
        <w:t>Safety science</w:t>
      </w:r>
      <w:r w:rsidRPr="5D55E4E6" w:rsidR="5D55E4E6">
        <w:rPr>
          <w:rFonts w:ascii="Times New Roman" w:hAnsi="Times New Roman" w:eastAsia="Times New Roman" w:cs="Times New Roman"/>
          <w:noProof w:val="0"/>
          <w:color w:val="222222"/>
          <w:sz w:val="24"/>
          <w:szCs w:val="24"/>
          <w:lang w:val="en-GB"/>
        </w:rPr>
        <w:t xml:space="preserve">, </w:t>
      </w:r>
      <w:r w:rsidRPr="5D55E4E6" w:rsidR="5D55E4E6">
        <w:rPr>
          <w:rFonts w:ascii="Times New Roman" w:hAnsi="Times New Roman" w:eastAsia="Times New Roman" w:cs="Times New Roman"/>
          <w:i w:val="1"/>
          <w:iCs w:val="1"/>
          <w:noProof w:val="0"/>
          <w:color w:val="222222"/>
          <w:sz w:val="24"/>
          <w:szCs w:val="24"/>
          <w:lang w:val="en-GB"/>
        </w:rPr>
        <w:t>41</w:t>
      </w:r>
      <w:r w:rsidRPr="5D55E4E6" w:rsidR="5D55E4E6">
        <w:rPr>
          <w:rFonts w:ascii="Times New Roman" w:hAnsi="Times New Roman" w:eastAsia="Times New Roman" w:cs="Times New Roman"/>
          <w:noProof w:val="0"/>
          <w:color w:val="222222"/>
          <w:sz w:val="24"/>
          <w:szCs w:val="24"/>
          <w:lang w:val="en-GB"/>
        </w:rPr>
        <w:t>(5), 427-443.</w:t>
      </w:r>
    </w:p>
    <w:p w:rsidR="5B686F88" w:rsidP="5D55E4E6" w:rsidRDefault="5B686F88" w14:paraId="0FC44152" w14:textId="03A6AE63">
      <w:pPr>
        <w:spacing w:after="160" w:line="360" w:lineRule="auto"/>
        <w:ind w:left="720" w:hanging="720"/>
        <w:rPr>
          <w:rFonts w:ascii="Times New Roman" w:hAnsi="Times New Roman" w:eastAsia="Times New Roman" w:cs="Times New Roman"/>
          <w:noProof w:val="0"/>
          <w:sz w:val="24"/>
          <w:szCs w:val="24"/>
          <w:lang w:val="en-GB"/>
        </w:rPr>
      </w:pPr>
    </w:p>
    <w:p w:rsidR="4B5EBC63" w:rsidP="5D55E4E6" w:rsidRDefault="4B5EBC63" w14:paraId="2E9806A4" w14:textId="4DB0CB55">
      <w:pPr>
        <w:pStyle w:val="Normal"/>
        <w:spacing w:after="160" w:line="360" w:lineRule="auto"/>
        <w:ind w:left="720" w:hanging="720"/>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Mohamed, S. (2011). </w:t>
      </w:r>
      <w:r w:rsidRPr="5D55E4E6" w:rsidR="5D55E4E6">
        <w:rPr>
          <w:rFonts w:ascii="Times New Roman" w:hAnsi="Times New Roman" w:eastAsia="Times New Roman" w:cs="Times New Roman"/>
          <w:i w:val="1"/>
          <w:iCs w:val="1"/>
          <w:noProof w:val="0"/>
          <w:color w:val="222222"/>
          <w:sz w:val="24"/>
          <w:szCs w:val="24"/>
          <w:lang w:val="en-GB"/>
        </w:rPr>
        <w:t>Stigma and mental illness: are there cultural differences?</w:t>
      </w:r>
      <w:r w:rsidRPr="5D55E4E6" w:rsidR="5D55E4E6">
        <w:rPr>
          <w:rFonts w:ascii="Times New Roman" w:hAnsi="Times New Roman" w:eastAsia="Times New Roman" w:cs="Times New Roman"/>
          <w:noProof w:val="0"/>
          <w:color w:val="222222"/>
          <w:sz w:val="24"/>
          <w:szCs w:val="24"/>
          <w:lang w:val="en-GB"/>
        </w:rPr>
        <w:t xml:space="preserve"> (Doctoral dissertation, University of East Anglia</w:t>
      </w:r>
      <w:proofErr w:type="gramStart"/>
      <w:r w:rsidRPr="5D55E4E6" w:rsidR="5D55E4E6">
        <w:rPr>
          <w:rFonts w:ascii="Times New Roman" w:hAnsi="Times New Roman" w:eastAsia="Times New Roman" w:cs="Times New Roman"/>
          <w:noProof w:val="0"/>
          <w:color w:val="222222"/>
          <w:sz w:val="24"/>
          <w:szCs w:val="24"/>
          <w:lang w:val="en-GB"/>
        </w:rPr>
        <w:t>).Ethos</w:t>
      </w:r>
      <w:proofErr w:type="gramEnd"/>
      <w:r w:rsidRPr="5D55E4E6" w:rsidR="5D55E4E6">
        <w:rPr>
          <w:rFonts w:ascii="Times New Roman" w:hAnsi="Times New Roman" w:eastAsia="Times New Roman" w:cs="Times New Roman"/>
          <w:noProof w:val="0"/>
          <w:color w:val="222222"/>
          <w:sz w:val="24"/>
          <w:szCs w:val="24"/>
          <w:lang w:val="en-GB"/>
        </w:rPr>
        <w:t>,uk.bl.ethos.573771</w:t>
      </w:r>
    </w:p>
    <w:p w:rsidR="4B5EBC63" w:rsidP="5D55E4E6" w:rsidRDefault="4B5EBC63" w14:paraId="6C0EB321" w14:textId="378191CC">
      <w:pPr>
        <w:pStyle w:val="Normal"/>
        <w:spacing w:after="160" w:line="360" w:lineRule="auto"/>
        <w:ind w:left="720" w:hanging="720"/>
        <w:rPr>
          <w:rFonts w:ascii="Times New Roman" w:hAnsi="Times New Roman" w:eastAsia="Times New Roman" w:cs="Times New Roman"/>
          <w:noProof w:val="0"/>
          <w:color w:val="222222"/>
          <w:sz w:val="24"/>
          <w:szCs w:val="24"/>
          <w:lang w:val="en-GB"/>
        </w:rPr>
      </w:pPr>
      <w:r w:rsidRPr="5D55E4E6" w:rsidR="5D55E4E6">
        <w:rPr>
          <w:rFonts w:ascii="Times New Roman" w:hAnsi="Times New Roman" w:eastAsia="Times New Roman" w:cs="Times New Roman"/>
          <w:noProof w:val="0"/>
          <w:color w:val="222222"/>
          <w:sz w:val="24"/>
          <w:szCs w:val="24"/>
          <w:lang w:val="en-GB"/>
        </w:rPr>
        <w:t xml:space="preserve">Welsh Government. (2015). Well-being of future generations (Wales) act 2015.United </w:t>
      </w:r>
      <w:proofErr w:type="spellStart"/>
      <w:r w:rsidRPr="5D55E4E6" w:rsidR="5D55E4E6">
        <w:rPr>
          <w:rFonts w:ascii="Times New Roman" w:hAnsi="Times New Roman" w:eastAsia="Times New Roman" w:cs="Times New Roman"/>
          <w:noProof w:val="0"/>
          <w:color w:val="222222"/>
          <w:sz w:val="24"/>
          <w:szCs w:val="24"/>
          <w:lang w:val="en-GB"/>
        </w:rPr>
        <w:t>kingdom:The</w:t>
      </w:r>
      <w:proofErr w:type="spellEnd"/>
      <w:r w:rsidRPr="5D55E4E6" w:rsidR="5D55E4E6">
        <w:rPr>
          <w:rFonts w:ascii="Times New Roman" w:hAnsi="Times New Roman" w:eastAsia="Times New Roman" w:cs="Times New Roman"/>
          <w:noProof w:val="0"/>
          <w:color w:val="222222"/>
          <w:sz w:val="24"/>
          <w:szCs w:val="24"/>
          <w:lang w:val="en-GB"/>
        </w:rPr>
        <w:t xml:space="preserve"> Office Stationary Limited.</w:t>
      </w:r>
    </w:p>
    <w:p w:rsidR="5B686F88" w:rsidP="5B686F88" w:rsidRDefault="5B686F88" w14:paraId="287467A0" w14:textId="0402700D">
      <w:pPr>
        <w:spacing w:after="160" w:line="259" w:lineRule="auto"/>
        <w:ind w:left="360"/>
        <w:rPr>
          <w:rFonts w:ascii="Calibri" w:hAnsi="Calibri" w:eastAsia="Calibri" w:cs="Calibri"/>
          <w:noProof w:val="0"/>
          <w:sz w:val="24"/>
          <w:szCs w:val="24"/>
          <w:lang w:val="en-GB"/>
        </w:rPr>
      </w:pPr>
    </w:p>
    <w:p w:rsidR="5B686F88" w:rsidP="5B686F88" w:rsidRDefault="5B686F88" w14:paraId="77EA27E5" w14:textId="58AB8CF7">
      <w:pPr>
        <w:spacing w:after="160" w:line="259" w:lineRule="auto"/>
        <w:rPr>
          <w:rFonts w:ascii="Calibri" w:hAnsi="Calibri" w:eastAsia="Calibri" w:cs="Calibri"/>
          <w:noProof w:val="0"/>
          <w:sz w:val="22"/>
          <w:szCs w:val="22"/>
          <w:lang w:val="en-GB"/>
        </w:rPr>
      </w:pPr>
    </w:p>
    <w:p w:rsidR="5B686F88" w:rsidP="5B686F88" w:rsidRDefault="5B686F88" w14:paraId="4A19BCAD" w14:textId="290AF2AA">
      <w:pPr>
        <w:spacing w:after="177" w:line="259" w:lineRule="auto"/>
        <w:ind w:left="16" w:right="3" w:hanging="10"/>
        <w:jc w:val="center"/>
        <w:rPr>
          <w:rFonts w:ascii="Calibri" w:hAnsi="Calibri" w:eastAsia="Calibri" w:cs="Calibri"/>
          <w:noProof w:val="0"/>
          <w:sz w:val="22"/>
          <w:szCs w:val="22"/>
          <w:lang w:val="en-GB"/>
        </w:rPr>
      </w:pPr>
    </w:p>
    <w:p w:rsidR="5B686F88" w:rsidP="5B686F88" w:rsidRDefault="5B686F88" w14:paraId="21A3CF86" w14:textId="19793747">
      <w:pPr>
        <w:spacing w:after="182" w:line="259" w:lineRule="auto"/>
        <w:rPr>
          <w:rFonts w:ascii="Times New Roman" w:hAnsi="Times New Roman" w:eastAsia="Times New Roman" w:cs="Times New Roman"/>
          <w:noProof w:val="0"/>
          <w:sz w:val="22"/>
          <w:szCs w:val="22"/>
          <w:lang w:val="en-GB"/>
        </w:rPr>
      </w:pPr>
      <w:r w:rsidRPr="5B686F88" w:rsidR="5B686F88">
        <w:rPr>
          <w:rFonts w:ascii="Times New Roman" w:hAnsi="Times New Roman" w:eastAsia="Times New Roman" w:cs="Times New Roman"/>
          <w:noProof w:val="0"/>
          <w:color w:val="FF0000"/>
          <w:sz w:val="22"/>
          <w:szCs w:val="22"/>
          <w:lang w:val="en-GB"/>
        </w:rPr>
        <w:t xml:space="preserve"> </w:t>
      </w:r>
    </w:p>
    <w:p w:rsidR="5B686F88" w:rsidP="5B686F88" w:rsidRDefault="5B686F88" w14:paraId="339B7C0F" w14:textId="286F3EDE">
      <w:pPr>
        <w:spacing w:after="160" w:line="259" w:lineRule="auto"/>
        <w:ind w:left="720"/>
        <w:rPr>
          <w:rFonts w:ascii="Calibri" w:hAnsi="Calibri" w:eastAsia="Calibri" w:cs="Calibri"/>
          <w:noProof w:val="0"/>
          <w:sz w:val="22"/>
          <w:szCs w:val="22"/>
          <w:lang w:val="en-GB"/>
        </w:rPr>
      </w:pPr>
    </w:p>
    <w:p w:rsidR="5B686F88" w:rsidP="5B686F88" w:rsidRDefault="5B686F88" w14:paraId="57638F73" w14:textId="2B15AB24">
      <w:pPr>
        <w:spacing w:after="180" w:line="259" w:lineRule="auto"/>
        <w:rPr>
          <w:rFonts w:ascii="Calibri" w:hAnsi="Calibri" w:eastAsia="Calibri" w:cs="Calibri"/>
          <w:noProof w:val="0"/>
          <w:sz w:val="22"/>
          <w:szCs w:val="22"/>
          <w:lang w:val="en-GB"/>
        </w:rPr>
      </w:pPr>
      <w:r w:rsidRPr="5B686F88" w:rsidR="5B686F88">
        <w:rPr>
          <w:rFonts w:ascii="Calibri" w:hAnsi="Calibri" w:eastAsia="Calibri" w:cs="Calibri"/>
          <w:noProof w:val="0"/>
          <w:sz w:val="22"/>
          <w:szCs w:val="22"/>
          <w:lang w:val="en-GB"/>
        </w:rPr>
        <w:t xml:space="preserve"> </w:t>
      </w:r>
    </w:p>
    <w:p w:rsidR="5B686F88" w:rsidP="5B686F88" w:rsidRDefault="5B686F88" w14:paraId="0CEF3FE7" w14:textId="76987A32">
      <w:pPr>
        <w:spacing w:after="160" w:line="259" w:lineRule="auto"/>
        <w:ind w:left="720"/>
        <w:rPr>
          <w:rFonts w:ascii="Calibri" w:hAnsi="Calibri" w:eastAsia="Calibri" w:cs="Calibri"/>
          <w:noProof w:val="0"/>
          <w:sz w:val="22"/>
          <w:szCs w:val="22"/>
          <w:lang w:val="en-GB"/>
        </w:rPr>
      </w:pPr>
      <w:r w:rsidRPr="5B686F88" w:rsidR="5B686F88">
        <w:rPr>
          <w:rFonts w:ascii="Calibri" w:hAnsi="Calibri" w:eastAsia="Calibri" w:cs="Calibri"/>
          <w:noProof w:val="0"/>
          <w:sz w:val="22"/>
          <w:szCs w:val="22"/>
          <w:lang w:val="en-GB"/>
        </w:rPr>
        <w:t xml:space="preserve"> </w:t>
      </w:r>
    </w:p>
    <w:p w:rsidR="5B686F88" w:rsidP="5B686F88" w:rsidRDefault="5B686F88" w14:paraId="1CFA2008" w14:textId="740378CC">
      <w:pPr>
        <w:pStyle w:val="ListParagraph"/>
        <w:numPr>
          <w:ilvl w:val="0"/>
          <w:numId w:val="1"/>
        </w:numPr>
        <w:spacing w:after="180" w:line="259" w:lineRule="auto"/>
        <w:rPr>
          <w:noProof w:val="0"/>
          <w:sz w:val="22"/>
          <w:szCs w:val="22"/>
          <w:lang w:val="en-GB"/>
        </w:rPr>
      </w:pPr>
    </w:p>
    <w:p w:rsidR="5B686F88" w:rsidP="5B686F88" w:rsidRDefault="5B686F88" w14:paraId="488F0B40" w14:textId="68BF6A7F">
      <w:pPr>
        <w:pStyle w:val="Normal"/>
        <w:spacing w:line="360" w:lineRule="auto"/>
        <w:rPr>
          <w:rFonts w:ascii="Times New Roman" w:hAnsi="Times New Roman" w:eastAsia="Times New Roman" w:cs="Times New Roman"/>
          <w:b w:val="1"/>
          <w:bCs w:val="1"/>
          <w:noProof w:val="0"/>
          <w:color w:val="00090E"/>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3820D2"/>
  <w15:docId w15:val="{9760e4b5-171d-424c-a360-07dd71cc9eb8}"/>
  <w:rsids>
    <w:rsidRoot w:val="043820D2"/>
    <w:rsid w:val="043820D2"/>
    <w:rsid w:val="4613BDA0"/>
    <w:rsid w:val="4B5EBC63"/>
    <w:rsid w:val="5B686F88"/>
    <w:rsid w:val="5D55E4E6"/>
    <w:rsid w:val="6C9D76F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b1b14ce42384c83" /><Relationship Type="http://schemas.openxmlformats.org/officeDocument/2006/relationships/hyperlink" Target="https://moodle.uwtsd.ac.uk/mod/folder/view.php?id=210172" TargetMode="External" Id="R7e87d27f7a164a77" /><Relationship Type="http://schemas.openxmlformats.org/officeDocument/2006/relationships/hyperlink" Target="https://www.ons.gov.uk/peoplepopulationandcommunity/healthandsocialcare/" TargetMode="External" Id="R07e39efa877c49de" /><Relationship Type="http://schemas.openxmlformats.org/officeDocument/2006/relationships/hyperlink" Target="https://digest.bps.org.uk/2017/09/18/women-know-better-than-menwhat-other-women-are-thinking-and-feeling/" TargetMode="External" Id="R6c23e3b664f047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Wilson (1502076)</dc:creator>
  <keywords/>
  <dc:description/>
  <lastModifiedBy>Andrea Wilson (1502076)</lastModifiedBy>
  <revision>6</revision>
  <dcterms:created xsi:type="dcterms:W3CDTF">2019-10-31T15:13:49.4368672Z</dcterms:created>
  <dcterms:modified xsi:type="dcterms:W3CDTF">2019-11-06T16:25:39.0108452Z</dcterms:modified>
</coreProperties>
</file>