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AC68C0" w14:textId="77777777" w:rsidR="001E2139" w:rsidRDefault="001E2139" w:rsidP="006846BE">
      <w:pPr>
        <w:pStyle w:val="princy"/>
        <w:jc w:val="center"/>
      </w:pPr>
    </w:p>
    <w:p w14:paraId="4B2763D1" w14:textId="77777777" w:rsidR="009513B0" w:rsidRDefault="009513B0" w:rsidP="009513B0">
      <w:pPr>
        <w:jc w:val="center"/>
      </w:pPr>
      <w:r>
        <w:rPr>
          <w:noProof/>
        </w:rPr>
        <w:drawing>
          <wp:inline distT="0" distB="0" distL="0" distR="0" wp14:anchorId="2FC9255F" wp14:editId="52AB6CC0">
            <wp:extent cx="4747260" cy="1574509"/>
            <wp:effectExtent l="0" t="0" r="0" b="6985"/>
            <wp:docPr id="1281296184"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296184" name="Picture 1281296184"/>
                    <pic:cNvPicPr/>
                  </pic:nvPicPr>
                  <pic:blipFill>
                    <a:blip r:embed="rId5">
                      <a:extLst>
                        <a:ext uri="{28A0092B-C50C-407E-A947-70E740481C1C}">
                          <a14:useLocalDpi xmlns:a14="http://schemas.microsoft.com/office/drawing/2010/main" val="0"/>
                        </a:ext>
                      </a:extLst>
                    </a:blip>
                    <a:stretch>
                      <a:fillRect/>
                    </a:stretch>
                  </pic:blipFill>
                  <pic:spPr>
                    <a:xfrm>
                      <a:off x="0" y="0"/>
                      <a:ext cx="4777698" cy="1584604"/>
                    </a:xfrm>
                    <a:prstGeom prst="rect">
                      <a:avLst/>
                    </a:prstGeom>
                  </pic:spPr>
                </pic:pic>
              </a:graphicData>
            </a:graphic>
          </wp:inline>
        </w:drawing>
      </w:r>
    </w:p>
    <w:p w14:paraId="412D2CCE" w14:textId="77777777" w:rsidR="009513B0" w:rsidRDefault="009513B0" w:rsidP="009513B0"/>
    <w:p w14:paraId="7D1CB98B" w14:textId="77777777" w:rsidR="009513B0" w:rsidRDefault="009513B0" w:rsidP="009513B0">
      <w:pPr>
        <w:pStyle w:val="princy"/>
        <w:jc w:val="center"/>
      </w:pPr>
      <w:r>
        <w:t>MASTER OF BUSINESS ADMINSTRATION</w:t>
      </w:r>
    </w:p>
    <w:p w14:paraId="5206FA1D" w14:textId="77777777" w:rsidR="009513B0" w:rsidRDefault="009513B0" w:rsidP="009513B0">
      <w:pPr>
        <w:pStyle w:val="princy"/>
        <w:jc w:val="center"/>
      </w:pPr>
    </w:p>
    <w:p w14:paraId="70B604AC" w14:textId="77777777" w:rsidR="009513B0" w:rsidRDefault="009513B0" w:rsidP="009513B0">
      <w:pPr>
        <w:pStyle w:val="princy"/>
        <w:jc w:val="center"/>
      </w:pPr>
    </w:p>
    <w:p w14:paraId="11DE2808" w14:textId="77777777" w:rsidR="009513B0" w:rsidRDefault="009513B0" w:rsidP="009513B0">
      <w:pPr>
        <w:pStyle w:val="princy"/>
        <w:jc w:val="center"/>
      </w:pPr>
      <w:r>
        <w:t>INTERNATIONAL MARKETING : PRINCIPLES AND PRACTICE</w:t>
      </w:r>
    </w:p>
    <w:p w14:paraId="12B283F7" w14:textId="77777777" w:rsidR="009513B0" w:rsidRDefault="009513B0" w:rsidP="009513B0">
      <w:pPr>
        <w:pStyle w:val="princy"/>
        <w:jc w:val="center"/>
      </w:pPr>
    </w:p>
    <w:p w14:paraId="657D5207" w14:textId="77777777" w:rsidR="009513B0" w:rsidRDefault="009513B0" w:rsidP="009513B0">
      <w:pPr>
        <w:pStyle w:val="princy"/>
        <w:jc w:val="center"/>
      </w:pPr>
      <w:r>
        <w:t>LCMB7026</w:t>
      </w:r>
    </w:p>
    <w:p w14:paraId="13C0B255" w14:textId="77777777" w:rsidR="009513B0" w:rsidRDefault="009513B0" w:rsidP="009513B0">
      <w:pPr>
        <w:pStyle w:val="princy"/>
        <w:jc w:val="center"/>
      </w:pPr>
    </w:p>
    <w:p w14:paraId="62862DE9" w14:textId="77777777" w:rsidR="009513B0" w:rsidRDefault="009513B0" w:rsidP="009513B0">
      <w:pPr>
        <w:pStyle w:val="princy"/>
        <w:jc w:val="center"/>
      </w:pPr>
      <w:r>
        <w:t>ASSESMENT COMPONENT1:INDIVIDUAL REPORT</w:t>
      </w:r>
    </w:p>
    <w:p w14:paraId="509C24FA" w14:textId="77777777" w:rsidR="009513B0" w:rsidRDefault="009513B0" w:rsidP="009513B0">
      <w:pPr>
        <w:pStyle w:val="princy"/>
        <w:jc w:val="center"/>
      </w:pPr>
    </w:p>
    <w:p w14:paraId="114362CA" w14:textId="77777777" w:rsidR="009513B0" w:rsidRDefault="009513B0" w:rsidP="009513B0">
      <w:pPr>
        <w:pStyle w:val="princy"/>
        <w:jc w:val="center"/>
      </w:pPr>
      <w:r>
        <w:t xml:space="preserve">LOUIS  VUITTON IN USA AND INDIA </w:t>
      </w:r>
    </w:p>
    <w:p w14:paraId="61319C4C" w14:textId="77777777" w:rsidR="009513B0" w:rsidRDefault="009513B0" w:rsidP="009513B0">
      <w:pPr>
        <w:pStyle w:val="princy"/>
        <w:jc w:val="center"/>
      </w:pPr>
    </w:p>
    <w:p w14:paraId="4746034C" w14:textId="7341C6DE" w:rsidR="009513B0" w:rsidRDefault="009513B0" w:rsidP="009513B0">
      <w:pPr>
        <w:pStyle w:val="princy"/>
        <w:jc w:val="center"/>
      </w:pPr>
      <w:r>
        <w:t>Student name:</w:t>
      </w:r>
      <w:r w:rsidR="0044730B">
        <w:t>Hardeep Vijaysinh Zala</w:t>
      </w:r>
    </w:p>
    <w:p w14:paraId="63F965D4" w14:textId="77777777" w:rsidR="009513B0" w:rsidRDefault="009513B0" w:rsidP="009513B0">
      <w:pPr>
        <w:pStyle w:val="princy"/>
        <w:jc w:val="center"/>
      </w:pPr>
    </w:p>
    <w:p w14:paraId="71C47371" w14:textId="1742A6D4" w:rsidR="009513B0" w:rsidRDefault="009513B0" w:rsidP="009513B0">
      <w:pPr>
        <w:pStyle w:val="princy"/>
        <w:jc w:val="center"/>
      </w:pPr>
      <w:r>
        <w:t>ID of the student  :</w:t>
      </w:r>
      <w:r w:rsidR="0044730B">
        <w:t>2509957</w:t>
      </w:r>
    </w:p>
    <w:p w14:paraId="188DB8CE" w14:textId="77777777" w:rsidR="009513B0" w:rsidRDefault="009513B0" w:rsidP="009513B0">
      <w:pPr>
        <w:pStyle w:val="princy"/>
        <w:jc w:val="center"/>
      </w:pPr>
    </w:p>
    <w:p w14:paraId="0FF768F7" w14:textId="77777777" w:rsidR="009513B0" w:rsidRDefault="009513B0" w:rsidP="009513B0">
      <w:pPr>
        <w:pStyle w:val="princy"/>
        <w:jc w:val="center"/>
      </w:pPr>
      <w:r>
        <w:t>Lecture name : Tushara Balendran, Dian Mayasari</w:t>
      </w:r>
    </w:p>
    <w:p w14:paraId="21829310" w14:textId="77777777" w:rsidR="009513B0" w:rsidRDefault="009513B0" w:rsidP="009513B0">
      <w:pPr>
        <w:pStyle w:val="princy"/>
        <w:jc w:val="center"/>
      </w:pPr>
    </w:p>
    <w:p w14:paraId="2950A3A8" w14:textId="77777777" w:rsidR="009513B0" w:rsidRDefault="009513B0" w:rsidP="009513B0">
      <w:pPr>
        <w:pStyle w:val="princy"/>
        <w:jc w:val="center"/>
      </w:pPr>
      <w:r>
        <w:t>Word count : 6024</w:t>
      </w:r>
    </w:p>
    <w:p w14:paraId="15A32B84" w14:textId="77777777" w:rsidR="009513B0" w:rsidRDefault="009513B0" w:rsidP="009513B0">
      <w:pPr>
        <w:pStyle w:val="princy"/>
        <w:jc w:val="center"/>
      </w:pPr>
      <w:r>
        <w:t>Date of submission : 24</w:t>
      </w:r>
      <w:r w:rsidRPr="001E2139">
        <w:rPr>
          <w:vertAlign w:val="superscript"/>
        </w:rPr>
        <w:t>th</w:t>
      </w:r>
      <w:r>
        <w:t xml:space="preserve"> April 2026    </w:t>
      </w:r>
    </w:p>
    <w:p w14:paraId="6F332F81" w14:textId="260C911A" w:rsidR="00763130" w:rsidRDefault="00763130" w:rsidP="009513B0">
      <w:pPr>
        <w:pStyle w:val="princy"/>
        <w:jc w:val="center"/>
      </w:pPr>
    </w:p>
    <w:p w14:paraId="07E01EF8" w14:textId="77777777" w:rsidR="001E2139" w:rsidRDefault="001E2139" w:rsidP="006846BE">
      <w:pPr>
        <w:pStyle w:val="princy"/>
        <w:jc w:val="center"/>
      </w:pPr>
    </w:p>
    <w:sdt>
      <w:sdtPr>
        <w:id w:val="1702590199"/>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7910CCCA" w14:textId="5BDC6FE8" w:rsidR="009513B0" w:rsidRDefault="009513B0">
          <w:pPr>
            <w:pStyle w:val="TOCHeading"/>
          </w:pPr>
          <w:r>
            <w:t>Contents</w:t>
          </w:r>
        </w:p>
        <w:p w14:paraId="09A50928" w14:textId="204E84B7" w:rsidR="009513B0" w:rsidRDefault="009513B0">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7862142" w:history="1">
            <w:r>
              <w:rPr>
                <w:noProof/>
                <w:webHidden/>
              </w:rPr>
              <w:tab/>
            </w:r>
            <w:r>
              <w:rPr>
                <w:noProof/>
                <w:webHidden/>
              </w:rPr>
              <w:fldChar w:fldCharType="begin"/>
            </w:r>
            <w:r>
              <w:rPr>
                <w:noProof/>
                <w:webHidden/>
              </w:rPr>
              <w:instrText xml:space="preserve"> PAGEREF _Toc227862142 \h </w:instrText>
            </w:r>
            <w:r>
              <w:rPr>
                <w:noProof/>
                <w:webHidden/>
              </w:rPr>
            </w:r>
            <w:r>
              <w:rPr>
                <w:noProof/>
                <w:webHidden/>
              </w:rPr>
              <w:fldChar w:fldCharType="separate"/>
            </w:r>
            <w:r>
              <w:rPr>
                <w:noProof/>
                <w:webHidden/>
              </w:rPr>
              <w:t>4</w:t>
            </w:r>
            <w:r>
              <w:rPr>
                <w:noProof/>
                <w:webHidden/>
              </w:rPr>
              <w:fldChar w:fldCharType="end"/>
            </w:r>
          </w:hyperlink>
        </w:p>
        <w:p w14:paraId="1B5D0C84" w14:textId="1F48944D" w:rsidR="009513B0" w:rsidRDefault="009513B0">
          <w:pPr>
            <w:pStyle w:val="TOC1"/>
            <w:tabs>
              <w:tab w:val="right" w:leader="dot" w:pos="9016"/>
            </w:tabs>
            <w:rPr>
              <w:rFonts w:eastAsiaTheme="minorEastAsia"/>
              <w:noProof/>
              <w:lang w:eastAsia="en-IN"/>
            </w:rPr>
          </w:pPr>
          <w:hyperlink w:anchor="_Toc227862143" w:history="1">
            <w:r w:rsidRPr="00157D14">
              <w:rPr>
                <w:rStyle w:val="Hyperlink"/>
                <w:noProof/>
              </w:rPr>
              <w:t>1.1 Introduction</w:t>
            </w:r>
            <w:r>
              <w:rPr>
                <w:noProof/>
                <w:webHidden/>
              </w:rPr>
              <w:tab/>
            </w:r>
            <w:r>
              <w:rPr>
                <w:noProof/>
                <w:webHidden/>
              </w:rPr>
              <w:fldChar w:fldCharType="begin"/>
            </w:r>
            <w:r>
              <w:rPr>
                <w:noProof/>
                <w:webHidden/>
              </w:rPr>
              <w:instrText xml:space="preserve"> PAGEREF _Toc227862143 \h </w:instrText>
            </w:r>
            <w:r>
              <w:rPr>
                <w:noProof/>
                <w:webHidden/>
              </w:rPr>
            </w:r>
            <w:r>
              <w:rPr>
                <w:noProof/>
                <w:webHidden/>
              </w:rPr>
              <w:fldChar w:fldCharType="separate"/>
            </w:r>
            <w:r>
              <w:rPr>
                <w:noProof/>
                <w:webHidden/>
              </w:rPr>
              <w:t>4</w:t>
            </w:r>
            <w:r>
              <w:rPr>
                <w:noProof/>
                <w:webHidden/>
              </w:rPr>
              <w:fldChar w:fldCharType="end"/>
            </w:r>
          </w:hyperlink>
        </w:p>
        <w:p w14:paraId="5BB5D448" w14:textId="221152B6" w:rsidR="009513B0" w:rsidRDefault="009513B0">
          <w:pPr>
            <w:pStyle w:val="TOC2"/>
            <w:tabs>
              <w:tab w:val="right" w:leader="dot" w:pos="9016"/>
            </w:tabs>
            <w:rPr>
              <w:rFonts w:eastAsiaTheme="minorEastAsia"/>
              <w:noProof/>
              <w:lang w:eastAsia="en-IN"/>
            </w:rPr>
          </w:pPr>
          <w:hyperlink w:anchor="_Toc227862144" w:history="1">
            <w:r w:rsidRPr="00157D14">
              <w:rPr>
                <w:rStyle w:val="Hyperlink"/>
                <w:noProof/>
              </w:rPr>
              <w:t>1.2 Company background</w:t>
            </w:r>
            <w:r>
              <w:rPr>
                <w:noProof/>
                <w:webHidden/>
              </w:rPr>
              <w:tab/>
            </w:r>
            <w:r>
              <w:rPr>
                <w:noProof/>
                <w:webHidden/>
              </w:rPr>
              <w:fldChar w:fldCharType="begin"/>
            </w:r>
            <w:r>
              <w:rPr>
                <w:noProof/>
                <w:webHidden/>
              </w:rPr>
              <w:instrText xml:space="preserve"> PAGEREF _Toc227862144 \h </w:instrText>
            </w:r>
            <w:r>
              <w:rPr>
                <w:noProof/>
                <w:webHidden/>
              </w:rPr>
            </w:r>
            <w:r>
              <w:rPr>
                <w:noProof/>
                <w:webHidden/>
              </w:rPr>
              <w:fldChar w:fldCharType="separate"/>
            </w:r>
            <w:r>
              <w:rPr>
                <w:noProof/>
                <w:webHidden/>
              </w:rPr>
              <w:t>5</w:t>
            </w:r>
            <w:r>
              <w:rPr>
                <w:noProof/>
                <w:webHidden/>
              </w:rPr>
              <w:fldChar w:fldCharType="end"/>
            </w:r>
          </w:hyperlink>
        </w:p>
        <w:p w14:paraId="699DAE10" w14:textId="22B9223E" w:rsidR="009513B0" w:rsidRDefault="009513B0">
          <w:pPr>
            <w:pStyle w:val="TOC2"/>
            <w:tabs>
              <w:tab w:val="right" w:leader="dot" w:pos="9016"/>
            </w:tabs>
            <w:rPr>
              <w:rFonts w:eastAsiaTheme="minorEastAsia"/>
              <w:noProof/>
              <w:lang w:eastAsia="en-IN"/>
            </w:rPr>
          </w:pPr>
          <w:hyperlink w:anchor="_Toc227862145" w:history="1">
            <w:r w:rsidRPr="00157D14">
              <w:rPr>
                <w:rStyle w:val="Hyperlink"/>
                <w:noProof/>
              </w:rPr>
              <w:t>2.0 Macro environment and culture</w:t>
            </w:r>
            <w:r>
              <w:rPr>
                <w:noProof/>
                <w:webHidden/>
              </w:rPr>
              <w:tab/>
            </w:r>
            <w:r>
              <w:rPr>
                <w:noProof/>
                <w:webHidden/>
              </w:rPr>
              <w:fldChar w:fldCharType="begin"/>
            </w:r>
            <w:r>
              <w:rPr>
                <w:noProof/>
                <w:webHidden/>
              </w:rPr>
              <w:instrText xml:space="preserve"> PAGEREF _Toc227862145 \h </w:instrText>
            </w:r>
            <w:r>
              <w:rPr>
                <w:noProof/>
                <w:webHidden/>
              </w:rPr>
            </w:r>
            <w:r>
              <w:rPr>
                <w:noProof/>
                <w:webHidden/>
              </w:rPr>
              <w:fldChar w:fldCharType="separate"/>
            </w:r>
            <w:r>
              <w:rPr>
                <w:noProof/>
                <w:webHidden/>
              </w:rPr>
              <w:t>8</w:t>
            </w:r>
            <w:r>
              <w:rPr>
                <w:noProof/>
                <w:webHidden/>
              </w:rPr>
              <w:fldChar w:fldCharType="end"/>
            </w:r>
          </w:hyperlink>
        </w:p>
        <w:p w14:paraId="612B88D5" w14:textId="05986526" w:rsidR="009513B0" w:rsidRDefault="009513B0">
          <w:pPr>
            <w:pStyle w:val="TOC2"/>
            <w:tabs>
              <w:tab w:val="right" w:leader="dot" w:pos="9016"/>
            </w:tabs>
            <w:rPr>
              <w:rFonts w:eastAsiaTheme="minorEastAsia"/>
              <w:noProof/>
              <w:lang w:eastAsia="en-IN"/>
            </w:rPr>
          </w:pPr>
          <w:hyperlink w:anchor="_Toc227862146" w:history="1">
            <w:r w:rsidRPr="00157D14">
              <w:rPr>
                <w:rStyle w:val="Hyperlink"/>
                <w:noProof/>
              </w:rPr>
              <w:t>2.1 PESTEL comparison</w:t>
            </w:r>
            <w:r>
              <w:rPr>
                <w:noProof/>
                <w:webHidden/>
              </w:rPr>
              <w:tab/>
            </w:r>
            <w:r>
              <w:rPr>
                <w:noProof/>
                <w:webHidden/>
              </w:rPr>
              <w:fldChar w:fldCharType="begin"/>
            </w:r>
            <w:r>
              <w:rPr>
                <w:noProof/>
                <w:webHidden/>
              </w:rPr>
              <w:instrText xml:space="preserve"> PAGEREF _Toc227862146 \h </w:instrText>
            </w:r>
            <w:r>
              <w:rPr>
                <w:noProof/>
                <w:webHidden/>
              </w:rPr>
            </w:r>
            <w:r>
              <w:rPr>
                <w:noProof/>
                <w:webHidden/>
              </w:rPr>
              <w:fldChar w:fldCharType="separate"/>
            </w:r>
            <w:r>
              <w:rPr>
                <w:noProof/>
                <w:webHidden/>
              </w:rPr>
              <w:t>8</w:t>
            </w:r>
            <w:r>
              <w:rPr>
                <w:noProof/>
                <w:webHidden/>
              </w:rPr>
              <w:fldChar w:fldCharType="end"/>
            </w:r>
          </w:hyperlink>
        </w:p>
        <w:p w14:paraId="5E2D383B" w14:textId="6F4CEAB2" w:rsidR="009513B0" w:rsidRDefault="009513B0">
          <w:pPr>
            <w:pStyle w:val="TOC2"/>
            <w:tabs>
              <w:tab w:val="right" w:leader="dot" w:pos="9016"/>
            </w:tabs>
            <w:rPr>
              <w:rFonts w:eastAsiaTheme="minorEastAsia"/>
              <w:noProof/>
              <w:lang w:eastAsia="en-IN"/>
            </w:rPr>
          </w:pPr>
          <w:hyperlink w:anchor="_Toc227862147" w:history="1">
            <w:r w:rsidRPr="00157D14">
              <w:rPr>
                <w:rStyle w:val="Hyperlink"/>
                <w:noProof/>
              </w:rPr>
              <w:t>2.2 Political and legal factors</w:t>
            </w:r>
            <w:r>
              <w:rPr>
                <w:noProof/>
                <w:webHidden/>
              </w:rPr>
              <w:tab/>
            </w:r>
            <w:r>
              <w:rPr>
                <w:noProof/>
                <w:webHidden/>
              </w:rPr>
              <w:fldChar w:fldCharType="begin"/>
            </w:r>
            <w:r>
              <w:rPr>
                <w:noProof/>
                <w:webHidden/>
              </w:rPr>
              <w:instrText xml:space="preserve"> PAGEREF _Toc227862147 \h </w:instrText>
            </w:r>
            <w:r>
              <w:rPr>
                <w:noProof/>
                <w:webHidden/>
              </w:rPr>
            </w:r>
            <w:r>
              <w:rPr>
                <w:noProof/>
                <w:webHidden/>
              </w:rPr>
              <w:fldChar w:fldCharType="separate"/>
            </w:r>
            <w:r>
              <w:rPr>
                <w:noProof/>
                <w:webHidden/>
              </w:rPr>
              <w:t>9</w:t>
            </w:r>
            <w:r>
              <w:rPr>
                <w:noProof/>
                <w:webHidden/>
              </w:rPr>
              <w:fldChar w:fldCharType="end"/>
            </w:r>
          </w:hyperlink>
        </w:p>
        <w:p w14:paraId="07D31C02" w14:textId="1AEF92E2" w:rsidR="009513B0" w:rsidRDefault="009513B0">
          <w:pPr>
            <w:pStyle w:val="TOC2"/>
            <w:tabs>
              <w:tab w:val="right" w:leader="dot" w:pos="9016"/>
            </w:tabs>
            <w:rPr>
              <w:rFonts w:eastAsiaTheme="minorEastAsia"/>
              <w:noProof/>
              <w:lang w:eastAsia="en-IN"/>
            </w:rPr>
          </w:pPr>
          <w:hyperlink w:anchor="_Toc227862148" w:history="1">
            <w:r w:rsidRPr="00157D14">
              <w:rPr>
                <w:rStyle w:val="Hyperlink"/>
                <w:noProof/>
              </w:rPr>
              <w:t>2.3 Economic factors</w:t>
            </w:r>
            <w:r>
              <w:rPr>
                <w:noProof/>
                <w:webHidden/>
              </w:rPr>
              <w:tab/>
            </w:r>
            <w:r>
              <w:rPr>
                <w:noProof/>
                <w:webHidden/>
              </w:rPr>
              <w:fldChar w:fldCharType="begin"/>
            </w:r>
            <w:r>
              <w:rPr>
                <w:noProof/>
                <w:webHidden/>
              </w:rPr>
              <w:instrText xml:space="preserve"> PAGEREF _Toc227862148 \h </w:instrText>
            </w:r>
            <w:r>
              <w:rPr>
                <w:noProof/>
                <w:webHidden/>
              </w:rPr>
            </w:r>
            <w:r>
              <w:rPr>
                <w:noProof/>
                <w:webHidden/>
              </w:rPr>
              <w:fldChar w:fldCharType="separate"/>
            </w:r>
            <w:r>
              <w:rPr>
                <w:noProof/>
                <w:webHidden/>
              </w:rPr>
              <w:t>10</w:t>
            </w:r>
            <w:r>
              <w:rPr>
                <w:noProof/>
                <w:webHidden/>
              </w:rPr>
              <w:fldChar w:fldCharType="end"/>
            </w:r>
          </w:hyperlink>
        </w:p>
        <w:p w14:paraId="48E633C5" w14:textId="58F2BD5E" w:rsidR="009513B0" w:rsidRDefault="009513B0">
          <w:pPr>
            <w:pStyle w:val="TOC2"/>
            <w:tabs>
              <w:tab w:val="right" w:leader="dot" w:pos="9016"/>
            </w:tabs>
            <w:rPr>
              <w:rFonts w:eastAsiaTheme="minorEastAsia"/>
              <w:noProof/>
              <w:lang w:eastAsia="en-IN"/>
            </w:rPr>
          </w:pPr>
          <w:hyperlink w:anchor="_Toc227862149" w:history="1">
            <w:r w:rsidRPr="00157D14">
              <w:rPr>
                <w:rStyle w:val="Hyperlink"/>
                <w:noProof/>
              </w:rPr>
              <w:t>2.4 Social factors</w:t>
            </w:r>
            <w:r>
              <w:rPr>
                <w:noProof/>
                <w:webHidden/>
              </w:rPr>
              <w:tab/>
            </w:r>
            <w:r>
              <w:rPr>
                <w:noProof/>
                <w:webHidden/>
              </w:rPr>
              <w:fldChar w:fldCharType="begin"/>
            </w:r>
            <w:r>
              <w:rPr>
                <w:noProof/>
                <w:webHidden/>
              </w:rPr>
              <w:instrText xml:space="preserve"> PAGEREF _Toc227862149 \h </w:instrText>
            </w:r>
            <w:r>
              <w:rPr>
                <w:noProof/>
                <w:webHidden/>
              </w:rPr>
            </w:r>
            <w:r>
              <w:rPr>
                <w:noProof/>
                <w:webHidden/>
              </w:rPr>
              <w:fldChar w:fldCharType="separate"/>
            </w:r>
            <w:r>
              <w:rPr>
                <w:noProof/>
                <w:webHidden/>
              </w:rPr>
              <w:t>11</w:t>
            </w:r>
            <w:r>
              <w:rPr>
                <w:noProof/>
                <w:webHidden/>
              </w:rPr>
              <w:fldChar w:fldCharType="end"/>
            </w:r>
          </w:hyperlink>
        </w:p>
        <w:p w14:paraId="425CEB80" w14:textId="01810000" w:rsidR="009513B0" w:rsidRDefault="009513B0">
          <w:pPr>
            <w:pStyle w:val="TOC2"/>
            <w:tabs>
              <w:tab w:val="right" w:leader="dot" w:pos="9016"/>
            </w:tabs>
            <w:rPr>
              <w:rFonts w:eastAsiaTheme="minorEastAsia"/>
              <w:noProof/>
              <w:lang w:eastAsia="en-IN"/>
            </w:rPr>
          </w:pPr>
          <w:hyperlink w:anchor="_Toc227862150" w:history="1">
            <w:r w:rsidRPr="00157D14">
              <w:rPr>
                <w:rStyle w:val="Hyperlink"/>
                <w:noProof/>
              </w:rPr>
              <w:t>2.5 Cultural factors</w:t>
            </w:r>
            <w:r>
              <w:rPr>
                <w:noProof/>
                <w:webHidden/>
              </w:rPr>
              <w:tab/>
            </w:r>
            <w:r>
              <w:rPr>
                <w:noProof/>
                <w:webHidden/>
              </w:rPr>
              <w:fldChar w:fldCharType="begin"/>
            </w:r>
            <w:r>
              <w:rPr>
                <w:noProof/>
                <w:webHidden/>
              </w:rPr>
              <w:instrText xml:space="preserve"> PAGEREF _Toc227862150 \h </w:instrText>
            </w:r>
            <w:r>
              <w:rPr>
                <w:noProof/>
                <w:webHidden/>
              </w:rPr>
            </w:r>
            <w:r>
              <w:rPr>
                <w:noProof/>
                <w:webHidden/>
              </w:rPr>
              <w:fldChar w:fldCharType="separate"/>
            </w:r>
            <w:r>
              <w:rPr>
                <w:noProof/>
                <w:webHidden/>
              </w:rPr>
              <w:t>12</w:t>
            </w:r>
            <w:r>
              <w:rPr>
                <w:noProof/>
                <w:webHidden/>
              </w:rPr>
              <w:fldChar w:fldCharType="end"/>
            </w:r>
          </w:hyperlink>
        </w:p>
        <w:p w14:paraId="01C36CAA" w14:textId="3E578CD2" w:rsidR="009513B0" w:rsidRDefault="009513B0">
          <w:pPr>
            <w:pStyle w:val="TOC2"/>
            <w:tabs>
              <w:tab w:val="right" w:leader="dot" w:pos="9016"/>
            </w:tabs>
            <w:rPr>
              <w:rFonts w:eastAsiaTheme="minorEastAsia"/>
              <w:noProof/>
              <w:lang w:eastAsia="en-IN"/>
            </w:rPr>
          </w:pPr>
          <w:hyperlink w:anchor="_Toc227862151" w:history="1">
            <w:r w:rsidRPr="00157D14">
              <w:rPr>
                <w:rStyle w:val="Hyperlink"/>
                <w:noProof/>
              </w:rPr>
              <w:t>2.6 Technological and environmental factors</w:t>
            </w:r>
            <w:r>
              <w:rPr>
                <w:noProof/>
                <w:webHidden/>
              </w:rPr>
              <w:tab/>
            </w:r>
            <w:r>
              <w:rPr>
                <w:noProof/>
                <w:webHidden/>
              </w:rPr>
              <w:fldChar w:fldCharType="begin"/>
            </w:r>
            <w:r>
              <w:rPr>
                <w:noProof/>
                <w:webHidden/>
              </w:rPr>
              <w:instrText xml:space="preserve"> PAGEREF _Toc227862151 \h </w:instrText>
            </w:r>
            <w:r>
              <w:rPr>
                <w:noProof/>
                <w:webHidden/>
              </w:rPr>
            </w:r>
            <w:r>
              <w:rPr>
                <w:noProof/>
                <w:webHidden/>
              </w:rPr>
              <w:fldChar w:fldCharType="separate"/>
            </w:r>
            <w:r>
              <w:rPr>
                <w:noProof/>
                <w:webHidden/>
              </w:rPr>
              <w:t>14</w:t>
            </w:r>
            <w:r>
              <w:rPr>
                <w:noProof/>
                <w:webHidden/>
              </w:rPr>
              <w:fldChar w:fldCharType="end"/>
            </w:r>
          </w:hyperlink>
        </w:p>
        <w:p w14:paraId="412C5D18" w14:textId="14BBB8D5" w:rsidR="009513B0" w:rsidRDefault="009513B0">
          <w:pPr>
            <w:pStyle w:val="TOC2"/>
            <w:tabs>
              <w:tab w:val="right" w:leader="dot" w:pos="9016"/>
            </w:tabs>
            <w:rPr>
              <w:rFonts w:eastAsiaTheme="minorEastAsia"/>
              <w:noProof/>
              <w:lang w:eastAsia="en-IN"/>
            </w:rPr>
          </w:pPr>
          <w:hyperlink w:anchor="_Toc227862152" w:history="1">
            <w:r w:rsidRPr="00157D14">
              <w:rPr>
                <w:rStyle w:val="Hyperlink"/>
                <w:noProof/>
                <w:lang w:val="en-US"/>
              </w:rPr>
              <w:t>3.0 STP and international consumer market</w:t>
            </w:r>
            <w:r>
              <w:rPr>
                <w:noProof/>
                <w:webHidden/>
              </w:rPr>
              <w:tab/>
            </w:r>
            <w:r>
              <w:rPr>
                <w:noProof/>
                <w:webHidden/>
              </w:rPr>
              <w:fldChar w:fldCharType="begin"/>
            </w:r>
            <w:r>
              <w:rPr>
                <w:noProof/>
                <w:webHidden/>
              </w:rPr>
              <w:instrText xml:space="preserve"> PAGEREF _Toc227862152 \h </w:instrText>
            </w:r>
            <w:r>
              <w:rPr>
                <w:noProof/>
                <w:webHidden/>
              </w:rPr>
            </w:r>
            <w:r>
              <w:rPr>
                <w:noProof/>
                <w:webHidden/>
              </w:rPr>
              <w:fldChar w:fldCharType="separate"/>
            </w:r>
            <w:r>
              <w:rPr>
                <w:noProof/>
                <w:webHidden/>
              </w:rPr>
              <w:t>14</w:t>
            </w:r>
            <w:r>
              <w:rPr>
                <w:noProof/>
                <w:webHidden/>
              </w:rPr>
              <w:fldChar w:fldCharType="end"/>
            </w:r>
          </w:hyperlink>
        </w:p>
        <w:p w14:paraId="5DFC496C" w14:textId="3F5D6961" w:rsidR="009513B0" w:rsidRDefault="009513B0">
          <w:pPr>
            <w:pStyle w:val="TOC2"/>
            <w:tabs>
              <w:tab w:val="right" w:leader="dot" w:pos="9016"/>
            </w:tabs>
            <w:rPr>
              <w:rFonts w:eastAsiaTheme="minorEastAsia"/>
              <w:noProof/>
              <w:lang w:eastAsia="en-IN"/>
            </w:rPr>
          </w:pPr>
          <w:hyperlink w:anchor="_Toc227862153" w:history="1">
            <w:r w:rsidRPr="00157D14">
              <w:rPr>
                <w:rStyle w:val="Hyperlink"/>
                <w:noProof/>
                <w:lang w:val="en-US"/>
              </w:rPr>
              <w:t>3.1 Segmentation</w:t>
            </w:r>
            <w:r>
              <w:rPr>
                <w:noProof/>
                <w:webHidden/>
              </w:rPr>
              <w:tab/>
            </w:r>
            <w:r>
              <w:rPr>
                <w:noProof/>
                <w:webHidden/>
              </w:rPr>
              <w:fldChar w:fldCharType="begin"/>
            </w:r>
            <w:r>
              <w:rPr>
                <w:noProof/>
                <w:webHidden/>
              </w:rPr>
              <w:instrText xml:space="preserve"> PAGEREF _Toc227862153 \h </w:instrText>
            </w:r>
            <w:r>
              <w:rPr>
                <w:noProof/>
                <w:webHidden/>
              </w:rPr>
            </w:r>
            <w:r>
              <w:rPr>
                <w:noProof/>
                <w:webHidden/>
              </w:rPr>
              <w:fldChar w:fldCharType="separate"/>
            </w:r>
            <w:r>
              <w:rPr>
                <w:noProof/>
                <w:webHidden/>
              </w:rPr>
              <w:t>15</w:t>
            </w:r>
            <w:r>
              <w:rPr>
                <w:noProof/>
                <w:webHidden/>
              </w:rPr>
              <w:fldChar w:fldCharType="end"/>
            </w:r>
          </w:hyperlink>
        </w:p>
        <w:p w14:paraId="32998DB3" w14:textId="1129F492" w:rsidR="009513B0" w:rsidRDefault="009513B0">
          <w:pPr>
            <w:pStyle w:val="TOC2"/>
            <w:tabs>
              <w:tab w:val="right" w:leader="dot" w:pos="9016"/>
            </w:tabs>
            <w:rPr>
              <w:rFonts w:eastAsiaTheme="minorEastAsia"/>
              <w:noProof/>
              <w:lang w:eastAsia="en-IN"/>
            </w:rPr>
          </w:pPr>
          <w:hyperlink w:anchor="_Toc227862154" w:history="1">
            <w:r w:rsidRPr="00157D14">
              <w:rPr>
                <w:rStyle w:val="Hyperlink"/>
                <w:noProof/>
                <w:lang w:val="en-US"/>
              </w:rPr>
              <w:t>3.2 Targeting</w:t>
            </w:r>
            <w:r>
              <w:rPr>
                <w:noProof/>
                <w:webHidden/>
              </w:rPr>
              <w:tab/>
            </w:r>
            <w:r>
              <w:rPr>
                <w:noProof/>
                <w:webHidden/>
              </w:rPr>
              <w:fldChar w:fldCharType="begin"/>
            </w:r>
            <w:r>
              <w:rPr>
                <w:noProof/>
                <w:webHidden/>
              </w:rPr>
              <w:instrText xml:space="preserve"> PAGEREF _Toc227862154 \h </w:instrText>
            </w:r>
            <w:r>
              <w:rPr>
                <w:noProof/>
                <w:webHidden/>
              </w:rPr>
            </w:r>
            <w:r>
              <w:rPr>
                <w:noProof/>
                <w:webHidden/>
              </w:rPr>
              <w:fldChar w:fldCharType="separate"/>
            </w:r>
            <w:r>
              <w:rPr>
                <w:noProof/>
                <w:webHidden/>
              </w:rPr>
              <w:t>16</w:t>
            </w:r>
            <w:r>
              <w:rPr>
                <w:noProof/>
                <w:webHidden/>
              </w:rPr>
              <w:fldChar w:fldCharType="end"/>
            </w:r>
          </w:hyperlink>
        </w:p>
        <w:p w14:paraId="47DDE138" w14:textId="18F363A9" w:rsidR="009513B0" w:rsidRDefault="009513B0">
          <w:pPr>
            <w:pStyle w:val="TOC2"/>
            <w:tabs>
              <w:tab w:val="right" w:leader="dot" w:pos="9016"/>
            </w:tabs>
            <w:rPr>
              <w:rFonts w:eastAsiaTheme="minorEastAsia"/>
              <w:noProof/>
              <w:lang w:eastAsia="en-IN"/>
            </w:rPr>
          </w:pPr>
          <w:hyperlink w:anchor="_Toc227862155" w:history="1">
            <w:r w:rsidRPr="00157D14">
              <w:rPr>
                <w:rStyle w:val="Hyperlink"/>
                <w:noProof/>
                <w:lang w:val="en-US"/>
              </w:rPr>
              <w:t>3.3 Positioning</w:t>
            </w:r>
            <w:r>
              <w:rPr>
                <w:noProof/>
                <w:webHidden/>
              </w:rPr>
              <w:tab/>
            </w:r>
            <w:r>
              <w:rPr>
                <w:noProof/>
                <w:webHidden/>
              </w:rPr>
              <w:fldChar w:fldCharType="begin"/>
            </w:r>
            <w:r>
              <w:rPr>
                <w:noProof/>
                <w:webHidden/>
              </w:rPr>
              <w:instrText xml:space="preserve"> PAGEREF _Toc227862155 \h </w:instrText>
            </w:r>
            <w:r>
              <w:rPr>
                <w:noProof/>
                <w:webHidden/>
              </w:rPr>
            </w:r>
            <w:r>
              <w:rPr>
                <w:noProof/>
                <w:webHidden/>
              </w:rPr>
              <w:fldChar w:fldCharType="separate"/>
            </w:r>
            <w:r>
              <w:rPr>
                <w:noProof/>
                <w:webHidden/>
              </w:rPr>
              <w:t>16</w:t>
            </w:r>
            <w:r>
              <w:rPr>
                <w:noProof/>
                <w:webHidden/>
              </w:rPr>
              <w:fldChar w:fldCharType="end"/>
            </w:r>
          </w:hyperlink>
        </w:p>
        <w:p w14:paraId="26160F57" w14:textId="434B4C14" w:rsidR="009513B0" w:rsidRDefault="009513B0">
          <w:pPr>
            <w:pStyle w:val="TOC2"/>
            <w:tabs>
              <w:tab w:val="right" w:leader="dot" w:pos="9016"/>
            </w:tabs>
            <w:rPr>
              <w:rFonts w:eastAsiaTheme="minorEastAsia"/>
              <w:noProof/>
              <w:lang w:eastAsia="en-IN"/>
            </w:rPr>
          </w:pPr>
          <w:hyperlink w:anchor="_Toc227862156" w:history="1">
            <w:r w:rsidRPr="00157D14">
              <w:rPr>
                <w:rStyle w:val="Hyperlink"/>
                <w:noProof/>
              </w:rPr>
              <w:t>4.0 Marketing mix in the United States and India</w:t>
            </w:r>
            <w:r>
              <w:rPr>
                <w:noProof/>
                <w:webHidden/>
              </w:rPr>
              <w:tab/>
            </w:r>
            <w:r>
              <w:rPr>
                <w:noProof/>
                <w:webHidden/>
              </w:rPr>
              <w:fldChar w:fldCharType="begin"/>
            </w:r>
            <w:r>
              <w:rPr>
                <w:noProof/>
                <w:webHidden/>
              </w:rPr>
              <w:instrText xml:space="preserve"> PAGEREF _Toc227862156 \h </w:instrText>
            </w:r>
            <w:r>
              <w:rPr>
                <w:noProof/>
                <w:webHidden/>
              </w:rPr>
            </w:r>
            <w:r>
              <w:rPr>
                <w:noProof/>
                <w:webHidden/>
              </w:rPr>
              <w:fldChar w:fldCharType="separate"/>
            </w:r>
            <w:r>
              <w:rPr>
                <w:noProof/>
                <w:webHidden/>
              </w:rPr>
              <w:t>18</w:t>
            </w:r>
            <w:r>
              <w:rPr>
                <w:noProof/>
                <w:webHidden/>
              </w:rPr>
              <w:fldChar w:fldCharType="end"/>
            </w:r>
          </w:hyperlink>
        </w:p>
        <w:p w14:paraId="375748F5" w14:textId="69A5711A" w:rsidR="009513B0" w:rsidRDefault="009513B0">
          <w:pPr>
            <w:pStyle w:val="TOC2"/>
            <w:tabs>
              <w:tab w:val="right" w:leader="dot" w:pos="9016"/>
            </w:tabs>
            <w:rPr>
              <w:rFonts w:eastAsiaTheme="minorEastAsia"/>
              <w:noProof/>
              <w:lang w:eastAsia="en-IN"/>
            </w:rPr>
          </w:pPr>
          <w:hyperlink w:anchor="_Toc227862157" w:history="1">
            <w:r w:rsidRPr="00157D14">
              <w:rPr>
                <w:rStyle w:val="Hyperlink"/>
                <w:noProof/>
              </w:rPr>
              <w:t>6.0 USA growth strategy, ethical evaluation, and recommendations</w:t>
            </w:r>
            <w:r>
              <w:rPr>
                <w:noProof/>
                <w:webHidden/>
              </w:rPr>
              <w:tab/>
            </w:r>
            <w:r>
              <w:rPr>
                <w:noProof/>
                <w:webHidden/>
              </w:rPr>
              <w:fldChar w:fldCharType="begin"/>
            </w:r>
            <w:r>
              <w:rPr>
                <w:noProof/>
                <w:webHidden/>
              </w:rPr>
              <w:instrText xml:space="preserve"> PAGEREF _Toc227862157 \h </w:instrText>
            </w:r>
            <w:r>
              <w:rPr>
                <w:noProof/>
                <w:webHidden/>
              </w:rPr>
            </w:r>
            <w:r>
              <w:rPr>
                <w:noProof/>
                <w:webHidden/>
              </w:rPr>
              <w:fldChar w:fldCharType="separate"/>
            </w:r>
            <w:r>
              <w:rPr>
                <w:noProof/>
                <w:webHidden/>
              </w:rPr>
              <w:t>21</w:t>
            </w:r>
            <w:r>
              <w:rPr>
                <w:noProof/>
                <w:webHidden/>
              </w:rPr>
              <w:fldChar w:fldCharType="end"/>
            </w:r>
          </w:hyperlink>
        </w:p>
        <w:p w14:paraId="2A96BC5E" w14:textId="557A7FEE" w:rsidR="009513B0" w:rsidRDefault="009513B0">
          <w:pPr>
            <w:pStyle w:val="TOC2"/>
            <w:tabs>
              <w:tab w:val="right" w:leader="dot" w:pos="9016"/>
            </w:tabs>
            <w:rPr>
              <w:rFonts w:eastAsiaTheme="minorEastAsia"/>
              <w:noProof/>
              <w:lang w:eastAsia="en-IN"/>
            </w:rPr>
          </w:pPr>
          <w:hyperlink w:anchor="_Toc227862158" w:history="1">
            <w:r w:rsidRPr="00157D14">
              <w:rPr>
                <w:rStyle w:val="Hyperlink"/>
                <w:noProof/>
                <w:lang w:val="en-US"/>
              </w:rPr>
              <w:t>6.1 Ethical and contested marketing-mix issues in the USA</w:t>
            </w:r>
            <w:r>
              <w:rPr>
                <w:noProof/>
                <w:webHidden/>
              </w:rPr>
              <w:tab/>
            </w:r>
            <w:r>
              <w:rPr>
                <w:noProof/>
                <w:webHidden/>
              </w:rPr>
              <w:fldChar w:fldCharType="begin"/>
            </w:r>
            <w:r>
              <w:rPr>
                <w:noProof/>
                <w:webHidden/>
              </w:rPr>
              <w:instrText xml:space="preserve"> PAGEREF _Toc227862158 \h </w:instrText>
            </w:r>
            <w:r>
              <w:rPr>
                <w:noProof/>
                <w:webHidden/>
              </w:rPr>
            </w:r>
            <w:r>
              <w:rPr>
                <w:noProof/>
                <w:webHidden/>
              </w:rPr>
              <w:fldChar w:fldCharType="separate"/>
            </w:r>
            <w:r>
              <w:rPr>
                <w:noProof/>
                <w:webHidden/>
              </w:rPr>
              <w:t>22</w:t>
            </w:r>
            <w:r>
              <w:rPr>
                <w:noProof/>
                <w:webHidden/>
              </w:rPr>
              <w:fldChar w:fldCharType="end"/>
            </w:r>
          </w:hyperlink>
        </w:p>
        <w:p w14:paraId="73C5220F" w14:textId="7C669078" w:rsidR="009513B0" w:rsidRDefault="009513B0">
          <w:pPr>
            <w:pStyle w:val="TOC3"/>
            <w:tabs>
              <w:tab w:val="right" w:leader="dot" w:pos="9016"/>
            </w:tabs>
            <w:rPr>
              <w:rFonts w:eastAsiaTheme="minorEastAsia"/>
              <w:noProof/>
              <w:lang w:eastAsia="en-IN"/>
            </w:rPr>
          </w:pPr>
          <w:hyperlink w:anchor="_Toc227862159" w:history="1">
            <w:r w:rsidRPr="00157D14">
              <w:rPr>
                <w:rStyle w:val="Hyperlink"/>
                <w:rFonts w:ascii="Times New Roman" w:eastAsia="Times New Roman" w:hAnsi="Times New Roman" w:cs="Times New Roman"/>
                <w:b/>
                <w:bCs/>
                <w:noProof/>
                <w:kern w:val="0"/>
                <w:lang w:eastAsia="en-IN"/>
                <w14:ligatures w14:val="none"/>
              </w:rPr>
              <w:t>Table 2.1: Virtue Ethics and Marketing</w:t>
            </w:r>
            <w:r>
              <w:rPr>
                <w:noProof/>
                <w:webHidden/>
              </w:rPr>
              <w:tab/>
            </w:r>
            <w:r>
              <w:rPr>
                <w:noProof/>
                <w:webHidden/>
              </w:rPr>
              <w:fldChar w:fldCharType="begin"/>
            </w:r>
            <w:r>
              <w:rPr>
                <w:noProof/>
                <w:webHidden/>
              </w:rPr>
              <w:instrText xml:space="preserve"> PAGEREF _Toc227862159 \h </w:instrText>
            </w:r>
            <w:r>
              <w:rPr>
                <w:noProof/>
                <w:webHidden/>
              </w:rPr>
            </w:r>
            <w:r>
              <w:rPr>
                <w:noProof/>
                <w:webHidden/>
              </w:rPr>
              <w:fldChar w:fldCharType="separate"/>
            </w:r>
            <w:r>
              <w:rPr>
                <w:noProof/>
                <w:webHidden/>
              </w:rPr>
              <w:t>22</w:t>
            </w:r>
            <w:r>
              <w:rPr>
                <w:noProof/>
                <w:webHidden/>
              </w:rPr>
              <w:fldChar w:fldCharType="end"/>
            </w:r>
          </w:hyperlink>
        </w:p>
        <w:p w14:paraId="6CB89754" w14:textId="6465D8C4" w:rsidR="009513B0" w:rsidRDefault="009513B0">
          <w:pPr>
            <w:pStyle w:val="TOC2"/>
            <w:tabs>
              <w:tab w:val="right" w:leader="dot" w:pos="9016"/>
            </w:tabs>
            <w:rPr>
              <w:rFonts w:eastAsiaTheme="minorEastAsia"/>
              <w:noProof/>
              <w:lang w:eastAsia="en-IN"/>
            </w:rPr>
          </w:pPr>
          <w:hyperlink w:anchor="_Toc227862160" w:history="1">
            <w:r w:rsidRPr="00157D14">
              <w:rPr>
                <w:rStyle w:val="Hyperlink"/>
                <w:noProof/>
                <w:lang w:val="en-US"/>
              </w:rPr>
              <w:t>6.2 Recommendations for STP and marketing mix</w:t>
            </w:r>
            <w:r>
              <w:rPr>
                <w:noProof/>
                <w:webHidden/>
              </w:rPr>
              <w:tab/>
            </w:r>
            <w:r>
              <w:rPr>
                <w:noProof/>
                <w:webHidden/>
              </w:rPr>
              <w:fldChar w:fldCharType="begin"/>
            </w:r>
            <w:r>
              <w:rPr>
                <w:noProof/>
                <w:webHidden/>
              </w:rPr>
              <w:instrText xml:space="preserve"> PAGEREF _Toc227862160 \h </w:instrText>
            </w:r>
            <w:r>
              <w:rPr>
                <w:noProof/>
                <w:webHidden/>
              </w:rPr>
            </w:r>
            <w:r>
              <w:rPr>
                <w:noProof/>
                <w:webHidden/>
              </w:rPr>
              <w:fldChar w:fldCharType="separate"/>
            </w:r>
            <w:r>
              <w:rPr>
                <w:noProof/>
                <w:webHidden/>
              </w:rPr>
              <w:t>23</w:t>
            </w:r>
            <w:r>
              <w:rPr>
                <w:noProof/>
                <w:webHidden/>
              </w:rPr>
              <w:fldChar w:fldCharType="end"/>
            </w:r>
          </w:hyperlink>
        </w:p>
        <w:p w14:paraId="0092515A" w14:textId="6ED5F04A" w:rsidR="009513B0" w:rsidRDefault="009513B0">
          <w:pPr>
            <w:pStyle w:val="TOC2"/>
            <w:tabs>
              <w:tab w:val="right" w:leader="dot" w:pos="9016"/>
            </w:tabs>
            <w:rPr>
              <w:rFonts w:eastAsiaTheme="minorEastAsia"/>
              <w:noProof/>
              <w:lang w:eastAsia="en-IN"/>
            </w:rPr>
          </w:pPr>
          <w:hyperlink w:anchor="_Toc227862161" w:history="1">
            <w:r w:rsidRPr="00157D14">
              <w:rPr>
                <w:rStyle w:val="Hyperlink"/>
                <w:noProof/>
                <w:lang w:val="en-US"/>
              </w:rPr>
              <w:t>7.0 Conclusion</w:t>
            </w:r>
            <w:r>
              <w:rPr>
                <w:noProof/>
                <w:webHidden/>
              </w:rPr>
              <w:tab/>
            </w:r>
            <w:r>
              <w:rPr>
                <w:noProof/>
                <w:webHidden/>
              </w:rPr>
              <w:fldChar w:fldCharType="begin"/>
            </w:r>
            <w:r>
              <w:rPr>
                <w:noProof/>
                <w:webHidden/>
              </w:rPr>
              <w:instrText xml:space="preserve"> PAGEREF _Toc227862161 \h </w:instrText>
            </w:r>
            <w:r>
              <w:rPr>
                <w:noProof/>
                <w:webHidden/>
              </w:rPr>
            </w:r>
            <w:r>
              <w:rPr>
                <w:noProof/>
                <w:webHidden/>
              </w:rPr>
              <w:fldChar w:fldCharType="separate"/>
            </w:r>
            <w:r>
              <w:rPr>
                <w:noProof/>
                <w:webHidden/>
              </w:rPr>
              <w:t>25</w:t>
            </w:r>
            <w:r>
              <w:rPr>
                <w:noProof/>
                <w:webHidden/>
              </w:rPr>
              <w:fldChar w:fldCharType="end"/>
            </w:r>
          </w:hyperlink>
        </w:p>
        <w:p w14:paraId="0847A977" w14:textId="0B6A2B17" w:rsidR="009513B0" w:rsidRDefault="009513B0">
          <w:pPr>
            <w:pStyle w:val="TOC2"/>
            <w:tabs>
              <w:tab w:val="right" w:leader="dot" w:pos="9016"/>
            </w:tabs>
            <w:rPr>
              <w:rFonts w:eastAsiaTheme="minorEastAsia"/>
              <w:noProof/>
              <w:lang w:eastAsia="en-IN"/>
            </w:rPr>
          </w:pPr>
          <w:hyperlink w:anchor="_Toc227862162" w:history="1">
            <w:r w:rsidRPr="00157D14">
              <w:rPr>
                <w:rStyle w:val="Hyperlink"/>
                <w:noProof/>
                <w:lang w:val="en-US"/>
              </w:rPr>
              <w:t>8.0 Open questions and limitations</w:t>
            </w:r>
            <w:r>
              <w:rPr>
                <w:noProof/>
                <w:webHidden/>
              </w:rPr>
              <w:tab/>
            </w:r>
            <w:r>
              <w:rPr>
                <w:noProof/>
                <w:webHidden/>
              </w:rPr>
              <w:fldChar w:fldCharType="begin"/>
            </w:r>
            <w:r>
              <w:rPr>
                <w:noProof/>
                <w:webHidden/>
              </w:rPr>
              <w:instrText xml:space="preserve"> PAGEREF _Toc227862162 \h </w:instrText>
            </w:r>
            <w:r>
              <w:rPr>
                <w:noProof/>
                <w:webHidden/>
              </w:rPr>
            </w:r>
            <w:r>
              <w:rPr>
                <w:noProof/>
                <w:webHidden/>
              </w:rPr>
              <w:fldChar w:fldCharType="separate"/>
            </w:r>
            <w:r>
              <w:rPr>
                <w:noProof/>
                <w:webHidden/>
              </w:rPr>
              <w:t>25</w:t>
            </w:r>
            <w:r>
              <w:rPr>
                <w:noProof/>
                <w:webHidden/>
              </w:rPr>
              <w:fldChar w:fldCharType="end"/>
            </w:r>
          </w:hyperlink>
        </w:p>
        <w:p w14:paraId="403CDD73" w14:textId="41979D14" w:rsidR="009513B0" w:rsidRDefault="009513B0">
          <w:pPr>
            <w:pStyle w:val="TOC2"/>
            <w:tabs>
              <w:tab w:val="right" w:leader="dot" w:pos="9016"/>
            </w:tabs>
            <w:rPr>
              <w:rFonts w:eastAsiaTheme="minorEastAsia"/>
              <w:noProof/>
              <w:lang w:eastAsia="en-IN"/>
            </w:rPr>
          </w:pPr>
          <w:hyperlink w:anchor="_Toc227862163" w:history="1">
            <w:r w:rsidRPr="00157D14">
              <w:rPr>
                <w:rStyle w:val="Hyperlink"/>
                <w:noProof/>
                <w:lang w:val="en-US"/>
              </w:rPr>
              <w:t>References</w:t>
            </w:r>
            <w:r>
              <w:rPr>
                <w:noProof/>
                <w:webHidden/>
              </w:rPr>
              <w:tab/>
            </w:r>
            <w:r>
              <w:rPr>
                <w:noProof/>
                <w:webHidden/>
              </w:rPr>
              <w:fldChar w:fldCharType="begin"/>
            </w:r>
            <w:r>
              <w:rPr>
                <w:noProof/>
                <w:webHidden/>
              </w:rPr>
              <w:instrText xml:space="preserve"> PAGEREF _Toc227862163 \h </w:instrText>
            </w:r>
            <w:r>
              <w:rPr>
                <w:noProof/>
                <w:webHidden/>
              </w:rPr>
            </w:r>
            <w:r>
              <w:rPr>
                <w:noProof/>
                <w:webHidden/>
              </w:rPr>
              <w:fldChar w:fldCharType="separate"/>
            </w:r>
            <w:r>
              <w:rPr>
                <w:noProof/>
                <w:webHidden/>
              </w:rPr>
              <w:t>26</w:t>
            </w:r>
            <w:r>
              <w:rPr>
                <w:noProof/>
                <w:webHidden/>
              </w:rPr>
              <w:fldChar w:fldCharType="end"/>
            </w:r>
          </w:hyperlink>
        </w:p>
        <w:p w14:paraId="4D06ED78" w14:textId="3D771794" w:rsidR="001E2139" w:rsidRDefault="009513B0" w:rsidP="0044730B">
          <w:pPr>
            <w:sectPr w:rsidR="001E2139">
              <w:pgSz w:w="11906" w:h="16838"/>
              <w:pgMar w:top="1440" w:right="1440" w:bottom="1440" w:left="1440" w:header="708" w:footer="708" w:gutter="0"/>
              <w:cols w:space="708"/>
              <w:docGrid w:linePitch="360"/>
            </w:sectPr>
          </w:pPr>
          <w:r>
            <w:rPr>
              <w:b/>
              <w:bCs/>
              <w:noProof/>
            </w:rPr>
            <w:fldChar w:fldCharType="end"/>
          </w:r>
        </w:p>
      </w:sdtContent>
    </w:sdt>
    <w:p w14:paraId="727768C1" w14:textId="339FEF2A" w:rsidR="00646318" w:rsidRPr="00646318" w:rsidRDefault="00646318" w:rsidP="00646318">
      <w:pPr>
        <w:pStyle w:val="Heading1"/>
      </w:pPr>
      <w:bookmarkStart w:id="0" w:name="_Toc227862142"/>
      <w:r w:rsidRPr="00646318">
        <w:lastRenderedPageBreak/>
        <w:drawing>
          <wp:inline distT="0" distB="0" distL="0" distR="0" wp14:anchorId="3CD92BF0" wp14:editId="5D9EE40F">
            <wp:extent cx="5731510" cy="2661285"/>
            <wp:effectExtent l="0" t="0" r="2540" b="5715"/>
            <wp:docPr id="1780308731"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661285"/>
                    </a:xfrm>
                    <a:prstGeom prst="rect">
                      <a:avLst/>
                    </a:prstGeom>
                    <a:noFill/>
                    <a:ln>
                      <a:noFill/>
                    </a:ln>
                  </pic:spPr>
                </pic:pic>
              </a:graphicData>
            </a:graphic>
          </wp:inline>
        </w:drawing>
      </w:r>
      <w:bookmarkEnd w:id="0"/>
    </w:p>
    <w:p w14:paraId="7C8DF22D" w14:textId="59A5F690" w:rsidR="000C21E0" w:rsidRPr="000C21E0" w:rsidRDefault="000C21E0" w:rsidP="000C21E0">
      <w:pPr>
        <w:pStyle w:val="Heading1"/>
      </w:pPr>
      <w:bookmarkStart w:id="1" w:name="_Toc227862143"/>
      <w:r>
        <w:t>1.</w:t>
      </w:r>
      <w:r w:rsidR="00084C6D">
        <w:t>1</w:t>
      </w:r>
      <w:r>
        <w:t xml:space="preserve"> </w:t>
      </w:r>
      <w:r w:rsidRPr="000C21E0">
        <w:t>Introduction</w:t>
      </w:r>
      <w:bookmarkEnd w:id="1"/>
    </w:p>
    <w:p w14:paraId="43B87AEF" w14:textId="77777777" w:rsidR="00084C6D" w:rsidRDefault="00084C6D" w:rsidP="00084C6D">
      <w:pPr>
        <w:pStyle w:val="princy"/>
      </w:pPr>
      <w:r>
        <w:t>One of the most recognisable luxury brands in the world, Louis Vuitton operates within the wider LVMH (Hofstede &amp; The Culture Factor, 2026). The business uses a product’s craft, heritage, selective distribution, and strict brand communication. This paper looks at Louis Vuitton in two very different country contexts. The United States has an extensive retail infrastructure that supports luxury consumers’ lifestyle with strong experiential expectation.  India has a far younger host market with fast evolving luxury consumers. Also, leisure retail infrastructure is not as developed as in the US. Luxury is still concentrated in a handful of metro cities, and is closely linked to aspiration symbolism and social display. The Louis Vuitton report describes a management of a delivery training report, in an accepted way.</w:t>
      </w:r>
    </w:p>
    <w:p w14:paraId="1750F732" w14:textId="77777777" w:rsidR="00084C6D" w:rsidRDefault="00084C6D" w:rsidP="00084C6D">
      <w:pPr>
        <w:pStyle w:val="princy"/>
      </w:pPr>
    </w:p>
    <w:p w14:paraId="182800E0" w14:textId="77777777" w:rsidR="00084C6D" w:rsidRDefault="00084C6D" w:rsidP="00084C6D">
      <w:pPr>
        <w:pStyle w:val="princy"/>
      </w:pPr>
      <w:r>
        <w:t>Establishment and Origin.</w:t>
      </w:r>
    </w:p>
    <w:p w14:paraId="51B63E55" w14:textId="77777777" w:rsidR="00084C6D" w:rsidRDefault="00084C6D" w:rsidP="00084C6D">
      <w:pPr>
        <w:pStyle w:val="princy"/>
      </w:pPr>
      <w:r>
        <w:t>Louis Vuitton’s mission and vision proxies include searching for originality, innovation, and quality, with a focus on aesthetics. It was used to design beautiful luggage for a wealthy class which had a wish for travel. The basic objective of the company was to manufacture luggage and travelling paraphernalia for the nobles and elites. Innovation was primarily for the purpose of quality and function. Nevertheless, Louis Vuitton’s style never faltered, as it was also in keeping with the luxurious lifestyles of his elite customers.</w:t>
      </w:r>
    </w:p>
    <w:p w14:paraId="57821C1E" w14:textId="77777777" w:rsidR="00084C6D" w:rsidRDefault="00084C6D" w:rsidP="00084C6D">
      <w:pPr>
        <w:pStyle w:val="princy"/>
      </w:pPr>
    </w:p>
    <w:p w14:paraId="57D092C6" w14:textId="779BAD23" w:rsidR="00646318" w:rsidRDefault="00084C6D" w:rsidP="00084C6D">
      <w:pPr>
        <w:pStyle w:val="princy"/>
      </w:pPr>
      <w:r>
        <w:t>The aim isn’t to describe Louis Vuitton, but rather to illustrate how a single luxury house generates and modifies brand meaning, targeting and execution in two countries where one market is large and saturated while the other is prestigious but structurally still developing.</w:t>
      </w:r>
    </w:p>
    <w:p w14:paraId="67C59418" w14:textId="3E82EAD0" w:rsidR="00084C6D" w:rsidRDefault="00084C6D" w:rsidP="00084C6D">
      <w:pPr>
        <w:pStyle w:val="Heading2"/>
      </w:pPr>
      <w:bookmarkStart w:id="2" w:name="_Toc227862144"/>
      <w:r>
        <w:t xml:space="preserve">1.2 </w:t>
      </w:r>
      <w:r>
        <w:t>Company background</w:t>
      </w:r>
      <w:bookmarkEnd w:id="2"/>
    </w:p>
    <w:p w14:paraId="11CF3359" w14:textId="77777777" w:rsidR="006F56B6" w:rsidRPr="006F56B6" w:rsidRDefault="006F56B6" w:rsidP="006F56B6">
      <w:pPr>
        <w:pStyle w:val="princy"/>
        <w:rPr>
          <w:lang w:val="en-US"/>
        </w:rPr>
      </w:pPr>
      <w:r w:rsidRPr="006F56B6">
        <w:rPr>
          <w:lang w:val="en-US"/>
        </w:rPr>
        <w:t>Louis Vuitton was founded in 1854 in Paris(Hofstede &amp; The Culture Factor, 2026) by the artisan Louis Vuitton, whose early reputation came from making high-quality trunks suited to the travel needs of nineteenth-century elites. The official heritage record shows that the House began with trunk-making, then expanded into a broader universe of leather goods, accessories, watches, jewellery, fragrance, publishing, home objects, and now beauty. Louis Vuitton’s global development sits within the broader LVMH structure formed in 1987, but the House itself is much older than the parent group. On mission and vision, there is an important academic and practical nuance: Louis Vuitton does not publish a classic stand-alone “mission statement” and “vision statement” in the simple corporate textbook format that many multinational firms use. The best public proxy for brand mission is LVMH’s formal group mission, “The Art of Crafting Dreams,” supported by values centred on creativity and innovation, excellence, entrepreneurial spirit, and positive impact. The best public proxy for Louis Vuitton’s long-term vision is its explicitly stated ambition to become “the first regenerative luxury brand,” which appears in the House’s 2023 environmental and social responsibility reporting. That combination is highly revealing. It suggests that Louis Vuitton’s strategic identity rests on three pillars: timeless luxury, selective innovation, and increasingly visible sustainability commitments. (Louis Vuitton, 2026)</w:t>
      </w:r>
    </w:p>
    <w:p w14:paraId="54F18EDC" w14:textId="77777777" w:rsidR="006F56B6" w:rsidRDefault="006F56B6" w:rsidP="006F56B6">
      <w:pPr>
        <w:pStyle w:val="princy"/>
        <w:rPr>
          <w:lang w:val="en-US"/>
        </w:rPr>
      </w:pPr>
      <w:r w:rsidRPr="006F56B6">
        <w:rPr>
          <w:lang w:val="en-US"/>
        </w:rPr>
        <w:t xml:space="preserve">The brand’s internationalisation also matters for understanding its country strategy. Official heritage material states that after opening its first international store in London in 1885, the House quickly expanded to New York and Philadelphia, which means that Louis Vuitton’s documented entry into the United States dates back to the late nineteenth century, even if the official site does not separately specify the exact first-boutique opening year for New York in the way it does for some later markets. India is much newer in retail terms. LVMH’s 2003 annual reporting states that Louis Vuitton established a presence in India for the first time in New Delhi that year, and </w:t>
      </w:r>
      <w:r w:rsidRPr="006F56B6">
        <w:rPr>
          <w:lang w:val="en-US"/>
        </w:rPr>
        <w:lastRenderedPageBreak/>
        <w:t>contemporary trade coverage reported that the first Indian outlet opened in March 2003. By 2004, a second store had opened in Mumbai. Today, the official India store locator shows a much smaller but still symbolic network concentrated in three metropolitan locations: New Delhi(Louis Vuitton, 2025), Mumbai(Louis Vuitton, 2026), and Bangalore. In contrast, the United States store network is far larger and now includes Louis Vuitton’s high-profile 57th Street retail landmark in New York City(Louis Vuitton, 2025), complete with a café and chocolatier, which underlines how much more experiential and category-deep the American market has become for the House. In short, Louis Vuitton entered the United States as part of its historic westward luxury expansion, but entered India as a deliberate twenty-first-century emerging-market play. That difference still shapes everything from store density to product breadth and symbolic positioning. (Louis Vuitton, 2026)</w:t>
      </w:r>
    </w:p>
    <w:p w14:paraId="40C2507B" w14:textId="13B457F7" w:rsidR="00646318" w:rsidRPr="00646318" w:rsidRDefault="00646318" w:rsidP="00646318">
      <w:pPr>
        <w:pStyle w:val="princy"/>
      </w:pPr>
      <w:r w:rsidRPr="00646318">
        <w:drawing>
          <wp:inline distT="0" distB="0" distL="0" distR="0" wp14:anchorId="57A3C4D0" wp14:editId="05E094AD">
            <wp:extent cx="5731510" cy="3820795"/>
            <wp:effectExtent l="0" t="0" r="2540" b="8255"/>
            <wp:docPr id="242115517"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5CC4578F" w14:textId="77777777" w:rsidR="00646318" w:rsidRDefault="00646318" w:rsidP="006F56B6">
      <w:pPr>
        <w:pStyle w:val="princy"/>
        <w:rPr>
          <w:lang w:val="en-US"/>
        </w:rPr>
      </w:pPr>
    </w:p>
    <w:p w14:paraId="04637649" w14:textId="2C810026" w:rsidR="00646318" w:rsidRPr="00646318" w:rsidRDefault="00646318" w:rsidP="00646318">
      <w:pPr>
        <w:pStyle w:val="princy"/>
      </w:pPr>
      <w:r w:rsidRPr="00646318">
        <w:lastRenderedPageBreak/>
        <w:drawing>
          <wp:inline distT="0" distB="0" distL="0" distR="0" wp14:anchorId="16B6F862" wp14:editId="702091A9">
            <wp:extent cx="5731510" cy="8597265"/>
            <wp:effectExtent l="0" t="0" r="2540" b="0"/>
            <wp:docPr id="89445632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8597265"/>
                    </a:xfrm>
                    <a:prstGeom prst="rect">
                      <a:avLst/>
                    </a:prstGeom>
                    <a:noFill/>
                    <a:ln>
                      <a:noFill/>
                    </a:ln>
                  </pic:spPr>
                </pic:pic>
              </a:graphicData>
            </a:graphic>
          </wp:inline>
        </w:drawing>
      </w:r>
    </w:p>
    <w:p w14:paraId="10EA04D8" w14:textId="77777777" w:rsidR="00646318" w:rsidRPr="006F56B6" w:rsidRDefault="00646318" w:rsidP="006F56B6">
      <w:pPr>
        <w:pStyle w:val="princy"/>
        <w:rPr>
          <w:lang w:val="en-US"/>
        </w:rPr>
      </w:pPr>
    </w:p>
    <w:p w14:paraId="6C5EDB28" w14:textId="2AF03732" w:rsidR="006F56B6" w:rsidRDefault="006F56B6" w:rsidP="006F56B6">
      <w:pPr>
        <w:pStyle w:val="Heading2"/>
      </w:pPr>
      <w:bookmarkStart w:id="3" w:name="_Toc227862145"/>
      <w:r>
        <w:t xml:space="preserve">2.0 </w:t>
      </w:r>
      <w:r w:rsidRPr="006F56B6">
        <w:t>Macro environment and culture</w:t>
      </w:r>
      <w:bookmarkEnd w:id="3"/>
    </w:p>
    <w:p w14:paraId="17DB9667" w14:textId="77777777" w:rsidR="006F56B6" w:rsidRDefault="006F56B6" w:rsidP="006F56B6">
      <w:pPr>
        <w:pStyle w:val="princy"/>
      </w:pPr>
      <w:r>
        <w:t>In international marketing, the macro environment can be understood as the set of external forces that sit outside managerial control but directly shape demand, regulation, channel design, communication choices, and profitability. For Louis Vuitton, these forces are especially powerful because luxury demand is never driven by product utility alone. It is also shaped by taxation, social values, wealth creation, counterfeiting risk, sustainability expectations, and cultural readings of status.</w:t>
      </w:r>
    </w:p>
    <w:p w14:paraId="028DA733" w14:textId="047A4674" w:rsidR="006F56B6" w:rsidRPr="006F56B6" w:rsidRDefault="0063774F" w:rsidP="0063774F">
      <w:pPr>
        <w:pStyle w:val="Heading2"/>
      </w:pPr>
      <w:bookmarkStart w:id="4" w:name="_Toc227862146"/>
      <w:r>
        <w:t xml:space="preserve">2.1 </w:t>
      </w:r>
      <w:r w:rsidR="006F56B6" w:rsidRPr="006F56B6">
        <w:t>PESTEL comparison</w:t>
      </w:r>
      <w:bookmarkEnd w:id="4"/>
    </w:p>
    <w:p w14:paraId="0F53FA9D" w14:textId="77777777" w:rsidR="006F56B6" w:rsidRPr="0063774F" w:rsidRDefault="006F56B6" w:rsidP="0063774F">
      <w:pPr>
        <w:pStyle w:val="princy"/>
      </w:pPr>
      <w:r w:rsidRPr="0063774F">
        <w:t>Figure: Macro-environment frame for Louis Vuitton</w:t>
      </w:r>
    </w:p>
    <w:p w14:paraId="23C21D86" w14:textId="3E433EA4" w:rsidR="006F56B6" w:rsidRDefault="006F56B6" w:rsidP="0063774F">
      <w:pPr>
        <w:pStyle w:val="princy"/>
      </w:pPr>
      <w:r w:rsidRPr="0063774F">
        <w:t>Macro</w:t>
      </w:r>
      <w:r w:rsidR="0063774F">
        <w:t>-</w:t>
      </w:r>
      <w:r w:rsidRPr="0063774F">
        <w:t>environment</w:t>
      </w:r>
      <w:r w:rsidRPr="0063774F">
        <w:br/>
        <w:t>→ Political</w:t>
      </w:r>
      <w:r w:rsidRPr="0063774F">
        <w:br/>
        <w:t>→ Economic</w:t>
      </w:r>
      <w:r w:rsidRPr="0063774F">
        <w:br/>
        <w:t>→ Social</w:t>
      </w:r>
      <w:r w:rsidRPr="0063774F">
        <w:br/>
        <w:t>→ Cultural</w:t>
      </w:r>
      <w:r w:rsidRPr="0063774F">
        <w:br/>
        <w:t>→ Technological</w:t>
      </w:r>
      <w:r w:rsidRPr="0063774F">
        <w:br/>
        <w:t>→ Environmental</w:t>
      </w:r>
      <w:r w:rsidRPr="0063774F">
        <w:br/>
        <w:t>→ Legal</w:t>
      </w:r>
      <w:r w:rsidRPr="0063774F">
        <w:br/>
        <w:t>→ Marketing implications for assortment, pricing, communication, retail format, and customer service</w:t>
      </w:r>
    </w:p>
    <w:p w14:paraId="54B47C09" w14:textId="77777777" w:rsidR="0063774F" w:rsidRPr="0063774F" w:rsidRDefault="0063774F" w:rsidP="0063774F">
      <w:pPr>
        <w:pStyle w:val="princy"/>
        <w:rPr>
          <w:b/>
          <w:bCs/>
        </w:rPr>
      </w:pPr>
      <w:r w:rsidRPr="0063774F">
        <w:rPr>
          <w:b/>
          <w:bCs/>
        </w:rPr>
        <w:t>Country-level PESTEL matrix</w:t>
      </w:r>
    </w:p>
    <w:p w14:paraId="444231B1" w14:textId="77777777" w:rsidR="0063774F" w:rsidRPr="0063774F" w:rsidRDefault="0063774F" w:rsidP="0063774F">
      <w:pPr>
        <w:pStyle w:val="princy"/>
      </w:pPr>
    </w:p>
    <w:tbl>
      <w:tblPr>
        <w:tblW w:w="9360"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1246"/>
        <w:gridCol w:w="4138"/>
        <w:gridCol w:w="3976"/>
      </w:tblGrid>
      <w:tr w:rsidR="0063774F" w:rsidRPr="0063774F" w14:paraId="1EEF50E1" w14:textId="77777777">
        <w:trPr>
          <w:tblHeader/>
        </w:trPr>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45529914" w14:textId="77777777" w:rsidR="0063774F" w:rsidRPr="0063774F" w:rsidRDefault="0063774F" w:rsidP="0063774F">
            <w:pPr>
              <w:spacing w:after="0" w:line="240" w:lineRule="auto"/>
              <w:rPr>
                <w:rFonts w:ascii="Segoe UI" w:eastAsia="Times New Roman" w:hAnsi="Segoe UI" w:cs="Segoe UI"/>
                <w:b/>
                <w:bCs/>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lang w:eastAsia="en-IN"/>
                <w14:ligatures w14:val="none"/>
              </w:rPr>
              <w:t>Factor</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0CC75C6D" w14:textId="77777777" w:rsidR="0063774F" w:rsidRPr="0063774F" w:rsidRDefault="0063774F" w:rsidP="0063774F">
            <w:pPr>
              <w:spacing w:after="0" w:line="240" w:lineRule="auto"/>
              <w:rPr>
                <w:rFonts w:ascii="Segoe UI" w:eastAsia="Times New Roman" w:hAnsi="Segoe UI" w:cs="Segoe UI"/>
                <w:b/>
                <w:bCs/>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lang w:eastAsia="en-IN"/>
                <w14:ligatures w14:val="none"/>
              </w:rPr>
              <w:t>USA</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57317200" w14:textId="77777777" w:rsidR="0063774F" w:rsidRPr="0063774F" w:rsidRDefault="0063774F" w:rsidP="0063774F">
            <w:pPr>
              <w:spacing w:after="0" w:line="240" w:lineRule="auto"/>
              <w:rPr>
                <w:rFonts w:ascii="Segoe UI" w:eastAsia="Times New Roman" w:hAnsi="Segoe UI" w:cs="Segoe UI"/>
                <w:b/>
                <w:bCs/>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lang w:eastAsia="en-IN"/>
                <w14:ligatures w14:val="none"/>
              </w:rPr>
              <w:t>India</w:t>
            </w:r>
          </w:p>
        </w:tc>
      </w:tr>
      <w:tr w:rsidR="0063774F" w:rsidRPr="0063774F" w14:paraId="35A8946E"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DFE8A46"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Political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90B84A9"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stable institutions and predictable commercial enforcement.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high scrutiny of corporate claims and rising trade-policy uncertainty.</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9ED0A15"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100% FDI is allowed in single-brand retail under the automatic route.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policy complexity, customs burdens, and periodic trade-policy shifts increase execution risk.</w:t>
            </w:r>
          </w:p>
        </w:tc>
      </w:tr>
      <w:tr w:rsidR="0063774F" w:rsidRPr="0063774F" w14:paraId="71A50775"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F5320C5"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Economic</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31CF31E"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enormous nominal GDP and mature luxury spending base.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slower growth and softer entry-luxury spending.</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8A79FAA"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faster GDP growth, rising affluent households, and growing metro wealth.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smaller absolute luxury base and higher price sensitivity outside elite segments.</w:t>
            </w:r>
          </w:p>
        </w:tc>
      </w:tr>
      <w:tr w:rsidR="0063774F" w:rsidRPr="0063774F" w14:paraId="10E96013"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31C1760"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Social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7B9B217"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xml:space="preserve"> strong appetite for self-expression, collectability, and experiential </w:t>
            </w:r>
            <w:r w:rsidRPr="0063774F">
              <w:rPr>
                <w:rFonts w:ascii="Segoe UI" w:eastAsia="Times New Roman" w:hAnsi="Segoe UI" w:cs="Segoe UI"/>
                <w:color w:val="0D0D0D"/>
                <w:spacing w:val="-2"/>
                <w:kern w:val="0"/>
                <w:sz w:val="20"/>
                <w:szCs w:val="20"/>
                <w:lang w:eastAsia="en-IN"/>
                <w14:ligatures w14:val="none"/>
              </w:rPr>
              <w:lastRenderedPageBreak/>
              <w:t>luxury.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brand fatigue and greater expectation of relevance, not just logo power.</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9F1EBA1"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lastRenderedPageBreak/>
              <w:t>Favourable:</w:t>
            </w:r>
            <w:r w:rsidRPr="0063774F">
              <w:rPr>
                <w:rFonts w:ascii="Segoe UI" w:eastAsia="Times New Roman" w:hAnsi="Segoe UI" w:cs="Segoe UI"/>
                <w:color w:val="0D0D0D"/>
                <w:spacing w:val="-2"/>
                <w:kern w:val="0"/>
                <w:sz w:val="20"/>
                <w:szCs w:val="20"/>
                <w:lang w:eastAsia="en-IN"/>
                <w14:ligatures w14:val="none"/>
              </w:rPr>
              <w:t xml:space="preserve"> aspiration, gift culture, wedding demand, and status signalling support visible </w:t>
            </w:r>
            <w:r w:rsidRPr="0063774F">
              <w:rPr>
                <w:rFonts w:ascii="Segoe UI" w:eastAsia="Times New Roman" w:hAnsi="Segoe UI" w:cs="Segoe UI"/>
                <w:color w:val="0D0D0D"/>
                <w:spacing w:val="-2"/>
                <w:kern w:val="0"/>
                <w:sz w:val="20"/>
                <w:szCs w:val="20"/>
                <w:lang w:eastAsia="en-IN"/>
                <w14:ligatures w14:val="none"/>
              </w:rPr>
              <w:lastRenderedPageBreak/>
              <w:t>luxury.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luxury remains socially concentrated and less routine in everyday consumption.</w:t>
            </w:r>
          </w:p>
        </w:tc>
      </w:tr>
      <w:tr w:rsidR="0063774F" w:rsidRPr="0063774F" w14:paraId="5AD2BFA2"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417718C"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Cultural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26BEDFC"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individualism supports personal style, category extension, and beauty.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low deference means overt status cues can feel too obvious for some consumers.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195CC7E"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higher power distance and strong status display make luxury symbolism powerful.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restraint and collectivist influences can slow spontaneous indulgence.</w:t>
            </w:r>
          </w:p>
        </w:tc>
      </w:tr>
      <w:tr w:rsidR="0063774F" w:rsidRPr="0063774F" w14:paraId="4C494ACB"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20E9D17"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Technological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5AD6321"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advanced omnichannel retail, virtual try-on, and experiential service innovation.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greater digital comparison and faster trend turnover.</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7C0D8C8"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mobile-first affluent consumers and digital reach into metro and tier-one markets.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online luxury still depends heavily on trust, service reassurance, and physical validation.</w:t>
            </w:r>
          </w:p>
        </w:tc>
      </w:tr>
      <w:tr w:rsidR="0063774F" w:rsidRPr="0063774F" w14:paraId="770696DB"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2C73B4B"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Environmental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203A7527"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sustainability can deepen premium storytelling when evidenced.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green claims face growing scepticism.</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DAD28E3"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responsible sourcing can strengthen prestige with younger affluent consumers.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imported luxury is vulnerable to criticism on footprint and elitism.</w:t>
            </w:r>
          </w:p>
        </w:tc>
      </w:tr>
      <w:tr w:rsidR="0063774F" w:rsidRPr="0063774F" w14:paraId="592B17BB"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2D63C47"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color w:val="0D0D0D"/>
                <w:spacing w:val="-2"/>
                <w:kern w:val="0"/>
                <w:sz w:val="20"/>
                <w:szCs w:val="20"/>
                <w:lang w:eastAsia="en-IN"/>
                <w14:ligatures w14:val="none"/>
              </w:rPr>
              <w:t>Legal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FD35F35"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relatively strong advertising and trademark enforcement frameworks.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compliance burden is high for environmental and promotional claims.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AF87846" w14:textId="77777777" w:rsidR="0063774F" w:rsidRPr="0063774F" w:rsidRDefault="0063774F" w:rsidP="0063774F">
            <w:pPr>
              <w:spacing w:after="0" w:line="240" w:lineRule="auto"/>
              <w:rPr>
                <w:rFonts w:ascii="Segoe UI" w:eastAsia="Times New Roman" w:hAnsi="Segoe UI" w:cs="Segoe UI"/>
                <w:color w:val="0D0D0D"/>
                <w:spacing w:val="-2"/>
                <w:kern w:val="0"/>
                <w:sz w:val="20"/>
                <w:szCs w:val="20"/>
                <w:lang w:eastAsia="en-IN"/>
                <w14:ligatures w14:val="none"/>
              </w:rPr>
            </w:pPr>
            <w:r w:rsidRPr="0063774F">
              <w:rPr>
                <w:rFonts w:ascii="Segoe UI" w:eastAsia="Times New Roman" w:hAnsi="Segoe UI" w:cs="Segoe UI"/>
                <w:b/>
                <w:bCs/>
                <w:color w:val="0D0D0D"/>
                <w:spacing w:val="-2"/>
                <w:kern w:val="0"/>
                <w:sz w:val="20"/>
                <w:szCs w:val="20"/>
                <w:bdr w:val="single" w:sz="2" w:space="0" w:color="auto" w:frame="1"/>
                <w:lang w:eastAsia="en-IN"/>
                <w14:ligatures w14:val="none"/>
              </w:rPr>
              <w:t>Favourable:</w:t>
            </w:r>
            <w:r w:rsidRPr="0063774F">
              <w:rPr>
                <w:rFonts w:ascii="Segoe UI" w:eastAsia="Times New Roman" w:hAnsi="Segoe UI" w:cs="Segoe UI"/>
                <w:color w:val="0D0D0D"/>
                <w:spacing w:val="-2"/>
                <w:kern w:val="0"/>
                <w:sz w:val="20"/>
                <w:szCs w:val="20"/>
                <w:lang w:eastAsia="en-IN"/>
                <w14:ligatures w14:val="none"/>
              </w:rPr>
              <w:t> formal route for single-brand retail is clear. </w:t>
            </w:r>
            <w:r w:rsidRPr="0063774F">
              <w:rPr>
                <w:rFonts w:ascii="Segoe UI" w:eastAsia="Times New Roman" w:hAnsi="Segoe UI" w:cs="Segoe UI"/>
                <w:b/>
                <w:bCs/>
                <w:color w:val="0D0D0D"/>
                <w:spacing w:val="-2"/>
                <w:kern w:val="0"/>
                <w:sz w:val="20"/>
                <w:szCs w:val="20"/>
                <w:bdr w:val="single" w:sz="2" w:space="0" w:color="auto" w:frame="1"/>
                <w:lang w:eastAsia="en-IN"/>
                <w14:ligatures w14:val="none"/>
              </w:rPr>
              <w:t>Unfavourable:</w:t>
            </w:r>
            <w:r w:rsidRPr="0063774F">
              <w:rPr>
                <w:rFonts w:ascii="Segoe UI" w:eastAsia="Times New Roman" w:hAnsi="Segoe UI" w:cs="Segoe UI"/>
                <w:color w:val="0D0D0D"/>
                <w:spacing w:val="-2"/>
                <w:kern w:val="0"/>
                <w:sz w:val="20"/>
                <w:szCs w:val="20"/>
                <w:lang w:eastAsia="en-IN"/>
                <w14:ligatures w14:val="none"/>
              </w:rPr>
              <w:t> counterfeiting and IP enforcement concerns remain more acute.</w:t>
            </w:r>
          </w:p>
        </w:tc>
      </w:tr>
    </w:tbl>
    <w:p w14:paraId="3CED4C23" w14:textId="77777777" w:rsidR="006F56B6" w:rsidRDefault="006F56B6" w:rsidP="006F56B6">
      <w:pPr>
        <w:pStyle w:val="princy"/>
      </w:pPr>
    </w:p>
    <w:p w14:paraId="74EEDEA4" w14:textId="77777777" w:rsidR="0063774F" w:rsidRDefault="0063774F" w:rsidP="0063774F">
      <w:r>
        <w:t>S</w:t>
      </w:r>
      <w:r w:rsidRPr="0063774F">
        <w:rPr>
          <w:rStyle w:val="princyChar"/>
        </w:rPr>
        <w:t>ources for the matrix and the discussion below: (Government of India, 2019)</w:t>
      </w:r>
    </w:p>
    <w:p w14:paraId="0B616573" w14:textId="77777777" w:rsidR="006F56B6" w:rsidRDefault="006F56B6" w:rsidP="006F56B6"/>
    <w:p w14:paraId="30996706" w14:textId="0DEE3B54" w:rsidR="0063774F" w:rsidRDefault="0063774F" w:rsidP="0063774F">
      <w:pPr>
        <w:pStyle w:val="Heading2"/>
      </w:pPr>
      <w:bookmarkStart w:id="5" w:name="_Toc227862147"/>
      <w:r>
        <w:t xml:space="preserve">2.2 </w:t>
      </w:r>
      <w:r>
        <w:t>Political and legal factors</w:t>
      </w:r>
      <w:bookmarkEnd w:id="5"/>
    </w:p>
    <w:p w14:paraId="7F712ADF" w14:textId="77777777" w:rsidR="0063774F" w:rsidRDefault="0063774F" w:rsidP="0063774F">
      <w:pPr>
        <w:pStyle w:val="princy"/>
      </w:pPr>
      <w:r>
        <w:t xml:space="preserve">In the United States, Louis Vuitton is fortunate to have able commercial institutions, extensive luxury retail infrastructure and formal consumer-protection rules that reward brands that are able to back quality, authenticity and after-sale service. On the other hand, it establishes a higher standard for meeting requirements. Environmental and sustainability claims are under more scrutiny, and the Federal Trade  Commission (Louis Vuitton, 2024) makes it clear the Green Guides are designed to help marketers avoid misleading environmental claims. For a brand that is using sustainability language more and more this is a guardrail and constraint. On one side it is a favourable force and helps weed out low-quality competitors; while on the other it is an unfavourable force which shrinks the space for vague, image-led eco-communication. (Federal Trade Commission, 2026). This is a non-issue. </w:t>
      </w:r>
    </w:p>
    <w:p w14:paraId="33869CBB" w14:textId="77777777" w:rsidR="0063774F" w:rsidRDefault="0063774F" w:rsidP="0063774F">
      <w:pPr>
        <w:pStyle w:val="princy"/>
      </w:pPr>
    </w:p>
    <w:p w14:paraId="4E37852E" w14:textId="77777777" w:rsidR="0063774F" w:rsidRDefault="0063774F" w:rsidP="0063774F">
      <w:pPr>
        <w:pStyle w:val="princy"/>
      </w:pPr>
      <w:r>
        <w:lastRenderedPageBreak/>
        <w:t>India exhibits somewhat ambiguous political-legal trends. According to the Government of India, the automated system allows one hundred per cent foreign direct investment in single-brand retail trading. This is obviously positive for a brand like Louis Vuitton that wants to have a tight grip on the image, store design and customer experience. However, according to research, India has a more complex operational environment. Luxury brands are deeply affected by customs barriers and pricing clauses.</w:t>
      </w:r>
    </w:p>
    <w:p w14:paraId="42FD07FB" w14:textId="77777777" w:rsidR="0063774F" w:rsidRDefault="0063774F" w:rsidP="0063774F">
      <w:pPr>
        <w:pStyle w:val="princy"/>
      </w:pPr>
    </w:p>
    <w:p w14:paraId="002812F6" w14:textId="77777777" w:rsidR="0063774F" w:rsidRDefault="0063774F" w:rsidP="0063774F">
      <w:pPr>
        <w:pStyle w:val="princy"/>
      </w:pPr>
      <w:r>
        <w:t>India is one of the leading manufacturers in the textile sector. India has been exporting thousands of tonnes of yarn formally and informally in the recent past. India is a hub of e-commerce activities as well. National Responsibility to Develop India(2025, Louis Vuitton)</w:t>
      </w:r>
    </w:p>
    <w:p w14:paraId="0E549199" w14:textId="1C6C14A0" w:rsidR="0063774F" w:rsidRPr="0063774F" w:rsidRDefault="0063774F" w:rsidP="0063774F">
      <w:pPr>
        <w:pStyle w:val="princy"/>
      </w:pPr>
      <w:r>
        <w:t xml:space="preserve"> We have to continue with the established global reputation of our ancient cultures and systems. Therefore, it is highly essential to put a revolutionary effort for developing india through e-commerce. State.</w:t>
      </w:r>
    </w:p>
    <w:p w14:paraId="0B9EB1E0" w14:textId="77777777" w:rsidR="0063774F" w:rsidRPr="006F56B6" w:rsidRDefault="0063774F" w:rsidP="0063774F">
      <w:pPr>
        <w:pStyle w:val="Heading2"/>
      </w:pPr>
    </w:p>
    <w:p w14:paraId="4AA936CF" w14:textId="54EF0DCA" w:rsidR="0063774F" w:rsidRDefault="0063774F" w:rsidP="0063774F">
      <w:pPr>
        <w:pStyle w:val="Heading2"/>
      </w:pPr>
      <w:bookmarkStart w:id="6" w:name="_Toc227862148"/>
      <w:r>
        <w:t xml:space="preserve">2.3 </w:t>
      </w:r>
      <w:r>
        <w:t>Economic factors</w:t>
      </w:r>
      <w:bookmarkEnd w:id="6"/>
    </w:p>
    <w:p w14:paraId="40252E8F" w14:textId="490F2099" w:rsidR="0063774F" w:rsidRPr="0063774F" w:rsidRDefault="0063774F" w:rsidP="0063774F">
      <w:pPr>
        <w:pStyle w:val="princy"/>
      </w:pPr>
      <w:r w:rsidRPr="0063774F">
        <w:t xml:space="preserve">In terms of raw numbers, the US is on the whole substantially the bigger prize. According to the IMF data, nominal GDP is about $27.81 trillion in 2023 and rising to about $32.38 trillion in 2026. India is much smaller in absolute size, rising from about $3.50 trillion in 2023 to about $4.15 trillion in 2026 but its growth trajectory is much faster. The US offers Larry Vuitton scale and category breadth with reliable top-end demand while India offers growth, prestige scarcity and a lottery for future wallet expansion. (International Monetary Fund, 2026). </w:t>
      </w:r>
    </w:p>
    <w:p w14:paraId="756AB248" w14:textId="77777777" w:rsidR="0063774F" w:rsidRDefault="0063774F" w:rsidP="0063774F">
      <w:pPr>
        <w:pStyle w:val="princy"/>
        <w:rPr>
          <w:b/>
          <w:bCs/>
        </w:rPr>
      </w:pPr>
    </w:p>
    <w:p w14:paraId="3DE24B11" w14:textId="77777777" w:rsidR="0063774F" w:rsidRDefault="0063774F" w:rsidP="0063774F">
      <w:pPr>
        <w:pStyle w:val="princy"/>
        <w:rPr>
          <w:b/>
          <w:bCs/>
        </w:rPr>
      </w:pPr>
    </w:p>
    <w:p w14:paraId="5622F8A2" w14:textId="77777777" w:rsidR="0063774F" w:rsidRDefault="0063774F" w:rsidP="0063774F">
      <w:pPr>
        <w:pStyle w:val="princy"/>
        <w:rPr>
          <w:b/>
          <w:bCs/>
        </w:rPr>
      </w:pPr>
    </w:p>
    <w:p w14:paraId="75720A26" w14:textId="77777777" w:rsidR="0063774F" w:rsidRDefault="0063774F" w:rsidP="0063774F">
      <w:pPr>
        <w:pStyle w:val="princy"/>
        <w:rPr>
          <w:b/>
          <w:bCs/>
        </w:rPr>
      </w:pPr>
    </w:p>
    <w:p w14:paraId="1612B856" w14:textId="77777777" w:rsidR="0063774F" w:rsidRDefault="0063774F" w:rsidP="0063774F">
      <w:pPr>
        <w:pStyle w:val="princy"/>
        <w:rPr>
          <w:b/>
          <w:bCs/>
        </w:rPr>
      </w:pPr>
    </w:p>
    <w:p w14:paraId="30EF9145" w14:textId="77777777" w:rsidR="00646318" w:rsidRDefault="00646318" w:rsidP="0063774F">
      <w:pPr>
        <w:pStyle w:val="princy"/>
        <w:rPr>
          <w:b/>
          <w:bCs/>
        </w:rPr>
      </w:pPr>
    </w:p>
    <w:p w14:paraId="195A06DE" w14:textId="094B830F" w:rsidR="0063774F" w:rsidRPr="0063774F" w:rsidRDefault="0063774F" w:rsidP="0063774F">
      <w:pPr>
        <w:pStyle w:val="princy"/>
        <w:rPr>
          <w:b/>
          <w:bCs/>
        </w:rPr>
      </w:pPr>
      <w:r w:rsidRPr="0063774F">
        <w:rPr>
          <w:b/>
          <w:bCs/>
        </w:rPr>
        <w:lastRenderedPageBreak/>
        <w:t>Data chart for 2023–2026</w:t>
      </w:r>
    </w:p>
    <w:tbl>
      <w:tblPr>
        <w:tblW w:w="9360" w:type="dxa"/>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686"/>
        <w:gridCol w:w="4309"/>
        <w:gridCol w:w="4365"/>
      </w:tblGrid>
      <w:tr w:rsidR="0063774F" w:rsidRPr="0063774F" w14:paraId="5DC8577A" w14:textId="77777777">
        <w:trPr>
          <w:tblHeader/>
        </w:trPr>
        <w:tc>
          <w:tcPr>
            <w:tcW w:w="0" w:type="auto"/>
            <w:tcBorders>
              <w:top w:val="single" w:sz="2" w:space="0" w:color="111111"/>
              <w:left w:val="single" w:sz="2" w:space="0" w:color="111111"/>
              <w:bottom w:val="single" w:sz="6" w:space="0" w:color="111111"/>
              <w:right w:val="single" w:sz="2" w:space="0" w:color="111111"/>
            </w:tcBorders>
            <w:vAlign w:val="center"/>
            <w:hideMark/>
          </w:tcPr>
          <w:p w14:paraId="2DC642AC" w14:textId="77777777" w:rsidR="0063774F" w:rsidRPr="0063774F" w:rsidRDefault="0063774F" w:rsidP="0063774F">
            <w:pPr>
              <w:pStyle w:val="princy"/>
              <w:rPr>
                <w:b/>
                <w:bCs/>
              </w:rPr>
            </w:pPr>
            <w:r w:rsidRPr="0063774F">
              <w:rPr>
                <w:b/>
                <w:bCs/>
              </w:rPr>
              <w:t>Year</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29F89A06" w14:textId="77777777" w:rsidR="0063774F" w:rsidRPr="0063774F" w:rsidRDefault="0063774F" w:rsidP="0063774F">
            <w:pPr>
              <w:pStyle w:val="princy"/>
              <w:rPr>
                <w:b/>
                <w:bCs/>
              </w:rPr>
            </w:pPr>
            <w:r w:rsidRPr="0063774F">
              <w:rPr>
                <w:b/>
                <w:bCs/>
              </w:rPr>
              <w:t>USA nominal GDP, current prices (US$ tn)</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4139B457" w14:textId="77777777" w:rsidR="0063774F" w:rsidRPr="0063774F" w:rsidRDefault="0063774F" w:rsidP="0063774F">
            <w:pPr>
              <w:pStyle w:val="princy"/>
              <w:rPr>
                <w:b/>
                <w:bCs/>
              </w:rPr>
            </w:pPr>
            <w:r w:rsidRPr="0063774F">
              <w:rPr>
                <w:b/>
                <w:bCs/>
              </w:rPr>
              <w:t>India nominal GDP, current prices (US$ tn)</w:t>
            </w:r>
          </w:p>
        </w:tc>
      </w:tr>
      <w:tr w:rsidR="0063774F" w:rsidRPr="0063774F" w14:paraId="274989BC" w14:textId="77777777">
        <w:tc>
          <w:tcPr>
            <w:tcW w:w="0" w:type="auto"/>
            <w:tcBorders>
              <w:top w:val="single" w:sz="2" w:space="0" w:color="auto"/>
              <w:left w:val="single" w:sz="2" w:space="0" w:color="auto"/>
              <w:bottom w:val="single" w:sz="2" w:space="0" w:color="auto"/>
              <w:right w:val="single" w:sz="2" w:space="0" w:color="auto"/>
            </w:tcBorders>
            <w:hideMark/>
          </w:tcPr>
          <w:p w14:paraId="69D0D668" w14:textId="77777777" w:rsidR="0063774F" w:rsidRPr="0063774F" w:rsidRDefault="0063774F" w:rsidP="0063774F">
            <w:pPr>
              <w:pStyle w:val="princy"/>
            </w:pPr>
            <w:r w:rsidRPr="0063774F">
              <w:t>2023</w:t>
            </w:r>
          </w:p>
        </w:tc>
        <w:tc>
          <w:tcPr>
            <w:tcW w:w="0" w:type="auto"/>
            <w:tcBorders>
              <w:top w:val="single" w:sz="2" w:space="0" w:color="auto"/>
              <w:left w:val="single" w:sz="2" w:space="0" w:color="auto"/>
              <w:bottom w:val="single" w:sz="2" w:space="0" w:color="auto"/>
              <w:right w:val="single" w:sz="2" w:space="0" w:color="auto"/>
            </w:tcBorders>
            <w:hideMark/>
          </w:tcPr>
          <w:p w14:paraId="0BBE53FD" w14:textId="77777777" w:rsidR="0063774F" w:rsidRPr="0063774F" w:rsidRDefault="0063774F" w:rsidP="0063774F">
            <w:pPr>
              <w:pStyle w:val="princy"/>
            </w:pPr>
            <w:r w:rsidRPr="0063774F">
              <w:t>27.81</w:t>
            </w:r>
          </w:p>
        </w:tc>
        <w:tc>
          <w:tcPr>
            <w:tcW w:w="0" w:type="auto"/>
            <w:tcBorders>
              <w:top w:val="single" w:sz="2" w:space="0" w:color="auto"/>
              <w:left w:val="single" w:sz="2" w:space="0" w:color="auto"/>
              <w:bottom w:val="single" w:sz="2" w:space="0" w:color="auto"/>
              <w:right w:val="single" w:sz="2" w:space="0" w:color="auto"/>
            </w:tcBorders>
            <w:hideMark/>
          </w:tcPr>
          <w:p w14:paraId="1FA8BC39" w14:textId="77777777" w:rsidR="0063774F" w:rsidRPr="0063774F" w:rsidRDefault="0063774F" w:rsidP="0063774F">
            <w:pPr>
              <w:pStyle w:val="princy"/>
            </w:pPr>
            <w:r w:rsidRPr="0063774F">
              <w:t>3.50</w:t>
            </w:r>
          </w:p>
        </w:tc>
      </w:tr>
      <w:tr w:rsidR="0063774F" w:rsidRPr="0063774F" w14:paraId="6791FBDA" w14:textId="77777777">
        <w:tc>
          <w:tcPr>
            <w:tcW w:w="0" w:type="auto"/>
            <w:tcBorders>
              <w:top w:val="single" w:sz="2" w:space="0" w:color="auto"/>
              <w:left w:val="single" w:sz="2" w:space="0" w:color="auto"/>
              <w:bottom w:val="single" w:sz="2" w:space="0" w:color="auto"/>
              <w:right w:val="single" w:sz="2" w:space="0" w:color="auto"/>
            </w:tcBorders>
            <w:hideMark/>
          </w:tcPr>
          <w:p w14:paraId="4B35BF86" w14:textId="77777777" w:rsidR="0063774F" w:rsidRPr="0063774F" w:rsidRDefault="0063774F" w:rsidP="0063774F">
            <w:pPr>
              <w:pStyle w:val="princy"/>
            </w:pPr>
            <w:r w:rsidRPr="0063774F">
              <w:t>2024</w:t>
            </w:r>
          </w:p>
        </w:tc>
        <w:tc>
          <w:tcPr>
            <w:tcW w:w="0" w:type="auto"/>
            <w:tcBorders>
              <w:top w:val="single" w:sz="2" w:space="0" w:color="auto"/>
              <w:left w:val="single" w:sz="2" w:space="0" w:color="auto"/>
              <w:bottom w:val="single" w:sz="2" w:space="0" w:color="auto"/>
              <w:right w:val="single" w:sz="2" w:space="0" w:color="auto"/>
            </w:tcBorders>
            <w:hideMark/>
          </w:tcPr>
          <w:p w14:paraId="6801436E" w14:textId="77777777" w:rsidR="0063774F" w:rsidRPr="0063774F" w:rsidRDefault="0063774F" w:rsidP="0063774F">
            <w:pPr>
              <w:pStyle w:val="princy"/>
            </w:pPr>
            <w:r w:rsidRPr="0063774F">
              <w:t>29.30</w:t>
            </w:r>
          </w:p>
        </w:tc>
        <w:tc>
          <w:tcPr>
            <w:tcW w:w="0" w:type="auto"/>
            <w:tcBorders>
              <w:top w:val="single" w:sz="2" w:space="0" w:color="auto"/>
              <w:left w:val="single" w:sz="2" w:space="0" w:color="auto"/>
              <w:bottom w:val="single" w:sz="2" w:space="0" w:color="auto"/>
              <w:right w:val="single" w:sz="2" w:space="0" w:color="auto"/>
            </w:tcBorders>
            <w:hideMark/>
          </w:tcPr>
          <w:p w14:paraId="1384C54E" w14:textId="77777777" w:rsidR="0063774F" w:rsidRPr="0063774F" w:rsidRDefault="0063774F" w:rsidP="0063774F">
            <w:pPr>
              <w:pStyle w:val="princy"/>
            </w:pPr>
            <w:r w:rsidRPr="0063774F">
              <w:t>3.76</w:t>
            </w:r>
          </w:p>
        </w:tc>
      </w:tr>
      <w:tr w:rsidR="0063774F" w:rsidRPr="0063774F" w14:paraId="590BF132" w14:textId="77777777">
        <w:tc>
          <w:tcPr>
            <w:tcW w:w="0" w:type="auto"/>
            <w:tcBorders>
              <w:top w:val="single" w:sz="2" w:space="0" w:color="auto"/>
              <w:left w:val="single" w:sz="2" w:space="0" w:color="auto"/>
              <w:bottom w:val="single" w:sz="2" w:space="0" w:color="auto"/>
              <w:right w:val="single" w:sz="2" w:space="0" w:color="auto"/>
            </w:tcBorders>
            <w:hideMark/>
          </w:tcPr>
          <w:p w14:paraId="6677D513" w14:textId="77777777" w:rsidR="0063774F" w:rsidRPr="0063774F" w:rsidRDefault="0063774F" w:rsidP="0063774F">
            <w:pPr>
              <w:pStyle w:val="princy"/>
            </w:pPr>
            <w:r w:rsidRPr="0063774F">
              <w:t>2025</w:t>
            </w:r>
          </w:p>
        </w:tc>
        <w:tc>
          <w:tcPr>
            <w:tcW w:w="0" w:type="auto"/>
            <w:tcBorders>
              <w:top w:val="single" w:sz="2" w:space="0" w:color="auto"/>
              <w:left w:val="single" w:sz="2" w:space="0" w:color="auto"/>
              <w:bottom w:val="single" w:sz="2" w:space="0" w:color="auto"/>
              <w:right w:val="single" w:sz="2" w:space="0" w:color="auto"/>
            </w:tcBorders>
            <w:hideMark/>
          </w:tcPr>
          <w:p w14:paraId="1E3635E9" w14:textId="77777777" w:rsidR="0063774F" w:rsidRPr="0063774F" w:rsidRDefault="0063774F" w:rsidP="0063774F">
            <w:pPr>
              <w:pStyle w:val="princy"/>
            </w:pPr>
            <w:r w:rsidRPr="0063774F">
              <w:t>30.77</w:t>
            </w:r>
          </w:p>
        </w:tc>
        <w:tc>
          <w:tcPr>
            <w:tcW w:w="0" w:type="auto"/>
            <w:tcBorders>
              <w:top w:val="single" w:sz="2" w:space="0" w:color="auto"/>
              <w:left w:val="single" w:sz="2" w:space="0" w:color="auto"/>
              <w:bottom w:val="single" w:sz="2" w:space="0" w:color="auto"/>
              <w:right w:val="single" w:sz="2" w:space="0" w:color="auto"/>
            </w:tcBorders>
            <w:hideMark/>
          </w:tcPr>
          <w:p w14:paraId="20BEF6BA" w14:textId="77777777" w:rsidR="0063774F" w:rsidRPr="0063774F" w:rsidRDefault="0063774F" w:rsidP="0063774F">
            <w:pPr>
              <w:pStyle w:val="princy"/>
            </w:pPr>
            <w:r w:rsidRPr="0063774F">
              <w:t>3.92</w:t>
            </w:r>
          </w:p>
        </w:tc>
      </w:tr>
      <w:tr w:rsidR="0063774F" w:rsidRPr="0063774F" w14:paraId="75D19C3B" w14:textId="77777777">
        <w:tc>
          <w:tcPr>
            <w:tcW w:w="0" w:type="auto"/>
            <w:tcBorders>
              <w:top w:val="single" w:sz="2" w:space="0" w:color="auto"/>
              <w:left w:val="single" w:sz="2" w:space="0" w:color="auto"/>
              <w:bottom w:val="single" w:sz="2" w:space="0" w:color="auto"/>
              <w:right w:val="single" w:sz="2" w:space="0" w:color="auto"/>
            </w:tcBorders>
            <w:hideMark/>
          </w:tcPr>
          <w:p w14:paraId="3A30EAC6" w14:textId="77777777" w:rsidR="0063774F" w:rsidRPr="0063774F" w:rsidRDefault="0063774F" w:rsidP="0063774F">
            <w:pPr>
              <w:pStyle w:val="princy"/>
            </w:pPr>
            <w:r w:rsidRPr="0063774F">
              <w:t>2026F</w:t>
            </w:r>
          </w:p>
        </w:tc>
        <w:tc>
          <w:tcPr>
            <w:tcW w:w="0" w:type="auto"/>
            <w:tcBorders>
              <w:top w:val="single" w:sz="2" w:space="0" w:color="auto"/>
              <w:left w:val="single" w:sz="2" w:space="0" w:color="auto"/>
              <w:bottom w:val="single" w:sz="2" w:space="0" w:color="auto"/>
              <w:right w:val="single" w:sz="2" w:space="0" w:color="auto"/>
            </w:tcBorders>
            <w:hideMark/>
          </w:tcPr>
          <w:p w14:paraId="01AB7F15" w14:textId="77777777" w:rsidR="0063774F" w:rsidRPr="0063774F" w:rsidRDefault="0063774F" w:rsidP="0063774F">
            <w:pPr>
              <w:pStyle w:val="princy"/>
            </w:pPr>
            <w:r w:rsidRPr="0063774F">
              <w:t>32.38</w:t>
            </w:r>
          </w:p>
        </w:tc>
        <w:tc>
          <w:tcPr>
            <w:tcW w:w="0" w:type="auto"/>
            <w:tcBorders>
              <w:top w:val="single" w:sz="2" w:space="0" w:color="auto"/>
              <w:left w:val="single" w:sz="2" w:space="0" w:color="auto"/>
              <w:bottom w:val="single" w:sz="2" w:space="0" w:color="auto"/>
              <w:right w:val="single" w:sz="2" w:space="0" w:color="auto"/>
            </w:tcBorders>
            <w:hideMark/>
          </w:tcPr>
          <w:p w14:paraId="2B36F13E" w14:textId="77777777" w:rsidR="0063774F" w:rsidRPr="0063774F" w:rsidRDefault="0063774F" w:rsidP="0063774F">
            <w:pPr>
              <w:pStyle w:val="princy"/>
            </w:pPr>
            <w:r w:rsidRPr="0063774F">
              <w:t>4.15</w:t>
            </w:r>
          </w:p>
        </w:tc>
      </w:tr>
    </w:tbl>
    <w:p w14:paraId="636D0992" w14:textId="77777777" w:rsidR="00084C6D" w:rsidRDefault="00084C6D" w:rsidP="00084C6D">
      <w:pPr>
        <w:pStyle w:val="princy"/>
      </w:pPr>
    </w:p>
    <w:p w14:paraId="5ED38734" w14:textId="77777777" w:rsidR="0063774F" w:rsidRDefault="0063774F" w:rsidP="0063774F">
      <w:pPr>
        <w:pStyle w:val="princy"/>
      </w:pPr>
      <w:r>
        <w:t>Source: IMF World Economic Outlook DataMapper, April 2026. (International Monetary Fund, 2026)</w:t>
      </w:r>
    </w:p>
    <w:p w14:paraId="099CC8E4" w14:textId="5E54BF9E" w:rsidR="0063774F" w:rsidRDefault="007B1675" w:rsidP="00084C6D">
      <w:pPr>
        <w:pStyle w:val="princy"/>
      </w:pPr>
      <w:r>
        <w:t>The deeper point is qualitative, not only quantitative. Bain’s luxury research shows that global personal luxury goods were broadly flat to slightly down in 2025, with spending increasingly concentrated in higher-end customers while the entry-to-luxury segment weakened. That pattern fits the United States especially well: Louis Vuitton can still grow, but growth comes more from absolute-luxury clients, category extensions, and experience-led spending than from broad-based logo volume. India, by contrast, still benefits from new-wealth formation and concentrated metro affluence. Wealth reports and market commentary show that millionaire households are rising and remain clustered in cities and states such as Mumbai and Maharashtra, reinforcing Louis Vuitton’s current metro-focused strategy. (Bain &amp; Company, 2025)</w:t>
      </w:r>
    </w:p>
    <w:p w14:paraId="26358CFD" w14:textId="77777777" w:rsidR="007B1675" w:rsidRDefault="007B1675" w:rsidP="00084C6D">
      <w:pPr>
        <w:pStyle w:val="princy"/>
      </w:pPr>
    </w:p>
    <w:p w14:paraId="39557CD9" w14:textId="14FD1F69" w:rsidR="007B1675" w:rsidRDefault="007B1675" w:rsidP="007B1675">
      <w:pPr>
        <w:pStyle w:val="Heading2"/>
      </w:pPr>
      <w:bookmarkStart w:id="7" w:name="_Toc227862149"/>
      <w:r>
        <w:t xml:space="preserve">2.4 </w:t>
      </w:r>
      <w:r w:rsidRPr="007B1675">
        <w:t>Social factors</w:t>
      </w:r>
      <w:bookmarkEnd w:id="7"/>
    </w:p>
    <w:p w14:paraId="308C3946" w14:textId="77777777" w:rsidR="007B1675" w:rsidRDefault="007B1675" w:rsidP="007B1675">
      <w:pPr>
        <w:pStyle w:val="princy"/>
      </w:pPr>
      <w:r>
        <w:t>Socially, the United States and India both support luxury, but for different emotional reasons. In the United States, luxury consumption is tied strongly to individuality, collecting, lifestyle curation, and experience. That is why Louis Vuitton’s 57th Street concept in New York folds together retail, gastronomy, curated books, and exclusive city merchandise. The brand is not just selling bags; it is selling immersion. This is favourable because it extends customer lifetime value. It is also unfavourable because consumers in mature markets quickly become harder to impress and more likely to compare houses on originality rather than heritage alone. (Louis Vuitton, 2025)</w:t>
      </w:r>
    </w:p>
    <w:p w14:paraId="0E7E0E12" w14:textId="77777777" w:rsidR="007B1675" w:rsidRDefault="007B1675" w:rsidP="007B1675">
      <w:pPr>
        <w:pStyle w:val="princy"/>
      </w:pPr>
      <w:r>
        <w:lastRenderedPageBreak/>
        <w:t>In India, luxury still carries a stronger visible-social function. Journal and industry work on Indian luxury buying repeatedly highlights materialism, brand consciousness, the symbolic display of success, and the continuing role of social recognition. Weddings, gifting, public occasions, and premium mall culture all reinforce that. For Louis Vuitton, this is beneficial because iconic monogrammed products can travel easily as signals of achievement. The downside is that the market can remain narrower and more occasion-based than in a deeper mature market. Luxury is admired widely, but routine repeat purchase remains mostly concentrated among the affluent urban elite. (Sharda &amp; Bhat, 2018)</w:t>
      </w:r>
    </w:p>
    <w:p w14:paraId="2CD1DE8D" w14:textId="77777777" w:rsidR="007B1675" w:rsidRPr="007B1675" w:rsidRDefault="007B1675" w:rsidP="007B1675"/>
    <w:p w14:paraId="144AC21D" w14:textId="010CE11C" w:rsidR="007B1675" w:rsidRPr="007B1675" w:rsidRDefault="007B1675" w:rsidP="007B1675">
      <w:pPr>
        <w:pStyle w:val="Heading2"/>
      </w:pPr>
      <w:bookmarkStart w:id="8" w:name="_Toc227862150"/>
      <w:r>
        <w:t xml:space="preserve">2.5 </w:t>
      </w:r>
      <w:r w:rsidRPr="007B1675">
        <w:t>Cultural factors</w:t>
      </w:r>
      <w:bookmarkEnd w:id="8"/>
    </w:p>
    <w:p w14:paraId="13058890" w14:textId="77777777" w:rsidR="007B1675" w:rsidRDefault="007B1675" w:rsidP="007B1675">
      <w:pPr>
        <w:pStyle w:val="princy"/>
      </w:pPr>
      <w:r w:rsidRPr="007B1675">
        <w:t>Hofstede’s model is particularly useful here because it helps explain why the same Louis Vuitton product can mean subtly different things in the two countries.</w:t>
      </w:r>
    </w:p>
    <w:tbl>
      <w:tblPr>
        <w:tblW w:w="9861"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1861"/>
        <w:gridCol w:w="512"/>
        <w:gridCol w:w="566"/>
        <w:gridCol w:w="6922"/>
      </w:tblGrid>
      <w:tr w:rsidR="007B1675" w:rsidRPr="007B1675" w14:paraId="236237A8" w14:textId="77777777" w:rsidTr="007B1675">
        <w:trPr>
          <w:trHeight w:val="555"/>
          <w:tblHeader/>
        </w:trPr>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0F99ED2A" w14:textId="77777777" w:rsidR="007B1675" w:rsidRPr="007B1675" w:rsidRDefault="007B1675" w:rsidP="007B1675">
            <w:pPr>
              <w:pStyle w:val="princy"/>
              <w:rPr>
                <w:b/>
                <w:bCs/>
              </w:rPr>
            </w:pPr>
            <w:r w:rsidRPr="007B1675">
              <w:rPr>
                <w:b/>
                <w:bCs/>
              </w:rPr>
              <w:t>Dimension</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1F2C2586" w14:textId="77777777" w:rsidR="007B1675" w:rsidRPr="007B1675" w:rsidRDefault="007B1675" w:rsidP="007B1675">
            <w:pPr>
              <w:pStyle w:val="princy"/>
              <w:rPr>
                <w:b/>
                <w:bCs/>
              </w:rPr>
            </w:pPr>
            <w:r w:rsidRPr="007B1675">
              <w:rPr>
                <w:b/>
                <w:bCs/>
              </w:rPr>
              <w:t>USA</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7BA8412B" w14:textId="77777777" w:rsidR="007B1675" w:rsidRPr="007B1675" w:rsidRDefault="007B1675" w:rsidP="007B1675">
            <w:pPr>
              <w:pStyle w:val="princy"/>
              <w:rPr>
                <w:b/>
                <w:bCs/>
              </w:rPr>
            </w:pPr>
            <w:r w:rsidRPr="007B1675">
              <w:rPr>
                <w:b/>
                <w:bCs/>
              </w:rPr>
              <w:t>India</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00D9175F" w14:textId="77777777" w:rsidR="007B1675" w:rsidRPr="007B1675" w:rsidRDefault="007B1675" w:rsidP="007B1675">
            <w:pPr>
              <w:pStyle w:val="princy"/>
              <w:rPr>
                <w:b/>
                <w:bCs/>
              </w:rPr>
            </w:pPr>
            <w:r w:rsidRPr="007B1675">
              <w:rPr>
                <w:b/>
                <w:bCs/>
              </w:rPr>
              <w:t>Louis Vuitton implication</w:t>
            </w:r>
          </w:p>
        </w:tc>
      </w:tr>
      <w:tr w:rsidR="007B1675" w:rsidRPr="007B1675" w14:paraId="4697466D" w14:textId="77777777" w:rsidTr="007B1675">
        <w:trPr>
          <w:trHeight w:val="975"/>
        </w:trPr>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9FDFEF4" w14:textId="77777777" w:rsidR="007B1675" w:rsidRPr="007B1675" w:rsidRDefault="007B1675" w:rsidP="007B1675">
            <w:pPr>
              <w:pStyle w:val="princy"/>
            </w:pPr>
            <w:r w:rsidRPr="007B1675">
              <w:t>Power Distance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02A8A3A" w14:textId="77777777" w:rsidR="007B1675" w:rsidRPr="007B1675" w:rsidRDefault="007B1675" w:rsidP="007B1675">
            <w:pPr>
              <w:pStyle w:val="princy"/>
            </w:pPr>
            <w:r w:rsidRPr="007B1675">
              <w:t>40</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2B05C261" w14:textId="77777777" w:rsidR="007B1675" w:rsidRPr="007B1675" w:rsidRDefault="007B1675" w:rsidP="007B1675">
            <w:pPr>
              <w:pStyle w:val="princy"/>
            </w:pPr>
            <w:r w:rsidRPr="007B1675">
              <w:t>77</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6FEC34E" w14:textId="77777777" w:rsidR="007B1675" w:rsidRPr="007B1675" w:rsidRDefault="007B1675" w:rsidP="007B1675">
            <w:pPr>
              <w:pStyle w:val="princy"/>
            </w:pPr>
            <w:r w:rsidRPr="007B1675">
              <w:t>India is more comfortable with hierarchy and prestige signalling; premium service rituals matter more.</w:t>
            </w:r>
          </w:p>
        </w:tc>
      </w:tr>
      <w:tr w:rsidR="007B1675" w:rsidRPr="007B1675" w14:paraId="65D8AA10" w14:textId="77777777" w:rsidTr="007B1675">
        <w:trPr>
          <w:trHeight w:val="987"/>
        </w:trPr>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4759B31" w14:textId="77777777" w:rsidR="007B1675" w:rsidRPr="007B1675" w:rsidRDefault="007B1675" w:rsidP="007B1675">
            <w:pPr>
              <w:pStyle w:val="princy"/>
            </w:pPr>
            <w:r w:rsidRPr="007B1675">
              <w:t>Individualism</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ECF673E" w14:textId="77777777" w:rsidR="007B1675" w:rsidRPr="007B1675" w:rsidRDefault="007B1675" w:rsidP="007B1675">
            <w:pPr>
              <w:pStyle w:val="princy"/>
            </w:pPr>
            <w:r w:rsidRPr="007B1675">
              <w:t>60</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5B87118" w14:textId="77777777" w:rsidR="007B1675" w:rsidRPr="007B1675" w:rsidRDefault="007B1675" w:rsidP="007B1675">
            <w:pPr>
              <w:pStyle w:val="princy"/>
            </w:pPr>
            <w:r w:rsidRPr="007B1675">
              <w:t>24</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FD768B4" w14:textId="77777777" w:rsidR="007B1675" w:rsidRPr="007B1675" w:rsidRDefault="007B1675" w:rsidP="007B1675">
            <w:pPr>
              <w:pStyle w:val="princy"/>
            </w:pPr>
            <w:r w:rsidRPr="007B1675">
              <w:t>The USA rewards self-expression and personal style; India balances personal aspiration with family and group influence.</w:t>
            </w:r>
          </w:p>
        </w:tc>
      </w:tr>
      <w:tr w:rsidR="007B1675" w:rsidRPr="007B1675" w14:paraId="351A7DD8" w14:textId="77777777" w:rsidTr="007B1675">
        <w:trPr>
          <w:trHeight w:val="975"/>
        </w:trPr>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4011E80" w14:textId="77777777" w:rsidR="007B1675" w:rsidRPr="007B1675" w:rsidRDefault="007B1675" w:rsidP="007B1675">
            <w:pPr>
              <w:pStyle w:val="princy"/>
            </w:pPr>
            <w:r w:rsidRPr="007B1675">
              <w:t>Masculinity</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9FBE38C" w14:textId="77777777" w:rsidR="007B1675" w:rsidRPr="007B1675" w:rsidRDefault="007B1675" w:rsidP="007B1675">
            <w:pPr>
              <w:pStyle w:val="princy"/>
            </w:pPr>
            <w:r w:rsidRPr="007B1675">
              <w:t>62</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F5563E6" w14:textId="77777777" w:rsidR="007B1675" w:rsidRPr="007B1675" w:rsidRDefault="007B1675" w:rsidP="007B1675">
            <w:pPr>
              <w:pStyle w:val="princy"/>
            </w:pPr>
            <w:r w:rsidRPr="007B1675">
              <w:t>56</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9E65A14" w14:textId="77777777" w:rsidR="007B1675" w:rsidRPr="007B1675" w:rsidRDefault="007B1675" w:rsidP="007B1675">
            <w:pPr>
              <w:pStyle w:val="princy"/>
            </w:pPr>
            <w:r w:rsidRPr="007B1675">
              <w:t>Both markets reward visible achievement, which supports success-oriented luxury symbolism.</w:t>
            </w:r>
          </w:p>
        </w:tc>
      </w:tr>
      <w:tr w:rsidR="007B1675" w:rsidRPr="007B1675" w14:paraId="5DBC4E8F" w14:textId="77777777" w:rsidTr="007B1675">
        <w:trPr>
          <w:trHeight w:val="975"/>
        </w:trPr>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45A935F" w14:textId="77777777" w:rsidR="007B1675" w:rsidRPr="007B1675" w:rsidRDefault="007B1675" w:rsidP="007B1675">
            <w:pPr>
              <w:pStyle w:val="princy"/>
            </w:pPr>
            <w:r w:rsidRPr="007B1675">
              <w:t>Uncertainty Avoidance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1D47D6D" w14:textId="77777777" w:rsidR="007B1675" w:rsidRPr="007B1675" w:rsidRDefault="007B1675" w:rsidP="007B1675">
            <w:pPr>
              <w:pStyle w:val="princy"/>
            </w:pPr>
            <w:r w:rsidRPr="007B1675">
              <w:t>46</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FDC973D" w14:textId="77777777" w:rsidR="007B1675" w:rsidRPr="007B1675" w:rsidRDefault="007B1675" w:rsidP="007B1675">
            <w:pPr>
              <w:pStyle w:val="princy"/>
            </w:pPr>
            <w:r w:rsidRPr="007B1675">
              <w:t>40</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CA2D46F" w14:textId="77777777" w:rsidR="007B1675" w:rsidRPr="007B1675" w:rsidRDefault="007B1675" w:rsidP="007B1675">
            <w:pPr>
              <w:pStyle w:val="princy"/>
            </w:pPr>
            <w:r w:rsidRPr="007B1675">
              <w:t>Both are relatively open to novelty, which helps limited editions, beauty launches, and collaborations.</w:t>
            </w:r>
          </w:p>
        </w:tc>
      </w:tr>
      <w:tr w:rsidR="007B1675" w:rsidRPr="007B1675" w14:paraId="21186FD4" w14:textId="77777777" w:rsidTr="007B1675">
        <w:trPr>
          <w:trHeight w:val="987"/>
        </w:trPr>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C1EB28C" w14:textId="77777777" w:rsidR="007B1675" w:rsidRPr="007B1675" w:rsidRDefault="007B1675" w:rsidP="007B1675">
            <w:pPr>
              <w:pStyle w:val="princy"/>
            </w:pPr>
            <w:r w:rsidRPr="007B1675">
              <w:t>Long-Term Orientation</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0B45C3B" w14:textId="77777777" w:rsidR="007B1675" w:rsidRPr="007B1675" w:rsidRDefault="007B1675" w:rsidP="007B1675">
            <w:pPr>
              <w:pStyle w:val="princy"/>
            </w:pPr>
            <w:r w:rsidRPr="007B1675">
              <w:t>50</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2432631" w14:textId="77777777" w:rsidR="007B1675" w:rsidRPr="007B1675" w:rsidRDefault="007B1675" w:rsidP="007B1675">
            <w:pPr>
              <w:pStyle w:val="princy"/>
            </w:pPr>
            <w:r w:rsidRPr="007B1675">
              <w:t>51</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51CE8B6" w14:textId="77777777" w:rsidR="007B1675" w:rsidRPr="007B1675" w:rsidRDefault="007B1675" w:rsidP="007B1675">
            <w:pPr>
              <w:pStyle w:val="princy"/>
            </w:pPr>
            <w:r w:rsidRPr="007B1675">
              <w:t>Neither market is extreme here, allowing heritage and innovation to coexist.</w:t>
            </w:r>
          </w:p>
        </w:tc>
      </w:tr>
      <w:tr w:rsidR="007B1675" w:rsidRPr="007B1675" w14:paraId="6FA5D647" w14:textId="77777777" w:rsidTr="007B1675">
        <w:trPr>
          <w:trHeight w:val="987"/>
        </w:trPr>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186DD1A" w14:textId="77777777" w:rsidR="007B1675" w:rsidRPr="007B1675" w:rsidRDefault="007B1675" w:rsidP="007B1675">
            <w:pPr>
              <w:pStyle w:val="princy"/>
            </w:pPr>
            <w:r w:rsidRPr="007B1675">
              <w:t>Indulgence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DDCF40D" w14:textId="77777777" w:rsidR="007B1675" w:rsidRPr="007B1675" w:rsidRDefault="007B1675" w:rsidP="007B1675">
            <w:pPr>
              <w:pStyle w:val="princy"/>
            </w:pPr>
            <w:r w:rsidRPr="007B1675">
              <w:t>68</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08B8D1C" w14:textId="77777777" w:rsidR="007B1675" w:rsidRPr="007B1675" w:rsidRDefault="007B1675" w:rsidP="007B1675">
            <w:pPr>
              <w:pStyle w:val="princy"/>
            </w:pPr>
            <w:r w:rsidRPr="007B1675">
              <w:t>26</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4B144B7" w14:textId="77777777" w:rsidR="007B1675" w:rsidRPr="007B1675" w:rsidRDefault="007B1675" w:rsidP="007B1675">
            <w:pPr>
              <w:pStyle w:val="princy"/>
            </w:pPr>
            <w:r w:rsidRPr="007B1675">
              <w:t>The USA is more indulgent and leisure-oriented; India is more restrained, making luxury more coded and socially bounded.</w:t>
            </w:r>
          </w:p>
        </w:tc>
      </w:tr>
    </w:tbl>
    <w:p w14:paraId="2372AF28" w14:textId="77777777" w:rsidR="007B1675" w:rsidRDefault="007B1675" w:rsidP="007B1675">
      <w:pPr>
        <w:pStyle w:val="princy"/>
      </w:pPr>
    </w:p>
    <w:p w14:paraId="3FBC4266" w14:textId="77777777" w:rsidR="007B1675" w:rsidRDefault="007B1675" w:rsidP="007B1675">
      <w:pPr>
        <w:pStyle w:val="princy"/>
        <w:rPr>
          <w:lang w:val="en-US"/>
        </w:rPr>
      </w:pPr>
      <w:r w:rsidRPr="007B1675">
        <w:rPr>
          <w:lang w:val="en-US"/>
        </w:rPr>
        <w:t>Source: Hofstede / The Culture Factor country comparison tool. (Hofstede &amp; The Culture Factor, 2026)</w:t>
      </w:r>
    </w:p>
    <w:p w14:paraId="60FE8B84" w14:textId="77777777" w:rsidR="007B1675" w:rsidRPr="007B1675" w:rsidRDefault="007B1675" w:rsidP="007B1675">
      <w:pPr>
        <w:pStyle w:val="princy"/>
        <w:rPr>
          <w:lang w:val="en-US"/>
        </w:rPr>
      </w:pPr>
      <w:r w:rsidRPr="007B1675">
        <w:rPr>
          <w:lang w:val="en-US"/>
        </w:rPr>
        <w:lastRenderedPageBreak/>
        <w:t>For Louis Vuitton, the cultural picture is clear. In the United States, lower power distance and higher individualism make benefit positioning built around creativity, personal identity, and experiential lifestyle particularly effective. Louis Vuitton can credibly stretch into beauty, cafés, and city-specific exclusives because American consumers are comfortable with brands becoming cultural ecosystems. In India, higher power distance and stronger status orientation make the brand’s symbolic value even more potent. The House’s own heritage, formal service, monogram, and iconic silhouettes become social shorthand for success. Research comparing India and the United States also suggests that prominent branding interacts strongly with status consumption across emerging and mature markets, which supports the view that Louis Vuitton’s symbolic cues may remain especially salient in India. (Pino et al., 2019)</w:t>
      </w:r>
    </w:p>
    <w:p w14:paraId="203B28D0" w14:textId="77777777" w:rsidR="007B1675" w:rsidRPr="007B1675" w:rsidRDefault="007B1675" w:rsidP="007B1675">
      <w:pPr>
        <w:pStyle w:val="princy"/>
        <w:rPr>
          <w:lang w:val="en-US"/>
        </w:rPr>
      </w:pPr>
      <w:r w:rsidRPr="007B1675">
        <w:rPr>
          <w:lang w:val="en-US"/>
        </w:rPr>
        <w:t>At the same time, Hofstede also reveals the tension. India’s low indulgence score suggests that purchase may be more socially coded and less casually hedonistic than in the United States. That means Louis Vuitton in India should sell not only pleasure, but also legitimacy: craftsmanship, giftability, cultural polish, and durability. The United States does not need the same level of justification. There, indulgence is more openly acceptable, and the brand can more easily market playfulness, self-reinvention, or beauty experimentation. (Hofstede &amp; The Culture Factor, 2026)</w:t>
      </w:r>
    </w:p>
    <w:p w14:paraId="18998696" w14:textId="77777777" w:rsidR="007B1675" w:rsidRPr="007B1675" w:rsidRDefault="007B1675" w:rsidP="007B1675">
      <w:pPr>
        <w:pStyle w:val="princy"/>
        <w:rPr>
          <w:lang w:val="en-US"/>
        </w:rPr>
      </w:pPr>
      <w:r w:rsidRPr="007B1675">
        <w:rPr>
          <w:lang w:val="en-US"/>
        </w:rPr>
        <w:t xml:space="preserve">The advantages of Hofstede’s model are practical. First, it gives managers a simple comparative language for store service, display tone, and message emphasis. Second, it is useful for preventing the “one global message fits all” mistake. Third, it helps explain why a higher-visibility luxury cue may feel natural in one market and too obvious in another. However, the model also has serious disadvantages. It can oversimplify millions of consumers into national averages; it can become static even when luxury culture changes fast; and it is poor at explaining intra-country differences such as New York versus Dallas, or Mumbai versus Bangalore. It also says little about digital subcultures, youth tribes, or the role of luxury resale, which increasingly shape real buying behaviour. So Hofstede is helpful as a starting lens, but weak as a complete segmentation tool. Applied well, it informs strategy; applied mechanically, it reduces culture to stereotype. That is the key similarity-and-difference conclusion in this report: both countries value success and are open enough to novelty for Louis Vuitton to innovate, but the United States rewards expressive, experience-rich luxury </w:t>
      </w:r>
      <w:r w:rsidRPr="007B1675">
        <w:rPr>
          <w:lang w:val="en-US"/>
        </w:rPr>
        <w:lastRenderedPageBreak/>
        <w:t>while India rewards legitimised, socially visible luxury. (Hofstede &amp; The Culture Factor, 2026)</w:t>
      </w:r>
    </w:p>
    <w:p w14:paraId="0A25AC7E" w14:textId="74A8DD53" w:rsidR="007B1675" w:rsidRDefault="007B1675" w:rsidP="007B1675">
      <w:pPr>
        <w:pStyle w:val="Heading2"/>
      </w:pPr>
      <w:bookmarkStart w:id="9" w:name="_Toc227862151"/>
      <w:r>
        <w:t xml:space="preserve">2.6 </w:t>
      </w:r>
      <w:r>
        <w:t>Technological and environmental factors</w:t>
      </w:r>
      <w:bookmarkEnd w:id="9"/>
    </w:p>
    <w:p w14:paraId="62570C01" w14:textId="77777777" w:rsidR="007B1675" w:rsidRDefault="007B1675" w:rsidP="007B1675">
      <w:pPr>
        <w:pStyle w:val="princy"/>
      </w:pPr>
      <w:r>
        <w:t>Technology is a larger advantage for Louis Vuitton in the United States at the level of execution depth. The U.S. site and physical network showcase richer omnichannel services, including appointment booking, café reservation, exclusive city products, and virtual beauty tools such as digital try-on and shade-finding for LV Rouge. India also offers client-advisor support by phone, chat, and email, alongside repairs and personalisation services, but the market remains more selectively physical and clienteling-led. In other words, the United States gives Louis Vuitton a fuller laboratory for omnichannel luxury experience design; India gives it a more curated, high-touch boutique model. (Louis Vuitton, 2025)</w:t>
      </w:r>
    </w:p>
    <w:p w14:paraId="40745EFA" w14:textId="77777777" w:rsidR="007B1675" w:rsidRDefault="007B1675" w:rsidP="007B1675">
      <w:pPr>
        <w:pStyle w:val="princy"/>
      </w:pPr>
      <w:r>
        <w:t>Environmentally, Louis Vuitton is actively trying to turn sustainability into a premium-growth asset rather than a compliance afterthought. The House’s 2023 reporting presents an ambition to become the first regenerative luxury brand, while LVMH’s key figures show reduction goals and material-traceability progress, including knowledge of origin for most sheep and cow leather purchases. This is favourable because responsible sourcing and long-life products fit the logic of true luxury. It is unfavourable because the stronger the public claim, the greater the reputational risk if performance evidence looks thin, vague, or incomplete. In mature markets like the United States, that scrutiny is especially strong. (Louis Vuitton, 2025)</w:t>
      </w:r>
    </w:p>
    <w:p w14:paraId="50435F87" w14:textId="6A666D43" w:rsidR="007B1675" w:rsidRPr="007B1675" w:rsidRDefault="007B1675" w:rsidP="007B1675">
      <w:pPr>
        <w:pStyle w:val="Heading2"/>
        <w:rPr>
          <w:lang w:val="en-US"/>
        </w:rPr>
      </w:pPr>
      <w:bookmarkStart w:id="10" w:name="_Toc227862152"/>
      <w:r>
        <w:rPr>
          <w:lang w:val="en-US"/>
        </w:rPr>
        <w:t xml:space="preserve">3.0 </w:t>
      </w:r>
      <w:r w:rsidRPr="007B1675">
        <w:rPr>
          <w:lang w:val="en-US"/>
        </w:rPr>
        <w:t>STP and international consumer market</w:t>
      </w:r>
      <w:bookmarkEnd w:id="10"/>
    </w:p>
    <w:p w14:paraId="43B4A811" w14:textId="77777777" w:rsidR="007B1675" w:rsidRPr="007B1675" w:rsidRDefault="007B1675" w:rsidP="007B1675">
      <w:pPr>
        <w:pStyle w:val="princy"/>
        <w:rPr>
          <w:lang w:val="en-US"/>
        </w:rPr>
      </w:pPr>
      <w:r w:rsidRPr="007B1675">
        <w:rPr>
          <w:lang w:val="en-US"/>
        </w:rPr>
        <w:t>Segmentation, targeting, and positioning are where Louis Vuitton’s international logic becomes most visible. The House does not use the same commercial meaning in the United States and India, even when the logo is identical. In the United States, the brand image is increasingly “heritage luxury plus experiential culture.” The 57th Street development, Le Café, the chocolatier, and the wider beauty rollout show a House that wants to be lived with, not only bought from. In India, the image is still more tightly anchored in imported prestige, visible refinement, elite travel, and ceremony-adjacent consumption. That does not make the Indian image shallow; instead, it makes it more concentrated around social symbolism and fewer retail touchpoints. (Louis Vuitton, 2025)</w:t>
      </w:r>
    </w:p>
    <w:p w14:paraId="04A06ED8" w14:textId="5E7B49CE" w:rsidR="007B1675" w:rsidRPr="007B1675" w:rsidRDefault="007B1675" w:rsidP="007B1675">
      <w:pPr>
        <w:pStyle w:val="Heading2"/>
        <w:rPr>
          <w:lang w:val="en-US"/>
        </w:rPr>
      </w:pPr>
      <w:bookmarkStart w:id="11" w:name="_Toc227862153"/>
      <w:r>
        <w:rPr>
          <w:lang w:val="en-US"/>
        </w:rPr>
        <w:lastRenderedPageBreak/>
        <w:t xml:space="preserve">3.1 </w:t>
      </w:r>
      <w:r w:rsidRPr="007B1675">
        <w:rPr>
          <w:lang w:val="en-US"/>
        </w:rPr>
        <w:t>Segmentation</w:t>
      </w:r>
      <w:bookmarkEnd w:id="11"/>
    </w:p>
    <w:p w14:paraId="249C29E8" w14:textId="77777777" w:rsidR="007B1675" w:rsidRDefault="007B1675" w:rsidP="007B1675">
      <w:pPr>
        <w:pStyle w:val="princy"/>
        <w:rPr>
          <w:lang w:val="en-US"/>
        </w:rPr>
      </w:pPr>
      <w:r w:rsidRPr="007B1675">
        <w:rPr>
          <w:b/>
          <w:bCs/>
          <w:lang w:val="en-US"/>
        </w:rPr>
        <w:t>Demographically</w:t>
      </w:r>
      <w:r w:rsidRPr="007B1675">
        <w:rPr>
          <w:lang w:val="en-US"/>
        </w:rPr>
        <w:t xml:space="preserve">, </w:t>
      </w:r>
    </w:p>
    <w:p w14:paraId="19C8FFB4" w14:textId="3ACB4ED6" w:rsidR="007B1675" w:rsidRPr="007B1675" w:rsidRDefault="007B1675" w:rsidP="007B1675">
      <w:pPr>
        <w:pStyle w:val="princy"/>
        <w:rPr>
          <w:lang w:val="en-US"/>
        </w:rPr>
      </w:pPr>
      <w:r w:rsidRPr="007B1675">
        <w:rPr>
          <w:lang w:val="en-US"/>
        </w:rPr>
        <w:t>Louis Vuitton’s core international consumer base is affluent, urban, and heavily skewed toward adults in their late twenties through fifties, though the brand operates a clear ladder. Younger aspirational consumers often enter through fragrance, beauty, or small accessories, while established high earners purchase leather goods, travel, watches, jewellery, and repeat seasonal fashion. The House’s official category architecture supports this ladder: beauty, perfume, accessories, and entry jewellery open the door; bags, ready-to-wear, and travel deepen the relationship; fine jewellery and watches sit at the top. Gender segmentation is also broader than before. Louis Vuitton remains heavily identified with women’s leather goods, but men’s collections, tailoring, sneakers, and now culture-led collaborations have materially widened the male audience, especially since the era shaped by Virgil Abloh(United States Trade Representative, 2025) and later by contemporary creative leadership. (Louis Vuitton, 2025)</w:t>
      </w:r>
    </w:p>
    <w:p w14:paraId="4310C202" w14:textId="77777777" w:rsidR="002410C6" w:rsidRDefault="007B1675" w:rsidP="007B1675">
      <w:pPr>
        <w:pStyle w:val="princy"/>
        <w:rPr>
          <w:lang w:val="en-US"/>
        </w:rPr>
      </w:pPr>
      <w:r w:rsidRPr="002410C6">
        <w:rPr>
          <w:b/>
          <w:bCs/>
          <w:lang w:val="en-US"/>
        </w:rPr>
        <w:t>Geographically</w:t>
      </w:r>
      <w:r w:rsidRPr="007B1675">
        <w:rPr>
          <w:lang w:val="en-US"/>
        </w:rPr>
        <w:t xml:space="preserve">, </w:t>
      </w:r>
    </w:p>
    <w:p w14:paraId="4F066ED0" w14:textId="40316C33" w:rsidR="007B1675" w:rsidRPr="007B1675" w:rsidRDefault="007B1675" w:rsidP="007B1675">
      <w:pPr>
        <w:pStyle w:val="princy"/>
        <w:rPr>
          <w:lang w:val="en-US"/>
        </w:rPr>
      </w:pPr>
      <w:r w:rsidRPr="007B1675">
        <w:rPr>
          <w:lang w:val="en-US"/>
        </w:rPr>
        <w:t>the contrast is sharp. In the United States, the official store locator shows a wide footprint across luxury-intensive urban centres and destination shopping markets, including New York, California, Florida, Texas, Atlanta, Las Vegas, and department-store partnerships. In India, the footprint is intentionally concentrated in the highest-income metro nodes, with official stores in New Delhi, Mumbai, and Bangalore. That tells us immediately that Louis Vuitton treats the United States as a broad premium geography and India as a selective prestige geography. The targeting logic is not national average demand; it is concentrated city-level wealth. (Louis Vuitton, 2026)</w:t>
      </w:r>
    </w:p>
    <w:p w14:paraId="29BE7787" w14:textId="77777777" w:rsidR="002410C6" w:rsidRDefault="007B1675" w:rsidP="007B1675">
      <w:pPr>
        <w:pStyle w:val="princy"/>
        <w:rPr>
          <w:lang w:val="en-US"/>
        </w:rPr>
      </w:pPr>
      <w:r w:rsidRPr="002410C6">
        <w:rPr>
          <w:b/>
          <w:bCs/>
          <w:lang w:val="en-US"/>
        </w:rPr>
        <w:t>Psychographically</w:t>
      </w:r>
      <w:r w:rsidRPr="007B1675">
        <w:rPr>
          <w:lang w:val="en-US"/>
        </w:rPr>
        <w:t xml:space="preserve">, </w:t>
      </w:r>
    </w:p>
    <w:p w14:paraId="44D5F3E9" w14:textId="74EFACA0" w:rsidR="007B1675" w:rsidRPr="007B1675" w:rsidRDefault="007B1675" w:rsidP="007B1675">
      <w:pPr>
        <w:pStyle w:val="princy"/>
        <w:rPr>
          <w:lang w:val="en-US"/>
        </w:rPr>
      </w:pPr>
      <w:r w:rsidRPr="007B1675">
        <w:rPr>
          <w:lang w:val="en-US"/>
        </w:rPr>
        <w:t xml:space="preserve">the House targets consumers who combine achievement with image management. In the language of AIO and VALS-style thinking, the U.S. buyer leans toward Innovators, Achievers, and Experiencers: people who want self-expression, premium service, cultural access, and personalised identity. The Indian buyer is also achievement-led, but journal work shows stronger ties to materialism, brand consciousness, and the symbolic use of luxury to express success, aspiration, and distinction. That is why visible icons, gifting rituals, and prestige-store environments work so well in India. </w:t>
      </w:r>
      <w:r w:rsidRPr="007B1675">
        <w:rPr>
          <w:lang w:val="en-US"/>
        </w:rPr>
        <w:lastRenderedPageBreak/>
        <w:t>Lifestyle matters too. Louis Vuitton’s most likely heavy users are frequent travellers, entrepreneurs, senior professionals, business owners, celebrities, and globally exposed households who treat luxury not as a one-off purchase but as repertoire. Its medium users often buy in key moments: promotions, weddings, travel, anniversaries, or milestone gifting. Non-users and light users can still be strategically important because they form the future pipeline through fragrance, beauty, or a first accessory purchase. (Sharda &amp; Bhat, 2018)</w:t>
      </w:r>
    </w:p>
    <w:p w14:paraId="0AD0F6F4" w14:textId="77777777" w:rsidR="002410C6" w:rsidRDefault="007B1675" w:rsidP="007B1675">
      <w:pPr>
        <w:pStyle w:val="princy"/>
        <w:rPr>
          <w:lang w:val="en-US"/>
        </w:rPr>
      </w:pPr>
      <w:r w:rsidRPr="002410C6">
        <w:rPr>
          <w:b/>
          <w:bCs/>
          <w:lang w:val="en-US"/>
        </w:rPr>
        <w:t>Behaviourally</w:t>
      </w:r>
      <w:r w:rsidRPr="007B1675">
        <w:rPr>
          <w:lang w:val="en-US"/>
        </w:rPr>
        <w:t xml:space="preserve">, </w:t>
      </w:r>
    </w:p>
    <w:p w14:paraId="5EFAFD05" w14:textId="0AFC4432" w:rsidR="007B1675" w:rsidRPr="007B1675" w:rsidRDefault="007B1675" w:rsidP="007B1675">
      <w:pPr>
        <w:pStyle w:val="princy"/>
        <w:rPr>
          <w:lang w:val="en-US"/>
        </w:rPr>
      </w:pPr>
      <w:r w:rsidRPr="007B1675">
        <w:rPr>
          <w:lang w:val="en-US"/>
        </w:rPr>
        <w:t>Louis Vuitton segments by usage intensity and loyalty. Heavy users want private client treatment, exclusivity, repair support, and early access. Brand-loyal users respond to craftsmanship, continuity, and city or artist limited editions. Newer users often arrive through mobile, influencer exposure, or store tourism, then convert into loyalty through advisors, appointments, and after-sales service. This is especially visible in the U.S. beauty launch, which lowers the cash threshold for brand entry without lowering the symbolic threshold. In India, where broader luxury participation is still more selective, fragrances, small leather goods, and personalisation can play the same “gateway luxury” role over time. (Louis Vuitton, 2025)</w:t>
      </w:r>
    </w:p>
    <w:p w14:paraId="5DC99EAD" w14:textId="4CAC7F11" w:rsidR="007B1675" w:rsidRPr="007B1675" w:rsidRDefault="002410C6" w:rsidP="002410C6">
      <w:pPr>
        <w:pStyle w:val="Heading2"/>
        <w:rPr>
          <w:lang w:val="en-US"/>
        </w:rPr>
      </w:pPr>
      <w:bookmarkStart w:id="12" w:name="_Toc227862154"/>
      <w:r>
        <w:rPr>
          <w:lang w:val="en-US"/>
        </w:rPr>
        <w:t xml:space="preserve">3.2 </w:t>
      </w:r>
      <w:r w:rsidR="007B1675" w:rsidRPr="007B1675">
        <w:rPr>
          <w:lang w:val="en-US"/>
        </w:rPr>
        <w:t>Targeting</w:t>
      </w:r>
      <w:bookmarkEnd w:id="12"/>
    </w:p>
    <w:p w14:paraId="1AD94856" w14:textId="77777777" w:rsidR="007B1675" w:rsidRPr="007B1675" w:rsidRDefault="007B1675" w:rsidP="007B1675">
      <w:pPr>
        <w:pStyle w:val="princy"/>
        <w:rPr>
          <w:lang w:val="en-US"/>
        </w:rPr>
      </w:pPr>
      <w:r w:rsidRPr="007B1675">
        <w:rPr>
          <w:lang w:val="en-US"/>
        </w:rPr>
        <w:t>Louis Vuitton is not an undifferentiated marketer. It is best described as a concentrated premium brand using differentiated executions. In the United States, it differentiates across women’s fashion, men’s fashion, travel, beauty, gastronomy, gifting, and local exclusives, but all within a narrow premium target universe. In India, the targeting is even more concentrated: wealthy metro consumers, global travellers, wedding and gifting buyers, and socially visible achievers. This is niche marketing, but on a profitable luxury scale. It is selective by design: the brand chooses not to chase mass reach, because scarcity and curation are part of the product. (Louis Vuitton, 2026)</w:t>
      </w:r>
    </w:p>
    <w:p w14:paraId="1CB8DDE4" w14:textId="48918415" w:rsidR="007B1675" w:rsidRPr="007B1675" w:rsidRDefault="002410C6" w:rsidP="002410C6">
      <w:pPr>
        <w:pStyle w:val="Heading2"/>
        <w:rPr>
          <w:lang w:val="en-US"/>
        </w:rPr>
      </w:pPr>
      <w:bookmarkStart w:id="13" w:name="_Toc227862155"/>
      <w:r>
        <w:rPr>
          <w:lang w:val="en-US"/>
        </w:rPr>
        <w:t xml:space="preserve">3.3 </w:t>
      </w:r>
      <w:r w:rsidR="007B1675" w:rsidRPr="007B1675">
        <w:rPr>
          <w:lang w:val="en-US"/>
        </w:rPr>
        <w:t>Positioning</w:t>
      </w:r>
      <w:bookmarkEnd w:id="13"/>
    </w:p>
    <w:p w14:paraId="7B2534B6" w14:textId="77777777" w:rsidR="007B1675" w:rsidRPr="007B1675" w:rsidRDefault="007B1675" w:rsidP="007B1675">
      <w:pPr>
        <w:pStyle w:val="princy"/>
        <w:rPr>
          <w:lang w:val="en-US"/>
        </w:rPr>
      </w:pPr>
      <w:r w:rsidRPr="007B1675">
        <w:rPr>
          <w:lang w:val="en-US"/>
        </w:rPr>
        <w:t xml:space="preserve">Louis Vuitton’s positioning works on several layers at once. First, there is benefit positioning: craftsmanship, durability, prestige, and emotional reassurance. Second, there is user positioning: the buyer is worldly, successful, mobile, and culturally literate. Third, there is an element of comparative positioning, even if the brand does not advertise in a head-on comparative style. Louis Vuitton positions itself above rivals by </w:t>
      </w:r>
      <w:r w:rsidRPr="007B1675">
        <w:rPr>
          <w:lang w:val="en-US"/>
        </w:rPr>
        <w:lastRenderedPageBreak/>
        <w:t>implication, through control, rarity, heritage, and category authority. Fourth, there is classic product-attribute positioning around materials, construction, monogram, and travel heritage. Fifth, there is use/application positioning: carry-on travel, gifting, ceremonial occasions, city dressing, and now beauty self-expression. Sixth, there is price-quality positioning: very high price is not a drawback but proof of scarcity and craft. Seventh, there is product-user positioning and product-class positioning: Louis Vuitton must remain unmistakably “luxury house,” not merely “fashion label.” Finally, there is cultural-symbol positioning. In the United States, the symbol increasingly mixes archive and cool. In India, it still leans more strongly toward visible legitimacy and social arrival. (Louis Vuitton, 2026)</w:t>
      </w:r>
    </w:p>
    <w:p w14:paraId="5FBC94FB" w14:textId="77777777" w:rsidR="007B1675" w:rsidRPr="002410C6" w:rsidRDefault="007B1675" w:rsidP="007B1675">
      <w:pPr>
        <w:pStyle w:val="princy"/>
        <w:rPr>
          <w:b/>
          <w:bCs/>
        </w:rPr>
      </w:pPr>
    </w:p>
    <w:p w14:paraId="0CDC377F" w14:textId="77777777" w:rsidR="002410C6" w:rsidRPr="002410C6" w:rsidRDefault="002410C6" w:rsidP="002410C6">
      <w:pPr>
        <w:pStyle w:val="princy"/>
        <w:rPr>
          <w:b/>
          <w:bCs/>
        </w:rPr>
      </w:pPr>
      <w:r w:rsidRPr="002410C6">
        <w:rPr>
          <w:b/>
          <w:bCs/>
        </w:rPr>
        <w:t>Illustrative perceptual map</w:t>
      </w:r>
    </w:p>
    <w:p w14:paraId="7749B795" w14:textId="77777777" w:rsidR="002410C6" w:rsidRDefault="002410C6" w:rsidP="002410C6">
      <w:pPr>
        <w:pStyle w:val="princy"/>
      </w:pPr>
      <w:r>
        <w:t>The map below is an analytical interpretation based on official retail format, category expansion, and luxury-consumption research. It is not a survey-based consumer map.</w:t>
      </w:r>
    </w:p>
    <w:p w14:paraId="6214D506" w14:textId="28F3D6EB" w:rsidR="002410C6" w:rsidRDefault="002410C6" w:rsidP="002410C6">
      <w:pPr>
        <w:pStyle w:val="princy"/>
      </w:pPr>
      <w:r>
        <w:t>Vertical</w:t>
      </w:r>
      <w:r>
        <w:t>-</w:t>
      </w:r>
      <w:r>
        <w:t>axis:experiential/</w:t>
      </w:r>
      <w:r>
        <w:t>cultural-immersion</w:t>
      </w:r>
      <w:r>
        <w:br/>
        <w:t>Horizontal axis: conspicuous status signalling</w:t>
      </w:r>
    </w:p>
    <w:p w14:paraId="375D07E7" w14:textId="7491D517" w:rsidR="002410C6" w:rsidRPr="002410C6" w:rsidRDefault="002410C6" w:rsidP="002410C6">
      <w:pPr>
        <w:pStyle w:val="princy"/>
      </w:pPr>
      <w:r w:rsidRPr="002410C6">
        <w:drawing>
          <wp:inline distT="0" distB="0" distL="0" distR="0" wp14:anchorId="76C67AAC" wp14:editId="0663CBAD">
            <wp:extent cx="5731510" cy="3820795"/>
            <wp:effectExtent l="0" t="0" r="2540" b="8255"/>
            <wp:docPr id="113148496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4CA0F56C" w14:textId="77777777" w:rsidR="002410C6" w:rsidRDefault="002410C6" w:rsidP="002410C6">
      <w:pPr>
        <w:pStyle w:val="princy"/>
      </w:pPr>
      <w:r>
        <w:lastRenderedPageBreak/>
        <w:t>The brief explanation is simple. Louis Vuitton in the United States sits slightly higher on experience because of category extension into café, chocolate, beauty tools, and city-specific retail theatre. Louis Vuitton in India sits slightly further to the right because the brand still functions more strongly as a public marker of success and cosmopolitan attainment. Both remain highly exclusive, but they lean into different emotional payoffs. (Louis Vuitton, 2025)</w:t>
      </w:r>
    </w:p>
    <w:p w14:paraId="751C1052" w14:textId="3986FC18" w:rsidR="002410C6" w:rsidRDefault="002410C6" w:rsidP="002410C6">
      <w:pPr>
        <w:pStyle w:val="Heading2"/>
      </w:pPr>
      <w:bookmarkStart w:id="14" w:name="_Toc227862156"/>
      <w:r>
        <w:t xml:space="preserve">4.0 </w:t>
      </w:r>
      <w:r>
        <w:t>Marketing mix in the United States and India</w:t>
      </w:r>
      <w:bookmarkEnd w:id="14"/>
    </w:p>
    <w:p w14:paraId="2D9415F4" w14:textId="457F75DD" w:rsidR="002410C6" w:rsidRDefault="002410C6" w:rsidP="002410C6">
      <w:pPr>
        <w:pStyle w:val="princy"/>
      </w:pPr>
      <w:r>
        <w:t>Kotler and Armstrong describe the marketing mix as the set of tactical tools a firm blends to produce the response it wants in the target market, and Kotler and Keller treat promotion as the communication task through which firms inform, persuade, and remind consumers about the brands they sell. Those classic ideas are still useful here because Louis Vuitton’s strength lies in how tightly the 7Ps reinforce one another rather than operating separately. (O’Sullivan &amp; Ngugi, 2022)</w:t>
      </w:r>
    </w:p>
    <w:tbl>
      <w:tblPr>
        <w:tblW w:w="9360" w:type="dxa"/>
        <w:tblBorders>
          <w:top w:val="single" w:sz="2" w:space="0" w:color="auto"/>
          <w:left w:val="single" w:sz="2" w:space="0" w:color="auto"/>
          <w:bottom w:val="single" w:sz="2" w:space="0" w:color="auto"/>
          <w:right w:val="single" w:sz="2" w:space="0" w:color="auto"/>
        </w:tblBorders>
        <w:shd w:val="clear" w:color="auto" w:fill="FFFFFF"/>
        <w:tblCellMar>
          <w:left w:w="0" w:type="dxa"/>
          <w:right w:w="0" w:type="dxa"/>
        </w:tblCellMar>
        <w:tblLook w:val="04A0" w:firstRow="1" w:lastRow="0" w:firstColumn="1" w:lastColumn="0" w:noHBand="0" w:noVBand="1"/>
      </w:tblPr>
      <w:tblGrid>
        <w:gridCol w:w="966"/>
        <w:gridCol w:w="2399"/>
        <w:gridCol w:w="2782"/>
        <w:gridCol w:w="3213"/>
      </w:tblGrid>
      <w:tr w:rsidR="002410C6" w:rsidRPr="002410C6" w14:paraId="6F3CE450" w14:textId="77777777">
        <w:trPr>
          <w:tblHeader/>
        </w:trPr>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184961EE" w14:textId="77777777" w:rsidR="002410C6" w:rsidRPr="002410C6" w:rsidRDefault="002410C6" w:rsidP="002410C6">
            <w:pPr>
              <w:spacing w:after="0" w:line="240" w:lineRule="auto"/>
              <w:rPr>
                <w:rFonts w:ascii="Segoe UI" w:eastAsia="Times New Roman" w:hAnsi="Segoe UI" w:cs="Segoe UI"/>
                <w:b/>
                <w:bCs/>
                <w:color w:val="0D0D0D"/>
                <w:spacing w:val="-2"/>
                <w:kern w:val="0"/>
                <w:sz w:val="20"/>
                <w:szCs w:val="20"/>
                <w:lang w:eastAsia="en-IN"/>
                <w14:ligatures w14:val="none"/>
              </w:rPr>
            </w:pPr>
            <w:r w:rsidRPr="002410C6">
              <w:rPr>
                <w:rFonts w:ascii="Segoe UI" w:eastAsia="Times New Roman" w:hAnsi="Segoe UI" w:cs="Segoe UI"/>
                <w:b/>
                <w:bCs/>
                <w:color w:val="0D0D0D"/>
                <w:spacing w:val="-2"/>
                <w:kern w:val="0"/>
                <w:sz w:val="20"/>
                <w:szCs w:val="20"/>
                <w:lang w:eastAsia="en-IN"/>
                <w14:ligatures w14:val="none"/>
              </w:rPr>
              <w:t>7P</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523E9BAF" w14:textId="77777777" w:rsidR="002410C6" w:rsidRPr="002410C6" w:rsidRDefault="002410C6" w:rsidP="002410C6">
            <w:pPr>
              <w:spacing w:after="0" w:line="240" w:lineRule="auto"/>
              <w:rPr>
                <w:rFonts w:ascii="Segoe UI" w:eastAsia="Times New Roman" w:hAnsi="Segoe UI" w:cs="Segoe UI"/>
                <w:b/>
                <w:bCs/>
                <w:color w:val="0D0D0D"/>
                <w:spacing w:val="-2"/>
                <w:kern w:val="0"/>
                <w:sz w:val="20"/>
                <w:szCs w:val="20"/>
                <w:lang w:eastAsia="en-IN"/>
                <w14:ligatures w14:val="none"/>
              </w:rPr>
            </w:pPr>
            <w:r w:rsidRPr="002410C6">
              <w:rPr>
                <w:rFonts w:ascii="Segoe UI" w:eastAsia="Times New Roman" w:hAnsi="Segoe UI" w:cs="Segoe UI"/>
                <w:b/>
                <w:bCs/>
                <w:color w:val="0D0D0D"/>
                <w:spacing w:val="-2"/>
                <w:kern w:val="0"/>
                <w:sz w:val="20"/>
                <w:szCs w:val="20"/>
                <w:lang w:eastAsia="en-IN"/>
                <w14:ligatures w14:val="none"/>
              </w:rPr>
              <w:t>USA</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46E77991" w14:textId="77777777" w:rsidR="002410C6" w:rsidRPr="002410C6" w:rsidRDefault="002410C6" w:rsidP="002410C6">
            <w:pPr>
              <w:spacing w:after="0" w:line="240" w:lineRule="auto"/>
              <w:rPr>
                <w:rFonts w:ascii="Segoe UI" w:eastAsia="Times New Roman" w:hAnsi="Segoe UI" w:cs="Segoe UI"/>
                <w:b/>
                <w:bCs/>
                <w:color w:val="0D0D0D"/>
                <w:spacing w:val="-2"/>
                <w:kern w:val="0"/>
                <w:sz w:val="20"/>
                <w:szCs w:val="20"/>
                <w:lang w:eastAsia="en-IN"/>
                <w14:ligatures w14:val="none"/>
              </w:rPr>
            </w:pPr>
            <w:r w:rsidRPr="002410C6">
              <w:rPr>
                <w:rFonts w:ascii="Segoe UI" w:eastAsia="Times New Roman" w:hAnsi="Segoe UI" w:cs="Segoe UI"/>
                <w:b/>
                <w:bCs/>
                <w:color w:val="0D0D0D"/>
                <w:spacing w:val="-2"/>
                <w:kern w:val="0"/>
                <w:sz w:val="20"/>
                <w:szCs w:val="20"/>
                <w:lang w:eastAsia="en-IN"/>
                <w14:ligatures w14:val="none"/>
              </w:rPr>
              <w:t>India</w:t>
            </w:r>
          </w:p>
        </w:tc>
        <w:tc>
          <w:tcPr>
            <w:tcW w:w="0" w:type="auto"/>
            <w:tcBorders>
              <w:top w:val="single" w:sz="2" w:space="0" w:color="111111"/>
              <w:left w:val="single" w:sz="2" w:space="0" w:color="111111"/>
              <w:bottom w:val="single" w:sz="6" w:space="0" w:color="111111"/>
              <w:right w:val="single" w:sz="2" w:space="0" w:color="111111"/>
            </w:tcBorders>
            <w:shd w:val="clear" w:color="auto" w:fill="FFFFFF"/>
            <w:vAlign w:val="center"/>
            <w:hideMark/>
          </w:tcPr>
          <w:p w14:paraId="392F8638" w14:textId="77777777" w:rsidR="002410C6" w:rsidRPr="002410C6" w:rsidRDefault="002410C6" w:rsidP="002410C6">
            <w:pPr>
              <w:spacing w:after="0" w:line="240" w:lineRule="auto"/>
              <w:rPr>
                <w:rFonts w:ascii="Segoe UI" w:eastAsia="Times New Roman" w:hAnsi="Segoe UI" w:cs="Segoe UI"/>
                <w:b/>
                <w:bCs/>
                <w:color w:val="0D0D0D"/>
                <w:spacing w:val="-2"/>
                <w:kern w:val="0"/>
                <w:sz w:val="20"/>
                <w:szCs w:val="20"/>
                <w:lang w:eastAsia="en-IN"/>
                <w14:ligatures w14:val="none"/>
              </w:rPr>
            </w:pPr>
            <w:r w:rsidRPr="002410C6">
              <w:rPr>
                <w:rFonts w:ascii="Segoe UI" w:eastAsia="Times New Roman" w:hAnsi="Segoe UI" w:cs="Segoe UI"/>
                <w:b/>
                <w:bCs/>
                <w:color w:val="0D0D0D"/>
                <w:spacing w:val="-2"/>
                <w:kern w:val="0"/>
                <w:sz w:val="20"/>
                <w:szCs w:val="20"/>
                <w:lang w:eastAsia="en-IN"/>
                <w14:ligatures w14:val="none"/>
              </w:rPr>
              <w:t>Similarities and differences</w:t>
            </w:r>
          </w:p>
        </w:tc>
      </w:tr>
      <w:tr w:rsidR="002410C6" w:rsidRPr="002410C6" w14:paraId="5E81FF8B"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E0FC654"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Product</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E384256"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Very wide visible width: bags, travel, ready-to-wear, shoes, watches, fine jewellery, perfume, beauty, books, home, and experience-led extensions such as café/chocolat.</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F558B1A"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Core width is more curated in practice: women’s and men’s luxury goods plus strong emphasis on bags, travel, perfumes, jewellery, repairs, and personalisation.</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2FC61E37"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b/>
                <w:bCs/>
                <w:color w:val="0D0D0D"/>
                <w:spacing w:val="-2"/>
                <w:kern w:val="0"/>
                <w:sz w:val="20"/>
                <w:szCs w:val="20"/>
                <w:bdr w:val="single" w:sz="2" w:space="0" w:color="auto" w:frame="1"/>
                <w:lang w:eastAsia="en-IN"/>
                <w14:ligatures w14:val="none"/>
              </w:rPr>
              <w:t>Similarity:</w:t>
            </w:r>
            <w:r w:rsidRPr="002410C6">
              <w:rPr>
                <w:rFonts w:ascii="Segoe UI" w:eastAsia="Times New Roman" w:hAnsi="Segoe UI" w:cs="Segoe UI"/>
                <w:color w:val="0D0D0D"/>
                <w:spacing w:val="-2"/>
                <w:kern w:val="0"/>
                <w:sz w:val="20"/>
                <w:szCs w:val="20"/>
                <w:lang w:eastAsia="en-IN"/>
                <w14:ligatures w14:val="none"/>
              </w:rPr>
              <w:t> same brand codes, craftsmanship and iconic silhouettes. </w:t>
            </w:r>
            <w:r w:rsidRPr="002410C6">
              <w:rPr>
                <w:rFonts w:ascii="Segoe UI" w:eastAsia="Times New Roman" w:hAnsi="Segoe UI" w:cs="Segoe UI"/>
                <w:b/>
                <w:bCs/>
                <w:color w:val="0D0D0D"/>
                <w:spacing w:val="-2"/>
                <w:kern w:val="0"/>
                <w:sz w:val="20"/>
                <w:szCs w:val="20"/>
                <w:bdr w:val="single" w:sz="2" w:space="0" w:color="auto" w:frame="1"/>
                <w:lang w:eastAsia="en-IN"/>
                <w14:ligatures w14:val="none"/>
              </w:rPr>
              <w:t>Difference:</w:t>
            </w:r>
            <w:r w:rsidRPr="002410C6">
              <w:rPr>
                <w:rFonts w:ascii="Segoe UI" w:eastAsia="Times New Roman" w:hAnsi="Segoe UI" w:cs="Segoe UI"/>
                <w:color w:val="0D0D0D"/>
                <w:spacing w:val="-2"/>
                <w:kern w:val="0"/>
                <w:sz w:val="20"/>
                <w:szCs w:val="20"/>
                <w:lang w:eastAsia="en-IN"/>
                <w14:ligatures w14:val="none"/>
              </w:rPr>
              <w:t> the U.S. has greater category depth and lifestyle adjacencies.</w:t>
            </w:r>
          </w:p>
        </w:tc>
      </w:tr>
      <w:tr w:rsidR="002410C6" w:rsidRPr="002410C6" w14:paraId="2A062B45"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C354FFD"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Price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44A643D"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Premium prestige pricing with highly visible online thresholds, allowing a ladder from beauty and accessories to leather goods and jewellery.</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4F4755E"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Premium pricing reinforced by import costs, taxes, currency effects, and scarcity of physical access.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1475EA2"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b/>
                <w:bCs/>
                <w:color w:val="0D0D0D"/>
                <w:spacing w:val="-2"/>
                <w:kern w:val="0"/>
                <w:sz w:val="20"/>
                <w:szCs w:val="20"/>
                <w:bdr w:val="single" w:sz="2" w:space="0" w:color="auto" w:frame="1"/>
                <w:lang w:eastAsia="en-IN"/>
                <w14:ligatures w14:val="none"/>
              </w:rPr>
              <w:t>Similarity:</w:t>
            </w:r>
            <w:r w:rsidRPr="002410C6">
              <w:rPr>
                <w:rFonts w:ascii="Segoe UI" w:eastAsia="Times New Roman" w:hAnsi="Segoe UI" w:cs="Segoe UI"/>
                <w:color w:val="0D0D0D"/>
                <w:spacing w:val="-2"/>
                <w:kern w:val="0"/>
                <w:sz w:val="20"/>
                <w:szCs w:val="20"/>
                <w:lang w:eastAsia="en-IN"/>
                <w14:ligatures w14:val="none"/>
              </w:rPr>
              <w:t> price is part of brand meaning. </w:t>
            </w:r>
            <w:r w:rsidRPr="002410C6">
              <w:rPr>
                <w:rFonts w:ascii="Segoe UI" w:eastAsia="Times New Roman" w:hAnsi="Segoe UI" w:cs="Segoe UI"/>
                <w:b/>
                <w:bCs/>
                <w:color w:val="0D0D0D"/>
                <w:spacing w:val="-2"/>
                <w:kern w:val="0"/>
                <w:sz w:val="20"/>
                <w:szCs w:val="20"/>
                <w:bdr w:val="single" w:sz="2" w:space="0" w:color="auto" w:frame="1"/>
                <w:lang w:eastAsia="en-IN"/>
                <w14:ligatures w14:val="none"/>
              </w:rPr>
              <w:t>Difference:</w:t>
            </w:r>
            <w:r w:rsidRPr="002410C6">
              <w:rPr>
                <w:rFonts w:ascii="Segoe UI" w:eastAsia="Times New Roman" w:hAnsi="Segoe UI" w:cs="Segoe UI"/>
                <w:color w:val="0D0D0D"/>
                <w:spacing w:val="-2"/>
                <w:kern w:val="0"/>
                <w:sz w:val="20"/>
                <w:szCs w:val="20"/>
                <w:lang w:eastAsia="en-IN"/>
                <w14:ligatures w14:val="none"/>
              </w:rPr>
              <w:t> India’s landed-price context strengthens exclusivity further.</w:t>
            </w:r>
          </w:p>
        </w:tc>
      </w:tr>
      <w:tr w:rsidR="002410C6" w:rsidRPr="002410C6" w14:paraId="4D9512A5"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9B6B54F"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Place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0156625F"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Predominantly direct distribution through own stores, online channels, appointments, and selective luxury environments.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A087707"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Also direct and highly selective, but with only a few metro stores and heavier dependence on boutique-led clienteling.</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1CB414D"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Louis Vuitton is fundamentally a direct-distribution brand in both markets, not an indirect mass-channel player.</w:t>
            </w:r>
          </w:p>
        </w:tc>
      </w:tr>
      <w:tr w:rsidR="002410C6" w:rsidRPr="002410C6" w14:paraId="37A1F310"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AF91E74"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Promotion</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2123229"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Rich IMC mix: campaigns, email/SMS, advisors, in-store theatre, gastronomy, beauty launch, cultural storytelling, city exclusives.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F1B4FFF"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Digital storytelling, client advisor outreach, personalisation, prestige mall visibility, and metro-led elite word-of-mouth are more central.</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5D8C248"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The U.S. mix is broader and more experiential; India’s is narrower but highly symbolic.</w:t>
            </w:r>
          </w:p>
        </w:tc>
      </w:tr>
      <w:tr w:rsidR="002410C6" w:rsidRPr="002410C6" w14:paraId="01E73CB1"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AF67B69"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People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CE959BD"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 xml:space="preserve">Publicly, Louis Vuitton had nearly 35,000 employees worldwide in 2023; LVMH employed 215,637 in 2024. </w:t>
            </w:r>
            <w:r w:rsidRPr="002410C6">
              <w:rPr>
                <w:rFonts w:ascii="Segoe UI" w:eastAsia="Times New Roman" w:hAnsi="Segoe UI" w:cs="Segoe UI"/>
                <w:color w:val="0D0D0D"/>
                <w:spacing w:val="-2"/>
                <w:kern w:val="0"/>
                <w:sz w:val="20"/>
                <w:szCs w:val="20"/>
                <w:lang w:eastAsia="en-IN"/>
                <w14:ligatures w14:val="none"/>
              </w:rPr>
              <w:lastRenderedPageBreak/>
              <w:t>The U.S. format includes specialist service roles across retail, hospitality, and beauty.</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5F248565"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lastRenderedPageBreak/>
              <w:t xml:space="preserve">Country-level headcount is not publicly broken out, but the smaller Indian network implies a </w:t>
            </w:r>
            <w:r w:rsidRPr="002410C6">
              <w:rPr>
                <w:rFonts w:ascii="Segoe UI" w:eastAsia="Times New Roman" w:hAnsi="Segoe UI" w:cs="Segoe UI"/>
                <w:color w:val="0D0D0D"/>
                <w:spacing w:val="-2"/>
                <w:kern w:val="0"/>
                <w:sz w:val="20"/>
                <w:szCs w:val="20"/>
                <w:lang w:eastAsia="en-IN"/>
                <w14:ligatures w14:val="none"/>
              </w:rPr>
              <w:lastRenderedPageBreak/>
              <w:t>more boutique, advisor-centric service structure.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71E5673"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lastRenderedPageBreak/>
              <w:t>People are critical in both markets because luxury credibility lives in service quality as much as product quality.</w:t>
            </w:r>
          </w:p>
        </w:tc>
      </w:tr>
      <w:tr w:rsidR="002410C6" w:rsidRPr="002410C6" w14:paraId="29856958"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1F100DA5"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Process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45E84763"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Appointment booking, client advisors, product care, repairs, and after-sales service are integrated into the customer journey; digital-to-store flow is strong.</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B0786A4"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Similar process architecture exists, but the journey is more concentrated around phone/chat/email support and high-touch store interaction in a few key cities.</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6AC52E12"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The process is premium, not transactional, in both markets; the U.S. ecosystem is simply wider.</w:t>
            </w:r>
          </w:p>
        </w:tc>
      </w:tr>
      <w:tr w:rsidR="002410C6" w:rsidRPr="002410C6" w14:paraId="5C4D374E" w14:textId="77777777">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7E2711BB"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Physical evidence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BE03F0D"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57th Street NYC, café, chocolate shop, city exclusives, packaging, monogram, display, and service ritual all make the brand tangible.</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24DFA2FA"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Prestige malls, sparse store network, monogram, service ritual, and repair/personalisation cues create exclusivity through controlled scarcity.</w:t>
            </w:r>
          </w:p>
        </w:tc>
        <w:tc>
          <w:tcPr>
            <w:tcW w:w="0" w:type="auto"/>
            <w:tcBorders>
              <w:top w:val="single" w:sz="2" w:space="0" w:color="auto"/>
              <w:left w:val="single" w:sz="2" w:space="0" w:color="auto"/>
              <w:bottom w:val="single" w:sz="2" w:space="0" w:color="auto"/>
              <w:right w:val="single" w:sz="2" w:space="0" w:color="auto"/>
            </w:tcBorders>
            <w:shd w:val="clear" w:color="auto" w:fill="FFFFFF"/>
            <w:hideMark/>
          </w:tcPr>
          <w:p w14:paraId="327C0EB6" w14:textId="77777777" w:rsidR="002410C6" w:rsidRPr="002410C6" w:rsidRDefault="002410C6" w:rsidP="002410C6">
            <w:pPr>
              <w:spacing w:after="0" w:line="240" w:lineRule="auto"/>
              <w:rPr>
                <w:rFonts w:ascii="Segoe UI" w:eastAsia="Times New Roman" w:hAnsi="Segoe UI" w:cs="Segoe UI"/>
                <w:color w:val="0D0D0D"/>
                <w:spacing w:val="-2"/>
                <w:kern w:val="0"/>
                <w:sz w:val="20"/>
                <w:szCs w:val="20"/>
                <w:lang w:eastAsia="en-IN"/>
                <w14:ligatures w14:val="none"/>
              </w:rPr>
            </w:pPr>
            <w:r w:rsidRPr="002410C6">
              <w:rPr>
                <w:rFonts w:ascii="Segoe UI" w:eastAsia="Times New Roman" w:hAnsi="Segoe UI" w:cs="Segoe UI"/>
                <w:color w:val="0D0D0D"/>
                <w:spacing w:val="-2"/>
                <w:kern w:val="0"/>
                <w:sz w:val="20"/>
                <w:szCs w:val="20"/>
                <w:lang w:eastAsia="en-IN"/>
                <w14:ligatures w14:val="none"/>
              </w:rPr>
              <w:t>In both markets, the physical environment is part of the product. In the U.S. it feels immersive; in India it feels elevated and selective.</w:t>
            </w:r>
          </w:p>
        </w:tc>
      </w:tr>
    </w:tbl>
    <w:p w14:paraId="332B7CE1" w14:textId="77777777" w:rsidR="007B1675" w:rsidRPr="007B1675" w:rsidRDefault="007B1675" w:rsidP="007B1675">
      <w:pPr>
        <w:pStyle w:val="princy"/>
        <w:rPr>
          <w:lang w:val="en-US"/>
        </w:rPr>
      </w:pPr>
    </w:p>
    <w:p w14:paraId="49648F21" w14:textId="77777777" w:rsidR="007B1675" w:rsidRPr="007B1675" w:rsidRDefault="007B1675" w:rsidP="002410C6">
      <w:pPr>
        <w:pStyle w:val="princy"/>
      </w:pPr>
    </w:p>
    <w:p w14:paraId="013E3D9C" w14:textId="77777777" w:rsidR="002410C6" w:rsidRDefault="002410C6" w:rsidP="002410C6">
      <w:pPr>
        <w:pStyle w:val="princy"/>
      </w:pPr>
      <w:r>
        <w:t>Supporting sources for the table and commentary: (Louis Vuitton, 2026)</w:t>
      </w:r>
    </w:p>
    <w:p w14:paraId="7BDB6242" w14:textId="77777777" w:rsidR="002410C6" w:rsidRPr="002410C6" w:rsidRDefault="002410C6" w:rsidP="002410C6">
      <w:pPr>
        <w:pStyle w:val="princy"/>
        <w:rPr>
          <w:lang w:val="en-US"/>
        </w:rPr>
      </w:pPr>
      <w:r w:rsidRPr="002410C6">
        <w:rPr>
          <w:lang w:val="en-US"/>
        </w:rPr>
        <w:t xml:space="preserve">A closer look shows why the mix works. In </w:t>
      </w:r>
      <w:r w:rsidRPr="002410C6">
        <w:rPr>
          <w:b/>
          <w:bCs/>
          <w:lang w:val="en-US"/>
        </w:rPr>
        <w:t>product</w:t>
      </w:r>
      <w:r w:rsidRPr="002410C6">
        <w:rPr>
          <w:lang w:val="en-US"/>
        </w:rPr>
        <w:t xml:space="preserve">, Louis Vuitton’s width in the United States is unmistakably broader. The House now extends from travel and leather goods into beauty and luxury food service. In India, Louis Vuitton remains more tightly edited around core luxury categories, which is operationally sensible given the still-small store base. In </w:t>
      </w:r>
      <w:r w:rsidRPr="00503334">
        <w:rPr>
          <w:b/>
          <w:bCs/>
          <w:lang w:val="en-US"/>
        </w:rPr>
        <w:t>pricing</w:t>
      </w:r>
      <w:r w:rsidRPr="002410C6">
        <w:rPr>
          <w:lang w:val="en-US"/>
        </w:rPr>
        <w:t>, the logic is classic premium luxury: maintain high entry barriers, preserve status, and use adjacent lower-ticket categories carefully rather than discounting core products. In</w:t>
      </w:r>
      <w:r w:rsidRPr="002410C6">
        <w:rPr>
          <w:b/>
          <w:bCs/>
          <w:lang w:val="en-US"/>
        </w:rPr>
        <w:t xml:space="preserve"> place</w:t>
      </w:r>
      <w:r w:rsidRPr="002410C6">
        <w:rPr>
          <w:lang w:val="en-US"/>
        </w:rPr>
        <w:t>, Louis Vuitton mostly uses direct channels. Even where it appears in department stores or concession-like environments, the brand seeks to retain strong control, which is exactly what a luxury house must do to avoid dilution. (Louis Vuitton, 2026)</w:t>
      </w:r>
    </w:p>
    <w:p w14:paraId="2A558706" w14:textId="77777777" w:rsidR="002410C6" w:rsidRPr="002410C6" w:rsidRDefault="002410C6" w:rsidP="002410C6">
      <w:pPr>
        <w:pStyle w:val="princy"/>
        <w:rPr>
          <w:lang w:val="en-US"/>
        </w:rPr>
      </w:pPr>
      <w:r w:rsidRPr="002410C6">
        <w:rPr>
          <w:lang w:val="en-US"/>
        </w:rPr>
        <w:t xml:space="preserve">In </w:t>
      </w:r>
      <w:r w:rsidRPr="002410C6">
        <w:rPr>
          <w:b/>
          <w:bCs/>
          <w:lang w:val="en-US"/>
        </w:rPr>
        <w:t>promotion</w:t>
      </w:r>
      <w:r w:rsidRPr="002410C6">
        <w:rPr>
          <w:lang w:val="en-US"/>
        </w:rPr>
        <w:t xml:space="preserve">, the United States market is the clearest example of integrated marketing communication working at full strength. The House combines traditional fashion aura with direct marketing, store events, hospitality, digital activation, and mobile tools. The beauty launch led by Dame Pat McGrath(Louis Vuitton, 2025) is especially revealing because it introduces new consumers to Louis Vuitton through an intimate, repeat-use category while preserving the visual and material codes of the brand. India uses many of the same tools, but the mix is more selective and prestige-led, with less evidence of broad lifestyle diversification on the ground. In </w:t>
      </w:r>
      <w:r w:rsidRPr="002410C6">
        <w:rPr>
          <w:b/>
          <w:bCs/>
          <w:lang w:val="en-US"/>
        </w:rPr>
        <w:t>people</w:t>
      </w:r>
      <w:r w:rsidRPr="002410C6">
        <w:rPr>
          <w:lang w:val="en-US"/>
        </w:rPr>
        <w:t xml:space="preserve">, the </w:t>
      </w:r>
      <w:r w:rsidRPr="002410C6">
        <w:rPr>
          <w:lang w:val="en-US"/>
        </w:rPr>
        <w:lastRenderedPageBreak/>
        <w:t>luxury promise depends on staff capable of ritualised service, storytelling, and discretion. Public country-level staffing is not disclosed for the United States or India alone, but Louis Vuitton’s own 2023 social report and LVMH’s wider workforce data confirm that human capital is central to the House’s model. (LVMH, 2024)</w:t>
      </w:r>
    </w:p>
    <w:p w14:paraId="06C1D33A" w14:textId="2ABD10E5" w:rsidR="00646318" w:rsidRPr="00646318" w:rsidRDefault="002410C6" w:rsidP="00646318">
      <w:pPr>
        <w:pStyle w:val="princy"/>
      </w:pPr>
      <w:r w:rsidRPr="002410C6">
        <w:rPr>
          <w:lang w:val="en-US"/>
        </w:rPr>
        <w:t xml:space="preserve">In </w:t>
      </w:r>
      <w:r w:rsidRPr="002410C6">
        <w:rPr>
          <w:b/>
          <w:bCs/>
          <w:lang w:val="en-US"/>
        </w:rPr>
        <w:t>process</w:t>
      </w:r>
      <w:r w:rsidRPr="002410C6">
        <w:rPr>
          <w:lang w:val="en-US"/>
        </w:rPr>
        <w:t xml:space="preserve">, Louis Vuitton’s customer pathway is built around guided, high-assurance interaction. Official sites in both countries emphasise client advisors, FAQs, product care, and repair services. That matters because luxury complaints are rarely “transactional complaints.” They are relationship tests. The best publicly observable process is therefore one of controlled escalation: contact an advisor by phone, chat, or email; receive store or product-care guidance; use repair or appointment services; and resolve issues through client-facing channels rather than anonymous service queues. In </w:t>
      </w:r>
      <w:r w:rsidRPr="00503334">
        <w:rPr>
          <w:b/>
          <w:bCs/>
          <w:lang w:val="en-US"/>
        </w:rPr>
        <w:t>physical evidence</w:t>
      </w:r>
      <w:r w:rsidRPr="002410C6">
        <w:rPr>
          <w:lang w:val="en-US"/>
        </w:rPr>
        <w:t>, every part of the brand world matters: architecture, packaging, store scent, appointment rhythm, craftsmanship cues, and even how signposting or product trays are arranged. The core similarity between the two countries is that Louis Vuitton does not separate product from theatre. The core difference is that the United States has more room to monetise theatre, while India still uses theatre mainly to magnify exclusivity. (Louis Vuitton, 2026)</w:t>
      </w:r>
      <w:r w:rsidR="00646318" w:rsidRPr="00646318">
        <w:drawing>
          <wp:inline distT="0" distB="0" distL="0" distR="0" wp14:anchorId="418AD95E" wp14:editId="77415345">
            <wp:extent cx="2803967" cy="3962400"/>
            <wp:effectExtent l="0" t="0" r="0" b="0"/>
            <wp:docPr id="305578491"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14747" cy="3977633"/>
                    </a:xfrm>
                    <a:prstGeom prst="rect">
                      <a:avLst/>
                    </a:prstGeom>
                    <a:noFill/>
                    <a:ln>
                      <a:noFill/>
                    </a:ln>
                  </pic:spPr>
                </pic:pic>
              </a:graphicData>
            </a:graphic>
          </wp:inline>
        </w:drawing>
      </w:r>
    </w:p>
    <w:p w14:paraId="2E29AD33" w14:textId="54D11702" w:rsidR="002410C6" w:rsidRDefault="002410C6" w:rsidP="002410C6">
      <w:pPr>
        <w:pStyle w:val="princy"/>
        <w:rPr>
          <w:lang w:val="en-US"/>
        </w:rPr>
      </w:pPr>
    </w:p>
    <w:p w14:paraId="65B68BD6" w14:textId="0404F4E1" w:rsidR="00503334" w:rsidRDefault="00503334" w:rsidP="00503334">
      <w:pPr>
        <w:pStyle w:val="Heading2"/>
      </w:pPr>
      <w:bookmarkStart w:id="15" w:name="_Toc227862157"/>
      <w:r>
        <w:lastRenderedPageBreak/>
        <w:t xml:space="preserve">6.0 </w:t>
      </w:r>
      <w:r w:rsidRPr="00503334">
        <w:t>USA growth strategy, ethical evaluation, and recommendations</w:t>
      </w:r>
      <w:bookmarkEnd w:id="15"/>
    </w:p>
    <w:p w14:paraId="246CF8A3" w14:textId="77777777" w:rsidR="00503334" w:rsidRPr="00503334" w:rsidRDefault="00503334" w:rsidP="00503334">
      <w:pPr>
        <w:pStyle w:val="princy"/>
        <w:rPr>
          <w:lang w:val="en-US"/>
        </w:rPr>
      </w:pPr>
      <w:r w:rsidRPr="00503334">
        <w:rPr>
          <w:lang w:val="en-US"/>
        </w:rPr>
        <w:t>For the United States only, Louis Vuitton’s current brand direction can be explained well through the Ansoff Matrix. A directional development strategy is the route a company chooses to grow using existing or new products in existing or new markets. In Louis Vuitton’s U.S. case, the evidence points primarily to market penetration and product development, with touches of related service diversification.</w:t>
      </w:r>
    </w:p>
    <w:p w14:paraId="038B5518" w14:textId="77777777" w:rsidR="00503334" w:rsidRPr="00503334" w:rsidRDefault="00503334" w:rsidP="00503334">
      <w:pPr>
        <w:pStyle w:val="princy"/>
        <w:rPr>
          <w:lang w:val="en-US"/>
        </w:rPr>
      </w:pPr>
      <w:r w:rsidRPr="00503334">
        <w:rPr>
          <w:lang w:val="en-US"/>
        </w:rPr>
        <w:t>The strongest market-penetration signal is the 57th Street retail concept in New York. Rather than treating the U.S. as a simple distribution market, Louis Vuitton is intensifying spend per existing luxury consumer by increasing reasons to visit, dwell, buy, post, and return. The store does not only sell merchandise; it builds a cultural and hospitality environment. That is classic penetration logic in a mature market: deepen share of wallet and share of attention where the brand is already strong. (Louis Vuitton, 2025)</w:t>
      </w:r>
    </w:p>
    <w:p w14:paraId="134C1EF6" w14:textId="77777777" w:rsidR="00503334" w:rsidRPr="00503334" w:rsidRDefault="00503334" w:rsidP="00503334">
      <w:pPr>
        <w:pStyle w:val="princy"/>
        <w:rPr>
          <w:lang w:val="en-US"/>
        </w:rPr>
      </w:pPr>
      <w:r w:rsidRPr="00503334">
        <w:rPr>
          <w:lang w:val="en-US"/>
        </w:rPr>
        <w:t>The clearest product-development move is La Beauté Louis Vuitton and the LV Rouge range. This is not minor brand stretching. It creates a new frequency category, a new self-expression category, and a new brand-entry category, all under Louis Vuitton’s own control and at luxury margins. Beauty also works especially well in the United States because the market is culturally comfortable with premium cosmetics, experiential trial, and repeat purchasing. By designing refillable cases and emphasising formula and craftsmanship, Louis Vuitton is trying to ensure that beauty extends the House rather than cheapens it. (LVMH, 2024)</w:t>
      </w:r>
    </w:p>
    <w:p w14:paraId="6A4C8168" w14:textId="77777777" w:rsidR="00503334" w:rsidRPr="00503334" w:rsidRDefault="00503334" w:rsidP="00503334">
      <w:pPr>
        <w:pStyle w:val="princy"/>
        <w:rPr>
          <w:lang w:val="en-US"/>
        </w:rPr>
      </w:pPr>
      <w:r w:rsidRPr="00503334">
        <w:rPr>
          <w:lang w:val="en-US"/>
        </w:rPr>
        <w:t>A small but meaningful related diversification element appears in Le Café and the chocolatier. These are not separate businesses in the pure conglomerate sense, but they are clear examples of growth through the extension of the luxury lifestyle space around the brand. The advantage of the Ansoff lens is that it makes Louis Vuitton’s U.S. growth pattern easy to read: the House is not primarily chasing new geographies here; it is widening use cases within an existing, high-value market. The disadvantage is that Ansoff can underplay more qualitative luxury risks such as symbolic dilution, cultural overexposure, and the possibility that a house famous for trunks and leather works too hard to become an all-purpose lifestyle ecosystem. For luxury brands, that risk is real. More growth is not always better growth. (Louis Vuitton, 2025)</w:t>
      </w:r>
    </w:p>
    <w:p w14:paraId="3A9965A1" w14:textId="77777777" w:rsidR="00503334" w:rsidRPr="00503334" w:rsidRDefault="00503334" w:rsidP="00503334"/>
    <w:p w14:paraId="7BECC824" w14:textId="77777777" w:rsidR="00503334" w:rsidRPr="002410C6" w:rsidRDefault="00503334" w:rsidP="002410C6">
      <w:pPr>
        <w:pStyle w:val="princy"/>
        <w:rPr>
          <w:lang w:val="en-US"/>
        </w:rPr>
      </w:pPr>
    </w:p>
    <w:p w14:paraId="60AD5109" w14:textId="57AE0720" w:rsidR="00503334" w:rsidRPr="00503334" w:rsidRDefault="00503334" w:rsidP="00503334">
      <w:pPr>
        <w:pStyle w:val="Heading2"/>
        <w:rPr>
          <w:lang w:val="en-US"/>
        </w:rPr>
      </w:pPr>
      <w:bookmarkStart w:id="16" w:name="_Toc227862158"/>
      <w:r>
        <w:rPr>
          <w:lang w:val="en-US"/>
        </w:rPr>
        <w:t xml:space="preserve">6.1 </w:t>
      </w:r>
      <w:r w:rsidRPr="00503334">
        <w:rPr>
          <w:lang w:val="en-US"/>
        </w:rPr>
        <w:t>Ethical and contested marketing-mix issues in the USA</w:t>
      </w:r>
      <w:bookmarkEnd w:id="16"/>
    </w:p>
    <w:p w14:paraId="740AA474" w14:textId="77777777" w:rsidR="00503334" w:rsidRPr="00503334" w:rsidRDefault="00503334" w:rsidP="00503334">
      <w:pPr>
        <w:pStyle w:val="princy"/>
        <w:rPr>
          <w:lang w:val="en-US"/>
        </w:rPr>
      </w:pPr>
      <w:r w:rsidRPr="00503334">
        <w:rPr>
          <w:lang w:val="en-US"/>
        </w:rPr>
        <w:t>One ethical example linked to the marketing mix is Louis Vuitton’s effort to align product and process with longer-use luxury. The House publicly highlights repairs, personalisation, product care, and—through the beauty launch—refillable formats and material choices presented as more responsible. In a market where extreme consumption is increasingly questioned, a luxury brand is on firmer ethical ground when it encourages longevity, maintenance, and traceability rather than disposability. Louis Vuitton’s supply-chain reporting in North America also shows formal due diligence around forced labour and supplier codes, which strengthens the integrity of the “people” and “process” elements of the mix. (Louis Vuitton, 2025)</w:t>
      </w:r>
    </w:p>
    <w:p w14:paraId="5753DC57" w14:textId="77777777" w:rsidR="00503334" w:rsidRPr="00503334" w:rsidRDefault="00503334" w:rsidP="00503334">
      <w:pPr>
        <w:pStyle w:val="princy"/>
        <w:rPr>
          <w:lang w:val="en-US"/>
        </w:rPr>
      </w:pPr>
      <w:r w:rsidRPr="00503334">
        <w:rPr>
          <w:lang w:val="en-US"/>
        </w:rPr>
        <w:t>The first contested/unethical issue is product ethics around animal materials, especially exotic skins. Across luxury fashion, this remains a deeply disputed area, and Louis Vuitton is not insulated from that ethical debate. Campaigners and fashion commentary continue to argue that exotic skins raise serious animal-welfare concerns. Even if some luxury consumers still accept or celebrate such materials as the highest expression of rarity, the ethical tension is obvious: a product can be premium and controversial at the same time. In the United States, where ethical consumerism and public activism are highly visible, this issue sits squarely inside the product element of the marketing mix. (The Guardian, 2024)</w:t>
      </w:r>
    </w:p>
    <w:p w14:paraId="4738EC84" w14:textId="77777777" w:rsidR="00503334" w:rsidRDefault="00503334" w:rsidP="00503334">
      <w:pPr>
        <w:pStyle w:val="princy"/>
        <w:rPr>
          <w:lang w:val="en-US"/>
        </w:rPr>
      </w:pPr>
      <w:r w:rsidRPr="00503334">
        <w:rPr>
          <w:lang w:val="en-US"/>
        </w:rPr>
        <w:t>The second contested/unethical issue is promotional ethics around sustainability language. Louis Vuitton’s ambition to become the first regenerative luxury brand is strategically powerful, but in the United States it also creates risk. The FTC’s Green Guides exist precisely because vague or overly broad green claims can mislead consumers. If a luxury house uses emotionally attractive sustainability language without clear product-level substantiation, the communication may move from inspiration into greenwashing. I am not presenting this here as a judicial finding against Louis Vuitton in the U.S.; rather, it is a live ethical risk generated by the combination of strong claims and strong scrutiny. In marketing terms, the more ambitious the message, the stronger the evidential burden attached to promotion and physical evidence. (Louis Vuitton, 2025)</w:t>
      </w:r>
    </w:p>
    <w:p w14:paraId="3C2D5257" w14:textId="77777777" w:rsidR="005E14FE" w:rsidRPr="005E14FE" w:rsidRDefault="005E14FE" w:rsidP="005E14FE">
      <w:pPr>
        <w:spacing w:before="100" w:beforeAutospacing="1" w:after="100" w:afterAutospacing="1" w:line="240" w:lineRule="auto"/>
        <w:outlineLvl w:val="2"/>
        <w:rPr>
          <w:rFonts w:ascii="Times New Roman" w:eastAsia="Times New Roman" w:hAnsi="Times New Roman" w:cs="Times New Roman"/>
          <w:b/>
          <w:bCs/>
          <w:kern w:val="0"/>
          <w:sz w:val="27"/>
          <w:szCs w:val="27"/>
          <w:lang w:eastAsia="en-IN"/>
          <w14:ligatures w14:val="none"/>
        </w:rPr>
      </w:pPr>
      <w:bookmarkStart w:id="17" w:name="_Toc227862159"/>
      <w:r w:rsidRPr="005E14FE">
        <w:rPr>
          <w:rFonts w:ascii="Times New Roman" w:eastAsia="Times New Roman" w:hAnsi="Times New Roman" w:cs="Times New Roman"/>
          <w:b/>
          <w:bCs/>
          <w:kern w:val="0"/>
          <w:sz w:val="27"/>
          <w:szCs w:val="27"/>
          <w:lang w:eastAsia="en-IN"/>
          <w14:ligatures w14:val="none"/>
        </w:rPr>
        <w:t>Table 2.1: Virtue Ethics and Marketing</w:t>
      </w:r>
      <w:bookmarkEnd w:id="17"/>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15"/>
        <w:gridCol w:w="2606"/>
        <w:gridCol w:w="1666"/>
        <w:gridCol w:w="3239"/>
      </w:tblGrid>
      <w:tr w:rsidR="005E14FE" w:rsidRPr="005E14FE" w14:paraId="4B47AE18" w14:textId="77777777">
        <w:trPr>
          <w:tblHeader/>
          <w:tblCellSpacing w:w="15" w:type="dxa"/>
        </w:trPr>
        <w:tc>
          <w:tcPr>
            <w:tcW w:w="0" w:type="auto"/>
            <w:vAlign w:val="center"/>
            <w:hideMark/>
          </w:tcPr>
          <w:p w14:paraId="31BCA7D3" w14:textId="77777777" w:rsidR="005E14FE" w:rsidRPr="005E14FE" w:rsidRDefault="005E14FE" w:rsidP="005E14FE">
            <w:pPr>
              <w:spacing w:after="0" w:line="240" w:lineRule="auto"/>
              <w:jc w:val="center"/>
              <w:rPr>
                <w:rFonts w:ascii="Times New Roman" w:eastAsia="Times New Roman" w:hAnsi="Times New Roman" w:cs="Times New Roman"/>
                <w:b/>
                <w:bCs/>
                <w:kern w:val="0"/>
                <w:lang w:eastAsia="en-IN"/>
                <w14:ligatures w14:val="none"/>
              </w:rPr>
            </w:pPr>
            <w:r w:rsidRPr="005E14FE">
              <w:rPr>
                <w:rFonts w:ascii="Times New Roman" w:eastAsia="Times New Roman" w:hAnsi="Times New Roman" w:cs="Times New Roman"/>
                <w:b/>
                <w:bCs/>
                <w:kern w:val="0"/>
                <w:lang w:eastAsia="en-IN"/>
                <w14:ligatures w14:val="none"/>
              </w:rPr>
              <w:lastRenderedPageBreak/>
              <w:t>Virtue</w:t>
            </w:r>
          </w:p>
        </w:tc>
        <w:tc>
          <w:tcPr>
            <w:tcW w:w="0" w:type="auto"/>
            <w:vAlign w:val="center"/>
            <w:hideMark/>
          </w:tcPr>
          <w:p w14:paraId="2D7F29C9" w14:textId="77777777" w:rsidR="005E14FE" w:rsidRPr="005E14FE" w:rsidRDefault="005E14FE" w:rsidP="005E14FE">
            <w:pPr>
              <w:spacing w:after="0" w:line="240" w:lineRule="auto"/>
              <w:jc w:val="center"/>
              <w:rPr>
                <w:rFonts w:ascii="Times New Roman" w:eastAsia="Times New Roman" w:hAnsi="Times New Roman" w:cs="Times New Roman"/>
                <w:b/>
                <w:bCs/>
                <w:kern w:val="0"/>
                <w:lang w:eastAsia="en-IN"/>
                <w14:ligatures w14:val="none"/>
              </w:rPr>
            </w:pPr>
            <w:r w:rsidRPr="005E14FE">
              <w:rPr>
                <w:rFonts w:ascii="Times New Roman" w:eastAsia="Times New Roman" w:hAnsi="Times New Roman" w:cs="Times New Roman"/>
                <w:b/>
                <w:bCs/>
                <w:kern w:val="0"/>
                <w:lang w:eastAsia="en-IN"/>
                <w14:ligatures w14:val="none"/>
              </w:rPr>
              <w:t>Definition</w:t>
            </w:r>
          </w:p>
        </w:tc>
        <w:tc>
          <w:tcPr>
            <w:tcW w:w="0" w:type="auto"/>
            <w:vAlign w:val="center"/>
            <w:hideMark/>
          </w:tcPr>
          <w:p w14:paraId="0272DF96" w14:textId="77777777" w:rsidR="005E14FE" w:rsidRPr="005E14FE" w:rsidRDefault="005E14FE" w:rsidP="005E14FE">
            <w:pPr>
              <w:spacing w:after="0" w:line="240" w:lineRule="auto"/>
              <w:jc w:val="center"/>
              <w:rPr>
                <w:rFonts w:ascii="Times New Roman" w:eastAsia="Times New Roman" w:hAnsi="Times New Roman" w:cs="Times New Roman"/>
                <w:b/>
                <w:bCs/>
                <w:kern w:val="0"/>
                <w:lang w:eastAsia="en-IN"/>
                <w14:ligatures w14:val="none"/>
              </w:rPr>
            </w:pPr>
            <w:r w:rsidRPr="005E14FE">
              <w:rPr>
                <w:rFonts w:ascii="Times New Roman" w:eastAsia="Times New Roman" w:hAnsi="Times New Roman" w:cs="Times New Roman"/>
                <w:b/>
                <w:bCs/>
                <w:kern w:val="0"/>
                <w:lang w:eastAsia="en-IN"/>
                <w14:ligatures w14:val="none"/>
              </w:rPr>
              <w:t>Related Virtues</w:t>
            </w:r>
          </w:p>
        </w:tc>
        <w:tc>
          <w:tcPr>
            <w:tcW w:w="0" w:type="auto"/>
            <w:vAlign w:val="center"/>
            <w:hideMark/>
          </w:tcPr>
          <w:p w14:paraId="0BF82F9F" w14:textId="77777777" w:rsidR="005E14FE" w:rsidRPr="005E14FE" w:rsidRDefault="005E14FE" w:rsidP="005E14FE">
            <w:pPr>
              <w:spacing w:after="0" w:line="240" w:lineRule="auto"/>
              <w:jc w:val="center"/>
              <w:rPr>
                <w:rFonts w:ascii="Times New Roman" w:eastAsia="Times New Roman" w:hAnsi="Times New Roman" w:cs="Times New Roman"/>
                <w:b/>
                <w:bCs/>
                <w:kern w:val="0"/>
                <w:lang w:eastAsia="en-IN"/>
                <w14:ligatures w14:val="none"/>
              </w:rPr>
            </w:pPr>
            <w:r w:rsidRPr="005E14FE">
              <w:rPr>
                <w:rFonts w:ascii="Times New Roman" w:eastAsia="Times New Roman" w:hAnsi="Times New Roman" w:cs="Times New Roman"/>
                <w:b/>
                <w:bCs/>
                <w:kern w:val="0"/>
                <w:lang w:eastAsia="en-IN"/>
                <w14:ligatures w14:val="none"/>
              </w:rPr>
              <w:t>Applications to Marketing</w:t>
            </w:r>
          </w:p>
        </w:tc>
      </w:tr>
      <w:tr w:rsidR="005E14FE" w:rsidRPr="005E14FE" w14:paraId="090D5AF9" w14:textId="77777777">
        <w:trPr>
          <w:tblCellSpacing w:w="15" w:type="dxa"/>
        </w:trPr>
        <w:tc>
          <w:tcPr>
            <w:tcW w:w="0" w:type="auto"/>
            <w:vAlign w:val="center"/>
            <w:hideMark/>
          </w:tcPr>
          <w:p w14:paraId="17EEBC8F"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b/>
                <w:bCs/>
                <w:kern w:val="0"/>
                <w:lang w:eastAsia="en-IN"/>
                <w14:ligatures w14:val="none"/>
              </w:rPr>
              <w:t>Integrity</w:t>
            </w:r>
          </w:p>
        </w:tc>
        <w:tc>
          <w:tcPr>
            <w:tcW w:w="0" w:type="auto"/>
            <w:vAlign w:val="center"/>
            <w:hideMark/>
          </w:tcPr>
          <w:p w14:paraId="3CC46914"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Adherence to a moral code and completeness</w:t>
            </w:r>
          </w:p>
        </w:tc>
        <w:tc>
          <w:tcPr>
            <w:tcW w:w="0" w:type="auto"/>
            <w:vAlign w:val="center"/>
            <w:hideMark/>
          </w:tcPr>
          <w:p w14:paraId="560007C5"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Honesty, Moral courage</w:t>
            </w:r>
          </w:p>
        </w:tc>
        <w:tc>
          <w:tcPr>
            <w:tcW w:w="0" w:type="auto"/>
            <w:vAlign w:val="center"/>
            <w:hideMark/>
          </w:tcPr>
          <w:p w14:paraId="5A36F2CC"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Conveying accurate and complete information to consumers</w:t>
            </w:r>
          </w:p>
        </w:tc>
      </w:tr>
      <w:tr w:rsidR="005E14FE" w:rsidRPr="005E14FE" w14:paraId="1AC07DB4" w14:textId="77777777">
        <w:trPr>
          <w:tblCellSpacing w:w="15" w:type="dxa"/>
        </w:trPr>
        <w:tc>
          <w:tcPr>
            <w:tcW w:w="0" w:type="auto"/>
            <w:vAlign w:val="center"/>
            <w:hideMark/>
          </w:tcPr>
          <w:p w14:paraId="6067B448"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b/>
                <w:bCs/>
                <w:kern w:val="0"/>
                <w:lang w:eastAsia="en-IN"/>
                <w14:ligatures w14:val="none"/>
              </w:rPr>
              <w:t>Fairness</w:t>
            </w:r>
          </w:p>
        </w:tc>
        <w:tc>
          <w:tcPr>
            <w:tcW w:w="0" w:type="auto"/>
            <w:vAlign w:val="center"/>
            <w:hideMark/>
          </w:tcPr>
          <w:p w14:paraId="057C2658"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Marked by equity and free from prejudice or favoritism</w:t>
            </w:r>
          </w:p>
        </w:tc>
        <w:tc>
          <w:tcPr>
            <w:tcW w:w="0" w:type="auto"/>
            <w:vAlign w:val="center"/>
            <w:hideMark/>
          </w:tcPr>
          <w:p w14:paraId="06D7BEEF"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Justice</w:t>
            </w:r>
          </w:p>
        </w:tc>
        <w:tc>
          <w:tcPr>
            <w:tcW w:w="0" w:type="auto"/>
            <w:vAlign w:val="center"/>
            <w:hideMark/>
          </w:tcPr>
          <w:p w14:paraId="1DC49CCF"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Selling and pricing products at a level commensurate with benefits received</w:t>
            </w:r>
          </w:p>
        </w:tc>
      </w:tr>
      <w:tr w:rsidR="005E14FE" w:rsidRPr="005E14FE" w14:paraId="3B697FEB" w14:textId="77777777">
        <w:trPr>
          <w:tblCellSpacing w:w="15" w:type="dxa"/>
        </w:trPr>
        <w:tc>
          <w:tcPr>
            <w:tcW w:w="0" w:type="auto"/>
            <w:vAlign w:val="center"/>
            <w:hideMark/>
          </w:tcPr>
          <w:p w14:paraId="65A32753"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b/>
                <w:bCs/>
                <w:kern w:val="0"/>
                <w:lang w:eastAsia="en-IN"/>
                <w14:ligatures w14:val="none"/>
              </w:rPr>
              <w:t>Trust</w:t>
            </w:r>
          </w:p>
        </w:tc>
        <w:tc>
          <w:tcPr>
            <w:tcW w:w="0" w:type="auto"/>
            <w:vAlign w:val="center"/>
            <w:hideMark/>
          </w:tcPr>
          <w:p w14:paraId="3F287930"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Faith or confidence in another party</w:t>
            </w:r>
          </w:p>
        </w:tc>
        <w:tc>
          <w:tcPr>
            <w:tcW w:w="0" w:type="auto"/>
            <w:vAlign w:val="center"/>
            <w:hideMark/>
          </w:tcPr>
          <w:p w14:paraId="0EBDFEB5"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Dependability</w:t>
            </w:r>
          </w:p>
        </w:tc>
        <w:tc>
          <w:tcPr>
            <w:tcW w:w="0" w:type="auto"/>
            <w:vAlign w:val="center"/>
            <w:hideMark/>
          </w:tcPr>
          <w:p w14:paraId="29E1182F"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Confidence that salespeople or suppliers will fulfill obligations without monitoring</w:t>
            </w:r>
          </w:p>
        </w:tc>
      </w:tr>
      <w:tr w:rsidR="005E14FE" w:rsidRPr="005E14FE" w14:paraId="0BD2ECD9" w14:textId="77777777">
        <w:trPr>
          <w:tblCellSpacing w:w="15" w:type="dxa"/>
        </w:trPr>
        <w:tc>
          <w:tcPr>
            <w:tcW w:w="0" w:type="auto"/>
            <w:vAlign w:val="center"/>
            <w:hideMark/>
          </w:tcPr>
          <w:p w14:paraId="595D20BA"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b/>
                <w:bCs/>
                <w:kern w:val="0"/>
                <w:lang w:eastAsia="en-IN"/>
                <w14:ligatures w14:val="none"/>
              </w:rPr>
              <w:t>Respect</w:t>
            </w:r>
          </w:p>
        </w:tc>
        <w:tc>
          <w:tcPr>
            <w:tcW w:w="0" w:type="auto"/>
            <w:vAlign w:val="center"/>
            <w:hideMark/>
          </w:tcPr>
          <w:p w14:paraId="64BD6EE9"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Giving regard to views of others</w:t>
            </w:r>
          </w:p>
        </w:tc>
        <w:tc>
          <w:tcPr>
            <w:tcW w:w="0" w:type="auto"/>
            <w:vAlign w:val="center"/>
            <w:hideMark/>
          </w:tcPr>
          <w:p w14:paraId="5254DDB3"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Consideration</w:t>
            </w:r>
          </w:p>
        </w:tc>
        <w:tc>
          <w:tcPr>
            <w:tcW w:w="0" w:type="auto"/>
            <w:vAlign w:val="center"/>
            <w:hideMark/>
          </w:tcPr>
          <w:p w14:paraId="1CC9FBF0"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Altering products to meet cultural needs and refusing to sell unsafe products anywhere</w:t>
            </w:r>
          </w:p>
        </w:tc>
      </w:tr>
      <w:tr w:rsidR="005E14FE" w:rsidRPr="005E14FE" w14:paraId="29373783" w14:textId="77777777">
        <w:trPr>
          <w:tblCellSpacing w:w="15" w:type="dxa"/>
        </w:trPr>
        <w:tc>
          <w:tcPr>
            <w:tcW w:w="0" w:type="auto"/>
            <w:vAlign w:val="center"/>
            <w:hideMark/>
          </w:tcPr>
          <w:p w14:paraId="35D4FF53"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b/>
                <w:bCs/>
                <w:kern w:val="0"/>
                <w:lang w:eastAsia="en-IN"/>
                <w14:ligatures w14:val="none"/>
              </w:rPr>
              <w:t>Empathy</w:t>
            </w:r>
          </w:p>
        </w:tc>
        <w:tc>
          <w:tcPr>
            <w:tcW w:w="0" w:type="auto"/>
            <w:vAlign w:val="center"/>
            <w:hideMark/>
          </w:tcPr>
          <w:p w14:paraId="4753D95C"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Being aware of and sensitive to the needs and concerns of others</w:t>
            </w:r>
          </w:p>
        </w:tc>
        <w:tc>
          <w:tcPr>
            <w:tcW w:w="0" w:type="auto"/>
            <w:vAlign w:val="center"/>
            <w:hideMark/>
          </w:tcPr>
          <w:p w14:paraId="76C67FD3"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Caring</w:t>
            </w:r>
          </w:p>
        </w:tc>
        <w:tc>
          <w:tcPr>
            <w:tcW w:w="0" w:type="auto"/>
            <w:vAlign w:val="center"/>
            <w:hideMark/>
          </w:tcPr>
          <w:p w14:paraId="3822C6F3"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Refraining from selling products to consumers who cannot afford them</w:t>
            </w:r>
          </w:p>
        </w:tc>
      </w:tr>
      <w:tr w:rsidR="005E14FE" w:rsidRPr="005E14FE" w14:paraId="196A340B" w14:textId="77777777">
        <w:trPr>
          <w:tblCellSpacing w:w="15" w:type="dxa"/>
        </w:trPr>
        <w:tc>
          <w:tcPr>
            <w:tcW w:w="0" w:type="auto"/>
            <w:vAlign w:val="center"/>
            <w:hideMark/>
          </w:tcPr>
          <w:p w14:paraId="46597142"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b/>
                <w:bCs/>
                <w:kern w:val="0"/>
                <w:lang w:eastAsia="en-IN"/>
                <w14:ligatures w14:val="none"/>
              </w:rPr>
              <w:t>Transparency</w:t>
            </w:r>
          </w:p>
        </w:tc>
        <w:tc>
          <w:tcPr>
            <w:tcW w:w="0" w:type="auto"/>
            <w:vAlign w:val="center"/>
            <w:hideMark/>
          </w:tcPr>
          <w:p w14:paraId="705AD48E"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Making actions clear</w:t>
            </w:r>
          </w:p>
        </w:tc>
        <w:tc>
          <w:tcPr>
            <w:tcW w:w="0" w:type="auto"/>
            <w:vAlign w:val="center"/>
            <w:hideMark/>
          </w:tcPr>
          <w:p w14:paraId="679934C8"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Openness</w:t>
            </w:r>
          </w:p>
        </w:tc>
        <w:tc>
          <w:tcPr>
            <w:tcW w:w="0" w:type="auto"/>
            <w:vAlign w:val="center"/>
            <w:hideMark/>
          </w:tcPr>
          <w:p w14:paraId="7B8ADDC1" w14:textId="77777777" w:rsidR="005E14FE" w:rsidRPr="005E14FE" w:rsidRDefault="005E14FE" w:rsidP="005E14FE">
            <w:pPr>
              <w:spacing w:after="0" w:line="240" w:lineRule="auto"/>
              <w:rPr>
                <w:rFonts w:ascii="Times New Roman" w:eastAsia="Times New Roman" w:hAnsi="Times New Roman" w:cs="Times New Roman"/>
                <w:kern w:val="0"/>
                <w:lang w:eastAsia="en-IN"/>
                <w14:ligatures w14:val="none"/>
              </w:rPr>
            </w:pPr>
            <w:r w:rsidRPr="005E14FE">
              <w:rPr>
                <w:rFonts w:ascii="Times New Roman" w:eastAsia="Times New Roman" w:hAnsi="Times New Roman" w:cs="Times New Roman"/>
                <w:kern w:val="0"/>
                <w:lang w:eastAsia="en-IN"/>
                <w14:ligatures w14:val="none"/>
              </w:rPr>
              <w:t>Being open with customers and their stakeholders</w:t>
            </w:r>
          </w:p>
        </w:tc>
      </w:tr>
    </w:tbl>
    <w:p w14:paraId="6EC60193" w14:textId="77777777" w:rsidR="005E14FE" w:rsidRPr="00503334" w:rsidRDefault="005E14FE" w:rsidP="00503334">
      <w:pPr>
        <w:pStyle w:val="princy"/>
        <w:rPr>
          <w:lang w:val="en-US"/>
        </w:rPr>
      </w:pPr>
    </w:p>
    <w:p w14:paraId="6DD667E8" w14:textId="41143636" w:rsidR="00503334" w:rsidRPr="00503334" w:rsidRDefault="00503334" w:rsidP="00503334">
      <w:pPr>
        <w:pStyle w:val="Heading2"/>
        <w:rPr>
          <w:lang w:val="en-US"/>
        </w:rPr>
      </w:pPr>
      <w:bookmarkStart w:id="18" w:name="_Toc227862160"/>
      <w:r>
        <w:rPr>
          <w:lang w:val="en-US"/>
        </w:rPr>
        <w:t xml:space="preserve">6.2 </w:t>
      </w:r>
      <w:r w:rsidRPr="00503334">
        <w:rPr>
          <w:lang w:val="en-US"/>
        </w:rPr>
        <w:t>Recommendations for STP and marketing mix</w:t>
      </w:r>
      <w:bookmarkEnd w:id="18"/>
    </w:p>
    <w:p w14:paraId="555D14F5" w14:textId="77777777" w:rsidR="00503334" w:rsidRPr="00503334" w:rsidRDefault="00503334" w:rsidP="00503334">
      <w:pPr>
        <w:pStyle w:val="princy"/>
        <w:rPr>
          <w:lang w:val="en-US"/>
        </w:rPr>
      </w:pPr>
      <w:r w:rsidRPr="00503334">
        <w:rPr>
          <w:lang w:val="en-US"/>
        </w:rPr>
        <w:t>The first recommendation is to make Louis Vuitton’s American targeting ladder more explicit. Beauty, fragrance, small leather goods, and city-exclusive accessories should be used as a structured entry funnel into higher-value categories, not as scattered side businesses. That means more CRM-driven progression: beauty purchaser to fragrance purchaser, fragrance purchaser to small leather goods, then to core leather or travel. In STP terms, Louis Vuitton should continue targeting not only wealthy loyalists but also “future core” consumers with high symbolic affinity and growing spending power. In marketing-mix terms, this strengthens product, price, and process simultaneously. (Louis Vuitton, 2025)</w:t>
      </w:r>
    </w:p>
    <w:p w14:paraId="6EF9E793" w14:textId="77777777" w:rsidR="00503334" w:rsidRPr="00503334" w:rsidRDefault="00503334" w:rsidP="00503334">
      <w:pPr>
        <w:pStyle w:val="princy"/>
        <w:rPr>
          <w:lang w:val="en-US"/>
        </w:rPr>
      </w:pPr>
      <w:r w:rsidRPr="00503334">
        <w:rPr>
          <w:lang w:val="en-US"/>
        </w:rPr>
        <w:t xml:space="preserve">The second recommendation is to translate selected American experiential innovations into India, but very selectively. India does not need a simple copy of the U.S. café model. It needs a culturally relevant version of private luxury theatre: trunk and travel heritage salons, appointment-only wedding and gifting curation, monogram-and-textile personalisation, and invitation-led client evenings in New Delhi and Mumbai. That would sharpen Louis Vuitton’s Indian positioning from “prestige imported brand” to “prestige imported brand that understands Indian ceremonial luxury.” This is </w:t>
      </w:r>
      <w:r w:rsidRPr="00503334">
        <w:rPr>
          <w:lang w:val="en-US"/>
        </w:rPr>
        <w:lastRenderedPageBreak/>
        <w:t>an STP opportunity anchored in psychographic and behavioural segmentation rather than mass expansion. (Louis Vuitton, 2026)</w:t>
      </w:r>
    </w:p>
    <w:p w14:paraId="0435D3D0" w14:textId="77777777" w:rsidR="00503334" w:rsidRPr="00503334" w:rsidRDefault="00503334" w:rsidP="00503334">
      <w:pPr>
        <w:pStyle w:val="princy"/>
        <w:rPr>
          <w:lang w:val="en-US"/>
        </w:rPr>
      </w:pPr>
      <w:r w:rsidRPr="00503334">
        <w:rPr>
          <w:lang w:val="en-US"/>
        </w:rPr>
        <w:t>The third recommendation is to adapt mobile-led clienteling more aggressively in both countries, but especially India. The official sites already foreground client advisors, chat, email, and app support. The next step is deeper mobile relationship management: appointment reminders, repair-status transparency, high-jewellery or travel previews, and save-to-boutique wish lists. In a market such as India, where digital discovery can outpace physical access, this would strengthen place, promotion, and process without sacrificing direct-channel control. (Louis Vuitton, 2026)</w:t>
      </w:r>
    </w:p>
    <w:p w14:paraId="200B8B23" w14:textId="77777777" w:rsidR="00503334" w:rsidRPr="00503334" w:rsidRDefault="00503334" w:rsidP="00503334">
      <w:pPr>
        <w:pStyle w:val="princy"/>
        <w:rPr>
          <w:lang w:val="en-US"/>
        </w:rPr>
      </w:pPr>
      <w:r w:rsidRPr="00503334">
        <w:rPr>
          <w:lang w:val="en-US"/>
        </w:rPr>
        <w:t>The fourth recommendation is ethical and strategic at once: tighten sustainability communication around proof, not poetry. Product-page level disclosures on materials, repairability, origin, refillability, and estimated care life would reduce greenwashing risk while also improving premium trust. For Louis Vuitton, this is not a compliance burden alone; it is a brand opportunity. True luxury should be more explainable, not less. That recommendation touches promotion, product, and physical evidence at the same time. (Louis Vuitton, 2025)</w:t>
      </w:r>
    </w:p>
    <w:p w14:paraId="7D3650FE" w14:textId="77777777" w:rsidR="007B1675" w:rsidRDefault="007B1675" w:rsidP="00084C6D">
      <w:pPr>
        <w:pStyle w:val="princy"/>
      </w:pPr>
    </w:p>
    <w:p w14:paraId="50FCC787" w14:textId="77777777" w:rsidR="00503334" w:rsidRPr="00503334" w:rsidRDefault="00503334" w:rsidP="00503334">
      <w:pPr>
        <w:pStyle w:val="princy"/>
        <w:rPr>
          <w:b/>
          <w:bCs/>
        </w:rPr>
      </w:pPr>
      <w:r w:rsidRPr="00503334">
        <w:rPr>
          <w:b/>
          <w:bCs/>
        </w:rPr>
        <w:t>Presentation poster snapshot</w:t>
      </w:r>
    </w:p>
    <w:tbl>
      <w:tblPr>
        <w:tblW w:w="9360" w:type="dxa"/>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1223"/>
        <w:gridCol w:w="2691"/>
        <w:gridCol w:w="3474"/>
        <w:gridCol w:w="1972"/>
      </w:tblGrid>
      <w:tr w:rsidR="00503334" w:rsidRPr="00503334" w14:paraId="47180E4D" w14:textId="77777777">
        <w:trPr>
          <w:tblHeader/>
        </w:trPr>
        <w:tc>
          <w:tcPr>
            <w:tcW w:w="0" w:type="auto"/>
            <w:tcBorders>
              <w:top w:val="single" w:sz="2" w:space="0" w:color="111111"/>
              <w:left w:val="single" w:sz="2" w:space="0" w:color="111111"/>
              <w:bottom w:val="single" w:sz="6" w:space="0" w:color="111111"/>
              <w:right w:val="single" w:sz="2" w:space="0" w:color="111111"/>
            </w:tcBorders>
            <w:vAlign w:val="center"/>
            <w:hideMark/>
          </w:tcPr>
          <w:p w14:paraId="0C7F5EB0" w14:textId="77777777" w:rsidR="00503334" w:rsidRPr="00503334" w:rsidRDefault="00503334" w:rsidP="00503334">
            <w:pPr>
              <w:pStyle w:val="princy"/>
              <w:rPr>
                <w:b/>
                <w:bCs/>
              </w:rPr>
            </w:pPr>
            <w:r w:rsidRPr="00503334">
              <w:rPr>
                <w:b/>
                <w:bCs/>
              </w:rPr>
              <w:t>Brand core</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0D6034D9" w14:textId="77777777" w:rsidR="00503334" w:rsidRPr="00503334" w:rsidRDefault="00503334" w:rsidP="00503334">
            <w:pPr>
              <w:pStyle w:val="princy"/>
              <w:rPr>
                <w:b/>
                <w:bCs/>
              </w:rPr>
            </w:pPr>
            <w:r w:rsidRPr="00503334">
              <w:rPr>
                <w:b/>
                <w:bCs/>
              </w:rPr>
              <w:t>USA</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3ED81112" w14:textId="77777777" w:rsidR="00503334" w:rsidRPr="00503334" w:rsidRDefault="00503334" w:rsidP="00503334">
            <w:pPr>
              <w:pStyle w:val="princy"/>
              <w:rPr>
                <w:b/>
                <w:bCs/>
              </w:rPr>
            </w:pPr>
            <w:r w:rsidRPr="00503334">
              <w:rPr>
                <w:b/>
                <w:bCs/>
              </w:rPr>
              <w:t>India</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0213A7C6" w14:textId="77777777" w:rsidR="00503334" w:rsidRPr="00503334" w:rsidRDefault="00503334" w:rsidP="00503334">
            <w:pPr>
              <w:pStyle w:val="princy"/>
              <w:rPr>
                <w:b/>
                <w:bCs/>
              </w:rPr>
            </w:pPr>
            <w:r w:rsidRPr="00503334">
              <w:rPr>
                <w:b/>
                <w:bCs/>
              </w:rPr>
              <w:t>Strategic takeaway</w:t>
            </w:r>
          </w:p>
        </w:tc>
      </w:tr>
      <w:tr w:rsidR="00503334" w:rsidRPr="00503334" w14:paraId="7BF4F8D1" w14:textId="77777777">
        <w:tc>
          <w:tcPr>
            <w:tcW w:w="0" w:type="auto"/>
            <w:tcBorders>
              <w:top w:val="single" w:sz="2" w:space="0" w:color="auto"/>
              <w:left w:val="single" w:sz="2" w:space="0" w:color="auto"/>
              <w:bottom w:val="single" w:sz="2" w:space="0" w:color="auto"/>
              <w:right w:val="single" w:sz="2" w:space="0" w:color="auto"/>
            </w:tcBorders>
            <w:hideMark/>
          </w:tcPr>
          <w:p w14:paraId="00E982BC" w14:textId="77777777" w:rsidR="00503334" w:rsidRPr="00503334" w:rsidRDefault="00503334" w:rsidP="00503334">
            <w:pPr>
              <w:pStyle w:val="princy"/>
            </w:pPr>
            <w:r w:rsidRPr="00503334">
              <w:t>Heritage</w:t>
            </w:r>
          </w:p>
        </w:tc>
        <w:tc>
          <w:tcPr>
            <w:tcW w:w="0" w:type="auto"/>
            <w:tcBorders>
              <w:top w:val="single" w:sz="2" w:space="0" w:color="auto"/>
              <w:left w:val="single" w:sz="2" w:space="0" w:color="auto"/>
              <w:bottom w:val="single" w:sz="2" w:space="0" w:color="auto"/>
              <w:right w:val="single" w:sz="2" w:space="0" w:color="auto"/>
            </w:tcBorders>
            <w:hideMark/>
          </w:tcPr>
          <w:p w14:paraId="194919DA" w14:textId="77777777" w:rsidR="00503334" w:rsidRPr="00503334" w:rsidRDefault="00503334" w:rsidP="00503334">
            <w:pPr>
              <w:pStyle w:val="princy"/>
            </w:pPr>
            <w:r w:rsidRPr="00503334">
              <w:t>Travel, trunks, Parisian craftsmanship</w:t>
            </w:r>
          </w:p>
        </w:tc>
        <w:tc>
          <w:tcPr>
            <w:tcW w:w="0" w:type="auto"/>
            <w:tcBorders>
              <w:top w:val="single" w:sz="2" w:space="0" w:color="auto"/>
              <w:left w:val="single" w:sz="2" w:space="0" w:color="auto"/>
              <w:bottom w:val="single" w:sz="2" w:space="0" w:color="auto"/>
              <w:right w:val="single" w:sz="2" w:space="0" w:color="auto"/>
            </w:tcBorders>
            <w:hideMark/>
          </w:tcPr>
          <w:p w14:paraId="2471727A" w14:textId="77777777" w:rsidR="00503334" w:rsidRPr="00503334" w:rsidRDefault="00503334" w:rsidP="00503334">
            <w:pPr>
              <w:pStyle w:val="princy"/>
            </w:pPr>
            <w:r w:rsidRPr="00503334">
              <w:t>Same heritage, but read more as imported prestige</w:t>
            </w:r>
          </w:p>
        </w:tc>
        <w:tc>
          <w:tcPr>
            <w:tcW w:w="0" w:type="auto"/>
            <w:tcBorders>
              <w:top w:val="single" w:sz="2" w:space="0" w:color="auto"/>
              <w:left w:val="single" w:sz="2" w:space="0" w:color="auto"/>
              <w:bottom w:val="single" w:sz="2" w:space="0" w:color="auto"/>
              <w:right w:val="single" w:sz="2" w:space="0" w:color="auto"/>
            </w:tcBorders>
            <w:hideMark/>
          </w:tcPr>
          <w:p w14:paraId="2F416CBA" w14:textId="77777777" w:rsidR="00503334" w:rsidRPr="00503334" w:rsidRDefault="00503334" w:rsidP="00503334">
            <w:pPr>
              <w:pStyle w:val="princy"/>
            </w:pPr>
            <w:r w:rsidRPr="00503334">
              <w:t>Keep global codes constant</w:t>
            </w:r>
          </w:p>
        </w:tc>
      </w:tr>
      <w:tr w:rsidR="00503334" w:rsidRPr="00503334" w14:paraId="07D3B973" w14:textId="77777777">
        <w:tc>
          <w:tcPr>
            <w:tcW w:w="0" w:type="auto"/>
            <w:tcBorders>
              <w:top w:val="single" w:sz="2" w:space="0" w:color="auto"/>
              <w:left w:val="single" w:sz="2" w:space="0" w:color="auto"/>
              <w:bottom w:val="single" w:sz="2" w:space="0" w:color="auto"/>
              <w:right w:val="single" w:sz="2" w:space="0" w:color="auto"/>
            </w:tcBorders>
            <w:hideMark/>
          </w:tcPr>
          <w:p w14:paraId="7FFA58EE" w14:textId="77777777" w:rsidR="00503334" w:rsidRPr="00503334" w:rsidRDefault="00503334" w:rsidP="00503334">
            <w:pPr>
              <w:pStyle w:val="princy"/>
            </w:pPr>
            <w:r w:rsidRPr="00503334">
              <w:t>Demand driver</w:t>
            </w:r>
          </w:p>
        </w:tc>
        <w:tc>
          <w:tcPr>
            <w:tcW w:w="0" w:type="auto"/>
            <w:tcBorders>
              <w:top w:val="single" w:sz="2" w:space="0" w:color="auto"/>
              <w:left w:val="single" w:sz="2" w:space="0" w:color="auto"/>
              <w:bottom w:val="single" w:sz="2" w:space="0" w:color="auto"/>
              <w:right w:val="single" w:sz="2" w:space="0" w:color="auto"/>
            </w:tcBorders>
            <w:hideMark/>
          </w:tcPr>
          <w:p w14:paraId="42329361" w14:textId="77777777" w:rsidR="00503334" w:rsidRPr="00503334" w:rsidRDefault="00503334" w:rsidP="00503334">
            <w:pPr>
              <w:pStyle w:val="princy"/>
            </w:pPr>
            <w:r w:rsidRPr="00503334">
              <w:t>Experience, individuality, collecting, beauty, culture</w:t>
            </w:r>
          </w:p>
        </w:tc>
        <w:tc>
          <w:tcPr>
            <w:tcW w:w="0" w:type="auto"/>
            <w:tcBorders>
              <w:top w:val="single" w:sz="2" w:space="0" w:color="auto"/>
              <w:left w:val="single" w:sz="2" w:space="0" w:color="auto"/>
              <w:bottom w:val="single" w:sz="2" w:space="0" w:color="auto"/>
              <w:right w:val="single" w:sz="2" w:space="0" w:color="auto"/>
            </w:tcBorders>
            <w:hideMark/>
          </w:tcPr>
          <w:p w14:paraId="294CBFE4" w14:textId="77777777" w:rsidR="00503334" w:rsidRPr="00503334" w:rsidRDefault="00503334" w:rsidP="00503334">
            <w:pPr>
              <w:pStyle w:val="princy"/>
            </w:pPr>
            <w:r w:rsidRPr="00503334">
              <w:t>Aspiration, status display, gifting, ceremony, metro wealth</w:t>
            </w:r>
          </w:p>
        </w:tc>
        <w:tc>
          <w:tcPr>
            <w:tcW w:w="0" w:type="auto"/>
            <w:tcBorders>
              <w:top w:val="single" w:sz="2" w:space="0" w:color="auto"/>
              <w:left w:val="single" w:sz="2" w:space="0" w:color="auto"/>
              <w:bottom w:val="single" w:sz="2" w:space="0" w:color="auto"/>
              <w:right w:val="single" w:sz="2" w:space="0" w:color="auto"/>
            </w:tcBorders>
            <w:hideMark/>
          </w:tcPr>
          <w:p w14:paraId="006A4488" w14:textId="77777777" w:rsidR="00503334" w:rsidRPr="00503334" w:rsidRDefault="00503334" w:rsidP="00503334">
            <w:pPr>
              <w:pStyle w:val="princy"/>
            </w:pPr>
            <w:r w:rsidRPr="00503334">
              <w:t>Localise emotional benefits</w:t>
            </w:r>
          </w:p>
        </w:tc>
      </w:tr>
      <w:tr w:rsidR="00503334" w:rsidRPr="00503334" w14:paraId="3EAA5BA6" w14:textId="77777777">
        <w:tc>
          <w:tcPr>
            <w:tcW w:w="0" w:type="auto"/>
            <w:tcBorders>
              <w:top w:val="single" w:sz="2" w:space="0" w:color="auto"/>
              <w:left w:val="single" w:sz="2" w:space="0" w:color="auto"/>
              <w:bottom w:val="single" w:sz="2" w:space="0" w:color="auto"/>
              <w:right w:val="single" w:sz="2" w:space="0" w:color="auto"/>
            </w:tcBorders>
            <w:hideMark/>
          </w:tcPr>
          <w:p w14:paraId="607E326A" w14:textId="77777777" w:rsidR="00503334" w:rsidRPr="00503334" w:rsidRDefault="00503334" w:rsidP="00503334">
            <w:pPr>
              <w:pStyle w:val="princy"/>
            </w:pPr>
            <w:r w:rsidRPr="00503334">
              <w:t>Channel logic</w:t>
            </w:r>
          </w:p>
        </w:tc>
        <w:tc>
          <w:tcPr>
            <w:tcW w:w="0" w:type="auto"/>
            <w:tcBorders>
              <w:top w:val="single" w:sz="2" w:space="0" w:color="auto"/>
              <w:left w:val="single" w:sz="2" w:space="0" w:color="auto"/>
              <w:bottom w:val="single" w:sz="2" w:space="0" w:color="auto"/>
              <w:right w:val="single" w:sz="2" w:space="0" w:color="auto"/>
            </w:tcBorders>
            <w:hideMark/>
          </w:tcPr>
          <w:p w14:paraId="6460F658" w14:textId="77777777" w:rsidR="00503334" w:rsidRPr="00503334" w:rsidRDefault="00503334" w:rsidP="00503334">
            <w:pPr>
              <w:pStyle w:val="princy"/>
            </w:pPr>
            <w:r w:rsidRPr="00503334">
              <w:t>Broad direct network plus immersive flagships</w:t>
            </w:r>
          </w:p>
        </w:tc>
        <w:tc>
          <w:tcPr>
            <w:tcW w:w="0" w:type="auto"/>
            <w:tcBorders>
              <w:top w:val="single" w:sz="2" w:space="0" w:color="auto"/>
              <w:left w:val="single" w:sz="2" w:space="0" w:color="auto"/>
              <w:bottom w:val="single" w:sz="2" w:space="0" w:color="auto"/>
              <w:right w:val="single" w:sz="2" w:space="0" w:color="auto"/>
            </w:tcBorders>
            <w:hideMark/>
          </w:tcPr>
          <w:p w14:paraId="76D76A6D" w14:textId="77777777" w:rsidR="00503334" w:rsidRPr="00503334" w:rsidRDefault="00503334" w:rsidP="00503334">
            <w:pPr>
              <w:pStyle w:val="princy"/>
            </w:pPr>
            <w:r w:rsidRPr="00503334">
              <w:t>Highly selective direct boutiques in top metros</w:t>
            </w:r>
          </w:p>
        </w:tc>
        <w:tc>
          <w:tcPr>
            <w:tcW w:w="0" w:type="auto"/>
            <w:tcBorders>
              <w:top w:val="single" w:sz="2" w:space="0" w:color="auto"/>
              <w:left w:val="single" w:sz="2" w:space="0" w:color="auto"/>
              <w:bottom w:val="single" w:sz="2" w:space="0" w:color="auto"/>
              <w:right w:val="single" w:sz="2" w:space="0" w:color="auto"/>
            </w:tcBorders>
            <w:hideMark/>
          </w:tcPr>
          <w:p w14:paraId="411ADD58" w14:textId="77777777" w:rsidR="00503334" w:rsidRPr="00503334" w:rsidRDefault="00503334" w:rsidP="00503334">
            <w:pPr>
              <w:pStyle w:val="princy"/>
            </w:pPr>
            <w:r w:rsidRPr="00503334">
              <w:t>Direct distribution remains essential</w:t>
            </w:r>
          </w:p>
        </w:tc>
      </w:tr>
      <w:tr w:rsidR="00503334" w:rsidRPr="00503334" w14:paraId="2CB53958" w14:textId="77777777">
        <w:tc>
          <w:tcPr>
            <w:tcW w:w="0" w:type="auto"/>
            <w:tcBorders>
              <w:top w:val="single" w:sz="2" w:space="0" w:color="auto"/>
              <w:left w:val="single" w:sz="2" w:space="0" w:color="auto"/>
              <w:bottom w:val="single" w:sz="2" w:space="0" w:color="auto"/>
              <w:right w:val="single" w:sz="2" w:space="0" w:color="auto"/>
            </w:tcBorders>
            <w:hideMark/>
          </w:tcPr>
          <w:p w14:paraId="288AD19D" w14:textId="77777777" w:rsidR="00503334" w:rsidRPr="00503334" w:rsidRDefault="00503334" w:rsidP="00503334">
            <w:pPr>
              <w:pStyle w:val="princy"/>
            </w:pPr>
            <w:r w:rsidRPr="00503334">
              <w:t>Best growth move</w:t>
            </w:r>
          </w:p>
        </w:tc>
        <w:tc>
          <w:tcPr>
            <w:tcW w:w="0" w:type="auto"/>
            <w:tcBorders>
              <w:top w:val="single" w:sz="2" w:space="0" w:color="auto"/>
              <w:left w:val="single" w:sz="2" w:space="0" w:color="auto"/>
              <w:bottom w:val="single" w:sz="2" w:space="0" w:color="auto"/>
              <w:right w:val="single" w:sz="2" w:space="0" w:color="auto"/>
            </w:tcBorders>
            <w:hideMark/>
          </w:tcPr>
          <w:p w14:paraId="7098337F" w14:textId="77777777" w:rsidR="00503334" w:rsidRPr="00503334" w:rsidRDefault="00503334" w:rsidP="00503334">
            <w:pPr>
              <w:pStyle w:val="princy"/>
            </w:pPr>
            <w:r w:rsidRPr="00503334">
              <w:t>Deepen wallet share via beauty + retail theatre</w:t>
            </w:r>
          </w:p>
        </w:tc>
        <w:tc>
          <w:tcPr>
            <w:tcW w:w="0" w:type="auto"/>
            <w:tcBorders>
              <w:top w:val="single" w:sz="2" w:space="0" w:color="auto"/>
              <w:left w:val="single" w:sz="2" w:space="0" w:color="auto"/>
              <w:bottom w:val="single" w:sz="2" w:space="0" w:color="auto"/>
              <w:right w:val="single" w:sz="2" w:space="0" w:color="auto"/>
            </w:tcBorders>
            <w:hideMark/>
          </w:tcPr>
          <w:p w14:paraId="19FC8992" w14:textId="77777777" w:rsidR="00503334" w:rsidRPr="00503334" w:rsidRDefault="00503334" w:rsidP="00503334">
            <w:pPr>
              <w:pStyle w:val="princy"/>
            </w:pPr>
            <w:r w:rsidRPr="00503334">
              <w:t>Deepen symbolic relevance via private clienteling + occasion-led curation</w:t>
            </w:r>
          </w:p>
        </w:tc>
        <w:tc>
          <w:tcPr>
            <w:tcW w:w="0" w:type="auto"/>
            <w:tcBorders>
              <w:top w:val="single" w:sz="2" w:space="0" w:color="auto"/>
              <w:left w:val="single" w:sz="2" w:space="0" w:color="auto"/>
              <w:bottom w:val="single" w:sz="2" w:space="0" w:color="auto"/>
              <w:right w:val="single" w:sz="2" w:space="0" w:color="auto"/>
            </w:tcBorders>
            <w:hideMark/>
          </w:tcPr>
          <w:p w14:paraId="08367864" w14:textId="77777777" w:rsidR="00503334" w:rsidRPr="00503334" w:rsidRDefault="00503334" w:rsidP="00503334">
            <w:pPr>
              <w:pStyle w:val="princy"/>
            </w:pPr>
            <w:r w:rsidRPr="00503334">
              <w:t>Grow narrowly, not mass-market</w:t>
            </w:r>
          </w:p>
        </w:tc>
      </w:tr>
      <w:tr w:rsidR="00503334" w:rsidRPr="00503334" w14:paraId="68D645C5" w14:textId="77777777">
        <w:tc>
          <w:tcPr>
            <w:tcW w:w="0" w:type="auto"/>
            <w:tcBorders>
              <w:top w:val="single" w:sz="2" w:space="0" w:color="auto"/>
              <w:left w:val="single" w:sz="2" w:space="0" w:color="auto"/>
              <w:bottom w:val="single" w:sz="2" w:space="0" w:color="auto"/>
              <w:right w:val="single" w:sz="2" w:space="0" w:color="auto"/>
            </w:tcBorders>
            <w:hideMark/>
          </w:tcPr>
          <w:p w14:paraId="3F65B478" w14:textId="77777777" w:rsidR="00503334" w:rsidRPr="00503334" w:rsidRDefault="00503334" w:rsidP="00503334">
            <w:pPr>
              <w:pStyle w:val="princy"/>
            </w:pPr>
            <w:r w:rsidRPr="00503334">
              <w:lastRenderedPageBreak/>
              <w:t>Main risk</w:t>
            </w:r>
          </w:p>
        </w:tc>
        <w:tc>
          <w:tcPr>
            <w:tcW w:w="0" w:type="auto"/>
            <w:tcBorders>
              <w:top w:val="single" w:sz="2" w:space="0" w:color="auto"/>
              <w:left w:val="single" w:sz="2" w:space="0" w:color="auto"/>
              <w:bottom w:val="single" w:sz="2" w:space="0" w:color="auto"/>
              <w:right w:val="single" w:sz="2" w:space="0" w:color="auto"/>
            </w:tcBorders>
            <w:hideMark/>
          </w:tcPr>
          <w:p w14:paraId="3BC92EB8" w14:textId="77777777" w:rsidR="00503334" w:rsidRPr="00503334" w:rsidRDefault="00503334" w:rsidP="00503334">
            <w:pPr>
              <w:pStyle w:val="princy"/>
            </w:pPr>
            <w:r w:rsidRPr="00503334">
              <w:t>Brand overextension and greenwashing scrutiny</w:t>
            </w:r>
          </w:p>
        </w:tc>
        <w:tc>
          <w:tcPr>
            <w:tcW w:w="0" w:type="auto"/>
            <w:tcBorders>
              <w:top w:val="single" w:sz="2" w:space="0" w:color="auto"/>
              <w:left w:val="single" w:sz="2" w:space="0" w:color="auto"/>
              <w:bottom w:val="single" w:sz="2" w:space="0" w:color="auto"/>
              <w:right w:val="single" w:sz="2" w:space="0" w:color="auto"/>
            </w:tcBorders>
            <w:hideMark/>
          </w:tcPr>
          <w:p w14:paraId="30121B7E" w14:textId="77777777" w:rsidR="00503334" w:rsidRPr="00503334" w:rsidRDefault="00503334" w:rsidP="00503334">
            <w:pPr>
              <w:pStyle w:val="princy"/>
            </w:pPr>
            <w:r w:rsidRPr="00503334">
              <w:t>Counterfeiting, limited scale, and over-reliance on visible status</w:t>
            </w:r>
          </w:p>
        </w:tc>
        <w:tc>
          <w:tcPr>
            <w:tcW w:w="0" w:type="auto"/>
            <w:tcBorders>
              <w:top w:val="single" w:sz="2" w:space="0" w:color="auto"/>
              <w:left w:val="single" w:sz="2" w:space="0" w:color="auto"/>
              <w:bottom w:val="single" w:sz="2" w:space="0" w:color="auto"/>
              <w:right w:val="single" w:sz="2" w:space="0" w:color="auto"/>
            </w:tcBorders>
            <w:hideMark/>
          </w:tcPr>
          <w:p w14:paraId="41B571A9" w14:textId="77777777" w:rsidR="00503334" w:rsidRPr="00503334" w:rsidRDefault="00503334" w:rsidP="00503334">
            <w:pPr>
              <w:pStyle w:val="princy"/>
            </w:pPr>
            <w:r w:rsidRPr="00503334">
              <w:t>Protect equity before chasing reach</w:t>
            </w:r>
          </w:p>
        </w:tc>
      </w:tr>
    </w:tbl>
    <w:p w14:paraId="34601BE6" w14:textId="77777777" w:rsidR="00503334" w:rsidRDefault="00503334" w:rsidP="00084C6D">
      <w:pPr>
        <w:pStyle w:val="princy"/>
      </w:pPr>
    </w:p>
    <w:p w14:paraId="0ABF0E17" w14:textId="7D6090BE" w:rsidR="00503334" w:rsidRPr="00503334" w:rsidRDefault="00503334" w:rsidP="00503334">
      <w:pPr>
        <w:pStyle w:val="Heading2"/>
        <w:rPr>
          <w:lang w:val="en-US"/>
        </w:rPr>
      </w:pPr>
      <w:bookmarkStart w:id="19" w:name="_Toc227862161"/>
      <w:r>
        <w:rPr>
          <w:lang w:val="en-US"/>
        </w:rPr>
        <w:t xml:space="preserve">7.0 </w:t>
      </w:r>
      <w:r w:rsidRPr="00503334">
        <w:rPr>
          <w:lang w:val="en-US"/>
        </w:rPr>
        <w:t>Conclusion</w:t>
      </w:r>
      <w:bookmarkEnd w:id="19"/>
    </w:p>
    <w:p w14:paraId="5E8C33F6" w14:textId="77777777" w:rsidR="00503334" w:rsidRPr="00503334" w:rsidRDefault="00503334" w:rsidP="00503334">
      <w:pPr>
        <w:pStyle w:val="princy"/>
        <w:rPr>
          <w:lang w:val="en-US"/>
        </w:rPr>
      </w:pPr>
      <w:r w:rsidRPr="00503334">
        <w:rPr>
          <w:lang w:val="en-US"/>
        </w:rPr>
        <w:t>Louis Vuitton’s international marketing strength lies in disciplined adaptation rather than dramatic localisation. In the United States, the brand behaves like a mature luxury ecosystem: broad direct distribution, deeper category width, beauty, hospitality, and strong experiential theatre. In India, it behaves like a tightly controlled prestige beacon: fewer stores, sharper symbolic power, and heavier dependence on metro elites and occasion-led spending. The PESTEL analysis shows that the American market offers scale and execution depth but also greater maturity and scrutiny. India offers growth speed and symbolic strength but also greater concentration risk and more operational complexity. Hofstede’s model reinforces the pattern: the United States is a better setting for expressive, indulgent, experience-rich luxury, while India remains especially fertile for status-coded, socially legible luxury. The practical implication is that Louis Vuitton should preserve one global House, but not one global emotional script. If it keeps doing that—protecting direct control, widening intelligent entry ladders, and communicating sustainability with evidence rather than abstraction—it should remain strong in both countries, even though the route to growth is clearly different in each. (LVMH, 2026)</w:t>
      </w:r>
    </w:p>
    <w:p w14:paraId="01FAD927" w14:textId="77777777" w:rsidR="00503334" w:rsidRDefault="00503334" w:rsidP="00084C6D">
      <w:pPr>
        <w:pStyle w:val="princy"/>
      </w:pPr>
    </w:p>
    <w:p w14:paraId="697B1A12" w14:textId="24357C9C" w:rsidR="00503334" w:rsidRPr="00503334" w:rsidRDefault="00503334" w:rsidP="00503334">
      <w:pPr>
        <w:pStyle w:val="Heading2"/>
        <w:rPr>
          <w:lang w:val="en-US"/>
        </w:rPr>
      </w:pPr>
      <w:bookmarkStart w:id="20" w:name="_Toc227862162"/>
      <w:r>
        <w:rPr>
          <w:lang w:val="en-US"/>
        </w:rPr>
        <w:t xml:space="preserve">8.0 </w:t>
      </w:r>
      <w:r w:rsidRPr="00503334">
        <w:rPr>
          <w:lang w:val="en-US"/>
        </w:rPr>
        <w:t>Open questions and limitations</w:t>
      </w:r>
      <w:bookmarkEnd w:id="20"/>
    </w:p>
    <w:p w14:paraId="32A40BCB" w14:textId="77777777" w:rsidR="00503334" w:rsidRPr="00503334" w:rsidRDefault="00503334" w:rsidP="00503334">
      <w:pPr>
        <w:pStyle w:val="princy"/>
        <w:rPr>
          <w:lang w:val="en-US"/>
        </w:rPr>
      </w:pPr>
      <w:r w:rsidRPr="00503334">
        <w:rPr>
          <w:lang w:val="en-US"/>
        </w:rPr>
        <w:t xml:space="preserve">Some important data are not publicly disclosed at the Louis Vuitton brand-country level. There is no public standalone revenue split for Louis Vuitton in the United States versus India, and public staffing numbers are brand-global rather than country-specific. The official heritage material clearly documents expansion to New York after 1885, but it does not separately state the exact year of the first U.S. boutique in the same explicit way that some secondary sources do. Likewise, Louis Vuitton does not </w:t>
      </w:r>
      <w:r w:rsidRPr="00503334">
        <w:rPr>
          <w:lang w:val="en-US"/>
        </w:rPr>
        <w:lastRenderedPageBreak/>
        <w:t>publish a simple stand-alone mission-and-vision pair, so this report has used the most credible public proxies: LVMH’s formal mission and Louis Vuitton’s regenerative-luxury ambition. (Louis Vuitton, 2026)</w:t>
      </w:r>
    </w:p>
    <w:p w14:paraId="5A6529C2" w14:textId="77777777" w:rsidR="00503334" w:rsidRPr="00503334" w:rsidRDefault="00503334" w:rsidP="00503334">
      <w:pPr>
        <w:pStyle w:val="Heading2"/>
        <w:rPr>
          <w:lang w:val="en-US"/>
        </w:rPr>
      </w:pPr>
      <w:bookmarkStart w:id="21" w:name="_Toc227862163"/>
      <w:r w:rsidRPr="00503334">
        <w:rPr>
          <w:lang w:val="en-US"/>
        </w:rPr>
        <w:t>References</w:t>
      </w:r>
      <w:bookmarkEnd w:id="21"/>
    </w:p>
    <w:p w14:paraId="75FFEE76" w14:textId="77777777" w:rsidR="00503334" w:rsidRPr="00503334" w:rsidRDefault="00503334" w:rsidP="00503334">
      <w:pPr>
        <w:pStyle w:val="princy"/>
        <w:rPr>
          <w:lang w:val="en-US"/>
        </w:rPr>
      </w:pPr>
      <w:r w:rsidRPr="00503334">
        <w:rPr>
          <w:lang w:val="en-US"/>
        </w:rPr>
        <w:t>Bain &amp; Company (2024) Luxury in Transition: Securing Future Growth. Available at: Bain Insights. [50]</w:t>
      </w:r>
    </w:p>
    <w:p w14:paraId="766C0FC9" w14:textId="77777777" w:rsidR="00503334" w:rsidRPr="00503334" w:rsidRDefault="00503334" w:rsidP="00503334">
      <w:pPr>
        <w:pStyle w:val="princy"/>
        <w:rPr>
          <w:lang w:val="en-US"/>
        </w:rPr>
      </w:pPr>
      <w:r w:rsidRPr="00503334">
        <w:rPr>
          <w:lang w:val="en-US"/>
        </w:rPr>
        <w:t>Bain &amp; Company (2025) Finding a New Longevity for Luxury. Available at: Bain Insights. [51]</w:t>
      </w:r>
    </w:p>
    <w:p w14:paraId="2AA69A04" w14:textId="77777777" w:rsidR="00503334" w:rsidRPr="00503334" w:rsidRDefault="00503334" w:rsidP="00503334">
      <w:pPr>
        <w:pStyle w:val="princy"/>
        <w:rPr>
          <w:lang w:val="en-US"/>
        </w:rPr>
      </w:pPr>
      <w:r w:rsidRPr="00503334">
        <w:rPr>
          <w:lang w:val="en-US"/>
        </w:rPr>
        <w:t>Federal Trade Commission (2026) Green Guides. Available at: FTC website. [52]</w:t>
      </w:r>
    </w:p>
    <w:p w14:paraId="546F5901" w14:textId="77777777" w:rsidR="00503334" w:rsidRPr="00503334" w:rsidRDefault="00503334" w:rsidP="00503334">
      <w:pPr>
        <w:pStyle w:val="princy"/>
        <w:rPr>
          <w:lang w:val="en-US"/>
        </w:rPr>
      </w:pPr>
      <w:r w:rsidRPr="00503334">
        <w:rPr>
          <w:lang w:val="en-US"/>
        </w:rPr>
        <w:t>Government of India, Press Information Bureau (2019) Guidelines for Single Brand Retail Trade. Available at: PIB. [53]</w:t>
      </w:r>
    </w:p>
    <w:p w14:paraId="4EB65520" w14:textId="77777777" w:rsidR="00503334" w:rsidRPr="00503334" w:rsidRDefault="00503334" w:rsidP="00503334">
      <w:pPr>
        <w:pStyle w:val="princy"/>
        <w:rPr>
          <w:lang w:val="en-US"/>
        </w:rPr>
      </w:pPr>
      <w:r w:rsidRPr="00503334">
        <w:rPr>
          <w:lang w:val="en-US"/>
        </w:rPr>
        <w:t>Hofstede / The Culture Factor (2026) Country comparison tool: United States and India. Available at: The Culture Factor website. [18]</w:t>
      </w:r>
    </w:p>
    <w:p w14:paraId="43EC9DB1" w14:textId="77777777" w:rsidR="00503334" w:rsidRPr="00503334" w:rsidRDefault="00503334" w:rsidP="00503334">
      <w:pPr>
        <w:pStyle w:val="princy"/>
        <w:rPr>
          <w:lang w:val="en-US"/>
        </w:rPr>
      </w:pPr>
      <w:r w:rsidRPr="00503334">
        <w:rPr>
          <w:lang w:val="en-US"/>
        </w:rPr>
        <w:t>International Monetary Fund (2026) World Economic Outlook DataMapper: GDP, current prices. Available at: IMF DataMapper. [14]</w:t>
      </w:r>
    </w:p>
    <w:p w14:paraId="676A6CCF" w14:textId="77777777" w:rsidR="00503334" w:rsidRPr="00503334" w:rsidRDefault="00503334" w:rsidP="00503334">
      <w:pPr>
        <w:pStyle w:val="princy"/>
        <w:rPr>
          <w:lang w:val="en-US"/>
        </w:rPr>
      </w:pPr>
      <w:r w:rsidRPr="00503334">
        <w:rPr>
          <w:lang w:val="en-US"/>
        </w:rPr>
        <w:t>Kotler, P. and Armstrong, G. (2016) definition cited in O’Sullivan, H. and Ngugi, I. (2022) Marketing Mix. Available at: Bournemouth University repository. [54]</w:t>
      </w:r>
    </w:p>
    <w:p w14:paraId="78DD3569" w14:textId="77777777" w:rsidR="00503334" w:rsidRPr="00503334" w:rsidRDefault="00503334" w:rsidP="00503334">
      <w:pPr>
        <w:pStyle w:val="princy"/>
        <w:rPr>
          <w:lang w:val="en-US"/>
        </w:rPr>
      </w:pPr>
      <w:r w:rsidRPr="00503334">
        <w:rPr>
          <w:lang w:val="en-US"/>
        </w:rPr>
        <w:t>Kotler, P. and Keller, K.L. (2012) promotion definition cited in Contreras, F.L. (2016) What is Marketing? A Study on Marketing Managers’ Perspective. Available at: Dialnet. [55]</w:t>
      </w:r>
    </w:p>
    <w:p w14:paraId="5956F2C8" w14:textId="77777777" w:rsidR="00503334" w:rsidRPr="00503334" w:rsidRDefault="00503334" w:rsidP="00503334">
      <w:pPr>
        <w:pStyle w:val="princy"/>
        <w:rPr>
          <w:lang w:val="en-US"/>
        </w:rPr>
      </w:pPr>
      <w:r w:rsidRPr="00503334">
        <w:rPr>
          <w:lang w:val="en-US"/>
        </w:rPr>
        <w:t>Louis Vuitton (2024) Our Committed Journey: Social Responsibility Report 2023. Available at: Louis Vuitton sustainability reporting. [56]</w:t>
      </w:r>
    </w:p>
    <w:p w14:paraId="77ACC363" w14:textId="77777777" w:rsidR="00503334" w:rsidRPr="00503334" w:rsidRDefault="00503334" w:rsidP="00503334">
      <w:pPr>
        <w:pStyle w:val="princy"/>
        <w:rPr>
          <w:lang w:val="en-US"/>
        </w:rPr>
      </w:pPr>
      <w:r w:rsidRPr="00503334">
        <w:rPr>
          <w:lang w:val="en-US"/>
        </w:rPr>
        <w:t>Louis Vuitton (2025) 57th Street NYC. Available at: Louis Vuitton USA. [57]</w:t>
      </w:r>
    </w:p>
    <w:p w14:paraId="39D099E9" w14:textId="77777777" w:rsidR="00503334" w:rsidRPr="00503334" w:rsidRDefault="00503334" w:rsidP="00503334">
      <w:pPr>
        <w:pStyle w:val="princy"/>
        <w:rPr>
          <w:lang w:val="en-US"/>
        </w:rPr>
      </w:pPr>
      <w:r w:rsidRPr="00503334">
        <w:rPr>
          <w:lang w:val="en-US"/>
        </w:rPr>
        <w:t>Louis Vuitton (2025) Louis Vuitton 2023 Environmental and Social Responsibility Reports. Available at: Louis Vuitton Europe. [58]</w:t>
      </w:r>
    </w:p>
    <w:p w14:paraId="12AD5DAF" w14:textId="77777777" w:rsidR="00503334" w:rsidRPr="00503334" w:rsidRDefault="00503334" w:rsidP="00503334">
      <w:pPr>
        <w:pStyle w:val="princy"/>
        <w:rPr>
          <w:lang w:val="en-US"/>
        </w:rPr>
      </w:pPr>
      <w:r w:rsidRPr="00503334">
        <w:rPr>
          <w:lang w:val="en-US"/>
        </w:rPr>
        <w:t>Louis Vuitton (2026) Heritage: A History Since 1854. Available at: Louis Vuitton USA. [59]</w:t>
      </w:r>
    </w:p>
    <w:p w14:paraId="1FEFB47B" w14:textId="77777777" w:rsidR="00503334" w:rsidRPr="00503334" w:rsidRDefault="00503334" w:rsidP="00503334">
      <w:pPr>
        <w:pStyle w:val="princy"/>
        <w:rPr>
          <w:lang w:val="en-US"/>
        </w:rPr>
      </w:pPr>
      <w:r w:rsidRPr="00503334">
        <w:rPr>
          <w:lang w:val="en-US"/>
        </w:rPr>
        <w:t>Louis Vuitton Canada, Inc. (2024) Fighting Against Forced Labor and Child Labor in Supply Chains Act Report. Available at: Louis Vuitton Canada. [60]</w:t>
      </w:r>
    </w:p>
    <w:p w14:paraId="49EB851C" w14:textId="77777777" w:rsidR="00503334" w:rsidRPr="00503334" w:rsidRDefault="00503334" w:rsidP="00503334">
      <w:pPr>
        <w:pStyle w:val="princy"/>
        <w:rPr>
          <w:lang w:val="en-US"/>
        </w:rPr>
      </w:pPr>
      <w:r w:rsidRPr="00503334">
        <w:rPr>
          <w:lang w:val="en-US"/>
        </w:rPr>
        <w:lastRenderedPageBreak/>
        <w:t>LVMH (2003) Annual Report 2003. Available at: LVMH archive / annual report source. [61]</w:t>
      </w:r>
    </w:p>
    <w:p w14:paraId="6B5E6660" w14:textId="77777777" w:rsidR="00503334" w:rsidRPr="00503334" w:rsidRDefault="00503334" w:rsidP="00503334">
      <w:pPr>
        <w:pStyle w:val="princy"/>
        <w:rPr>
          <w:lang w:val="en-US"/>
        </w:rPr>
      </w:pPr>
      <w:r w:rsidRPr="00503334">
        <w:rPr>
          <w:lang w:val="en-US"/>
        </w:rPr>
        <w:t>LVMH (2026) Our mission. Available at: LVMH corporate website. [62]</w:t>
      </w:r>
    </w:p>
    <w:p w14:paraId="1F8A5D99" w14:textId="77777777" w:rsidR="00503334" w:rsidRPr="00503334" w:rsidRDefault="00503334" w:rsidP="00503334">
      <w:pPr>
        <w:pStyle w:val="princy"/>
        <w:rPr>
          <w:lang w:val="en-US"/>
        </w:rPr>
      </w:pPr>
      <w:r w:rsidRPr="00503334">
        <w:rPr>
          <w:lang w:val="en-US"/>
        </w:rPr>
        <w:t>Pino, G. et al. (2019) Brand prominence and social status in luxury consumption. Available at: ScienceDirect. [63]</w:t>
      </w:r>
    </w:p>
    <w:p w14:paraId="1A357FA4" w14:textId="77777777" w:rsidR="00503334" w:rsidRPr="00503334" w:rsidRDefault="00503334" w:rsidP="00503334">
      <w:pPr>
        <w:pStyle w:val="princy"/>
        <w:rPr>
          <w:lang w:val="en-US"/>
        </w:rPr>
      </w:pPr>
      <w:r w:rsidRPr="00503334">
        <w:rPr>
          <w:lang w:val="en-US"/>
        </w:rPr>
        <w:t>Sharda, N. and Bhat, A. (2018) Austerity to materialism and brand consciousness: luxury consumption in India. Journal of Fashion Marketing and Management. Available at: Emerald. [64]</w:t>
      </w:r>
    </w:p>
    <w:p w14:paraId="4A04616C" w14:textId="116E6DE1" w:rsidR="00503334" w:rsidRDefault="00503334" w:rsidP="00503334">
      <w:pPr>
        <w:pStyle w:val="princy"/>
      </w:pPr>
      <w:r w:rsidRPr="00503334">
        <w:rPr>
          <w:lang w:val="en-US"/>
        </w:rPr>
        <w:t>United States Trade Representative (2025) Special 301 Report / press materials on intellectual property protection and enforcement. Available at: USTR. [65]</w:t>
      </w:r>
    </w:p>
    <w:sectPr w:rsidR="0050333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062C0260"/>
    <w:lvl w:ilvl="0">
      <w:start w:val="1"/>
      <w:numFmt w:val="bullet"/>
      <w:pStyle w:val="ListBullet"/>
      <w:lvlText w:val=""/>
      <w:lvlJc w:val="left"/>
      <w:pPr>
        <w:tabs>
          <w:tab w:val="num" w:pos="360"/>
        </w:tabs>
        <w:ind w:left="360" w:hanging="360"/>
      </w:pPr>
      <w:rPr>
        <w:rFonts w:ascii="Symbol" w:hAnsi="Symbol" w:hint="default"/>
      </w:rPr>
    </w:lvl>
  </w:abstractNum>
  <w:num w:numId="1" w16cid:durableId="6434375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1E0"/>
    <w:rsid w:val="00084C6D"/>
    <w:rsid w:val="000C21E0"/>
    <w:rsid w:val="001E2139"/>
    <w:rsid w:val="002410C6"/>
    <w:rsid w:val="0044730B"/>
    <w:rsid w:val="00503334"/>
    <w:rsid w:val="005E14FE"/>
    <w:rsid w:val="0063774F"/>
    <w:rsid w:val="00646318"/>
    <w:rsid w:val="006846BE"/>
    <w:rsid w:val="006F56B6"/>
    <w:rsid w:val="00763130"/>
    <w:rsid w:val="007B1675"/>
    <w:rsid w:val="009513B0"/>
    <w:rsid w:val="00E059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2E9CA"/>
  <w15:chartTrackingRefBased/>
  <w15:docId w15:val="{3EBB16DB-661A-4FEA-A201-480618CAC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21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C21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C21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C21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C21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C21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C21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C21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C21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21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C21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C21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C21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C21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C21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C21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C21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C21E0"/>
    <w:rPr>
      <w:rFonts w:eastAsiaTheme="majorEastAsia" w:cstheme="majorBidi"/>
      <w:color w:val="272727" w:themeColor="text1" w:themeTint="D8"/>
    </w:rPr>
  </w:style>
  <w:style w:type="paragraph" w:styleId="Title">
    <w:name w:val="Title"/>
    <w:basedOn w:val="Normal"/>
    <w:next w:val="Normal"/>
    <w:link w:val="TitleChar"/>
    <w:uiPriority w:val="10"/>
    <w:qFormat/>
    <w:rsid w:val="000C21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21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21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21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C21E0"/>
    <w:pPr>
      <w:spacing w:before="160"/>
      <w:jc w:val="center"/>
    </w:pPr>
    <w:rPr>
      <w:i/>
      <w:iCs/>
      <w:color w:val="404040" w:themeColor="text1" w:themeTint="BF"/>
    </w:rPr>
  </w:style>
  <w:style w:type="character" w:customStyle="1" w:styleId="QuoteChar">
    <w:name w:val="Quote Char"/>
    <w:basedOn w:val="DefaultParagraphFont"/>
    <w:link w:val="Quote"/>
    <w:uiPriority w:val="29"/>
    <w:rsid w:val="000C21E0"/>
    <w:rPr>
      <w:i/>
      <w:iCs/>
      <w:color w:val="404040" w:themeColor="text1" w:themeTint="BF"/>
    </w:rPr>
  </w:style>
  <w:style w:type="paragraph" w:styleId="ListParagraph">
    <w:name w:val="List Paragraph"/>
    <w:basedOn w:val="Normal"/>
    <w:uiPriority w:val="34"/>
    <w:qFormat/>
    <w:rsid w:val="000C21E0"/>
    <w:pPr>
      <w:ind w:left="720"/>
      <w:contextualSpacing/>
    </w:pPr>
  </w:style>
  <w:style w:type="character" w:styleId="IntenseEmphasis">
    <w:name w:val="Intense Emphasis"/>
    <w:basedOn w:val="DefaultParagraphFont"/>
    <w:uiPriority w:val="21"/>
    <w:qFormat/>
    <w:rsid w:val="000C21E0"/>
    <w:rPr>
      <w:i/>
      <w:iCs/>
      <w:color w:val="0F4761" w:themeColor="accent1" w:themeShade="BF"/>
    </w:rPr>
  </w:style>
  <w:style w:type="paragraph" w:styleId="IntenseQuote">
    <w:name w:val="Intense Quote"/>
    <w:basedOn w:val="Normal"/>
    <w:next w:val="Normal"/>
    <w:link w:val="IntenseQuoteChar"/>
    <w:uiPriority w:val="30"/>
    <w:qFormat/>
    <w:rsid w:val="000C21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C21E0"/>
    <w:rPr>
      <w:i/>
      <w:iCs/>
      <w:color w:val="0F4761" w:themeColor="accent1" w:themeShade="BF"/>
    </w:rPr>
  </w:style>
  <w:style w:type="character" w:styleId="IntenseReference">
    <w:name w:val="Intense Reference"/>
    <w:basedOn w:val="DefaultParagraphFont"/>
    <w:uiPriority w:val="32"/>
    <w:qFormat/>
    <w:rsid w:val="000C21E0"/>
    <w:rPr>
      <w:b/>
      <w:bCs/>
      <w:smallCaps/>
      <w:color w:val="0F4761" w:themeColor="accent1" w:themeShade="BF"/>
      <w:spacing w:val="5"/>
    </w:rPr>
  </w:style>
  <w:style w:type="paragraph" w:customStyle="1" w:styleId="hardeep">
    <w:name w:val="hardeep"/>
    <w:basedOn w:val="Normal"/>
    <w:link w:val="hardeepChar"/>
    <w:qFormat/>
    <w:rsid w:val="000C21E0"/>
    <w:pPr>
      <w:spacing w:after="120" w:line="360" w:lineRule="auto"/>
      <w:jc w:val="both"/>
    </w:pPr>
    <w:rPr>
      <w:rFonts w:ascii="Times New Roman" w:hAnsi="Times New Roman"/>
    </w:rPr>
  </w:style>
  <w:style w:type="character" w:customStyle="1" w:styleId="hardeepChar">
    <w:name w:val="hardeep Char"/>
    <w:basedOn w:val="DefaultParagraphFont"/>
    <w:link w:val="hardeep"/>
    <w:rsid w:val="000C21E0"/>
    <w:rPr>
      <w:rFonts w:ascii="Times New Roman" w:hAnsi="Times New Roman"/>
    </w:rPr>
  </w:style>
  <w:style w:type="paragraph" w:customStyle="1" w:styleId="princy">
    <w:name w:val="princy"/>
    <w:basedOn w:val="hardeep"/>
    <w:link w:val="princyChar"/>
    <w:qFormat/>
    <w:rsid w:val="000C21E0"/>
    <w:rPr>
      <w:rFonts w:ascii="Arial" w:hAnsi="Arial"/>
    </w:rPr>
  </w:style>
  <w:style w:type="character" w:customStyle="1" w:styleId="princyChar">
    <w:name w:val="princy Char"/>
    <w:basedOn w:val="hardeepChar"/>
    <w:link w:val="princy"/>
    <w:rsid w:val="000C21E0"/>
    <w:rPr>
      <w:rFonts w:ascii="Arial" w:hAnsi="Arial"/>
    </w:rPr>
  </w:style>
  <w:style w:type="paragraph" w:styleId="ListBullet">
    <w:name w:val="List Bullet"/>
    <w:basedOn w:val="Normal"/>
    <w:uiPriority w:val="99"/>
    <w:unhideWhenUsed/>
    <w:rsid w:val="002410C6"/>
    <w:pPr>
      <w:numPr>
        <w:numId w:val="1"/>
      </w:numPr>
      <w:tabs>
        <w:tab w:val="clear" w:pos="360"/>
      </w:tabs>
      <w:spacing w:after="200" w:line="276" w:lineRule="auto"/>
      <w:ind w:left="0" w:firstLine="0"/>
      <w:contextualSpacing/>
    </w:pPr>
    <w:rPr>
      <w:rFonts w:eastAsiaTheme="minorEastAsia"/>
      <w:kern w:val="0"/>
      <w:sz w:val="22"/>
      <w:szCs w:val="22"/>
      <w:lang w:val="en-US"/>
      <w14:ligatures w14:val="none"/>
    </w:rPr>
  </w:style>
  <w:style w:type="paragraph" w:styleId="NormalWeb">
    <w:name w:val="Normal (Web)"/>
    <w:basedOn w:val="Normal"/>
    <w:uiPriority w:val="99"/>
    <w:semiHidden/>
    <w:unhideWhenUsed/>
    <w:rsid w:val="00646318"/>
    <w:rPr>
      <w:rFonts w:ascii="Times New Roman" w:hAnsi="Times New Roman" w:cs="Times New Roman"/>
    </w:rPr>
  </w:style>
  <w:style w:type="paragraph" w:styleId="TOCHeading">
    <w:name w:val="TOC Heading"/>
    <w:basedOn w:val="Heading1"/>
    <w:next w:val="Normal"/>
    <w:uiPriority w:val="39"/>
    <w:unhideWhenUsed/>
    <w:qFormat/>
    <w:rsid w:val="009513B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9513B0"/>
    <w:pPr>
      <w:spacing w:after="100"/>
    </w:pPr>
  </w:style>
  <w:style w:type="paragraph" w:styleId="TOC2">
    <w:name w:val="toc 2"/>
    <w:basedOn w:val="Normal"/>
    <w:next w:val="Normal"/>
    <w:autoRedefine/>
    <w:uiPriority w:val="39"/>
    <w:unhideWhenUsed/>
    <w:rsid w:val="009513B0"/>
    <w:pPr>
      <w:spacing w:after="100"/>
      <w:ind w:left="240"/>
    </w:pPr>
  </w:style>
  <w:style w:type="paragraph" w:styleId="TOC3">
    <w:name w:val="toc 3"/>
    <w:basedOn w:val="Normal"/>
    <w:next w:val="Normal"/>
    <w:autoRedefine/>
    <w:uiPriority w:val="39"/>
    <w:unhideWhenUsed/>
    <w:rsid w:val="009513B0"/>
    <w:pPr>
      <w:spacing w:after="100"/>
      <w:ind w:left="480"/>
    </w:pPr>
  </w:style>
  <w:style w:type="character" w:styleId="Hyperlink">
    <w:name w:val="Hyperlink"/>
    <w:basedOn w:val="DefaultParagraphFont"/>
    <w:uiPriority w:val="99"/>
    <w:unhideWhenUsed/>
    <w:rsid w:val="009513B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134</TotalTime>
  <Pages>26</Pages>
  <Words>7180</Words>
  <Characters>40930</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rahul shrimali</dc:creator>
  <cp:keywords/>
  <dc:description/>
  <cp:lastModifiedBy>rahul shrimali</cp:lastModifiedBy>
  <cp:revision>1</cp:revision>
  <dcterms:created xsi:type="dcterms:W3CDTF">2026-04-23T10:29:00Z</dcterms:created>
  <dcterms:modified xsi:type="dcterms:W3CDTF">2026-04-23T13:19:00Z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9a750b9a-f56e-44b3-b04f-d2c08a8086d2</vt:lpwstr>
  </property>
</Properties>
</file>