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C43A8" w14:textId="77276623" w:rsidR="00350D44" w:rsidRDefault="00350D44" w:rsidP="00350D44">
      <w:pPr>
        <w:pStyle w:val="NormalWeb"/>
        <w:spacing w:before="0" w:beforeAutospacing="0" w:after="0" w:afterAutospacing="0"/>
        <w:ind w:left="-180" w:right="-334"/>
      </w:pPr>
      <w:r>
        <w:rPr>
          <w:noProof/>
        </w:rPr>
        <w:drawing>
          <wp:inline distT="0" distB="0" distL="0" distR="0" wp14:anchorId="532AC1DE" wp14:editId="0B73DE64">
            <wp:extent cx="1820545" cy="731520"/>
            <wp:effectExtent l="0" t="0" r="825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20545" cy="731520"/>
                    </a:xfrm>
                    <a:prstGeom prst="rect">
                      <a:avLst/>
                    </a:prstGeom>
                    <a:noFill/>
                    <a:ln>
                      <a:noFill/>
                    </a:ln>
                  </pic:spPr>
                </pic:pic>
              </a:graphicData>
            </a:graphic>
          </wp:inline>
        </w:drawing>
      </w:r>
    </w:p>
    <w:p w14:paraId="309C4DFD" w14:textId="77777777" w:rsidR="00350D44" w:rsidRDefault="00350D44" w:rsidP="00350D44">
      <w:pPr>
        <w:pStyle w:val="NormalWeb"/>
        <w:spacing w:before="0" w:beforeAutospacing="0" w:after="0" w:afterAutospacing="0"/>
        <w:ind w:left="-180" w:right="-334"/>
      </w:pPr>
    </w:p>
    <w:p w14:paraId="7768A119" w14:textId="77777777" w:rsidR="00350D44" w:rsidRDefault="00350D44" w:rsidP="00350D44">
      <w:pPr>
        <w:pStyle w:val="NormalWeb"/>
        <w:spacing w:before="0" w:beforeAutospacing="0" w:after="0" w:afterAutospacing="0"/>
        <w:ind w:left="-180" w:right="-334"/>
      </w:pPr>
    </w:p>
    <w:p w14:paraId="03F93326" w14:textId="77777777" w:rsidR="00350D44" w:rsidRDefault="00350D44" w:rsidP="00350D4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A2BDE0C" w14:textId="77777777" w:rsidR="00350D44" w:rsidRPr="00230F35" w:rsidRDefault="00350D44" w:rsidP="00350D4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FF23066" w14:textId="77777777" w:rsidR="00350D44" w:rsidRPr="00230F35" w:rsidRDefault="00350D44" w:rsidP="00350D44">
      <w:pPr>
        <w:rPr>
          <w:rFonts w:ascii="Arial" w:hAnsi="Arial" w:cs="Arial"/>
          <w:sz w:val="28"/>
          <w:szCs w:val="28"/>
          <w:lang w:val="cy-GB"/>
        </w:rPr>
      </w:pPr>
    </w:p>
    <w:p w14:paraId="1937A22F" w14:textId="77777777" w:rsidR="00350D44" w:rsidRDefault="00350D44" w:rsidP="00350D44">
      <w:pPr>
        <w:pStyle w:val="Heading3"/>
        <w:jc w:val="center"/>
        <w:rPr>
          <w:lang w:val="cy-GB"/>
        </w:rPr>
      </w:pPr>
      <w:r>
        <w:rPr>
          <w:lang w:val="cy-GB"/>
        </w:rPr>
        <w:t>THIS SHEET MUST BE THE FIRST PAGE OF THE ASSIGNMENT YOU ARE SUBMITTING  (DO NOT SEND AS A SEPARATE FILE)</w:t>
      </w:r>
    </w:p>
    <w:p w14:paraId="0655927C" w14:textId="77777777" w:rsidR="00350D44" w:rsidRDefault="00350D44" w:rsidP="00350D4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50D44" w:rsidRPr="00230F35" w14:paraId="2E94EB70" w14:textId="77777777" w:rsidTr="00163267">
        <w:trPr>
          <w:trHeight w:val="614"/>
        </w:trPr>
        <w:tc>
          <w:tcPr>
            <w:tcW w:w="8856" w:type="dxa"/>
            <w:gridSpan w:val="5"/>
          </w:tcPr>
          <w:p w14:paraId="1BE1555F"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50D44" w:rsidRPr="00230F35" w14:paraId="01D1B182" w14:textId="77777777" w:rsidTr="00163267">
        <w:trPr>
          <w:trHeight w:val="718"/>
        </w:trPr>
        <w:tc>
          <w:tcPr>
            <w:tcW w:w="8856" w:type="dxa"/>
            <w:gridSpan w:val="5"/>
          </w:tcPr>
          <w:p w14:paraId="2218FDEF" w14:textId="77777777" w:rsidR="00350D44"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33D26FEC" w14:textId="77777777" w:rsidR="00350D44" w:rsidRPr="00230F35" w:rsidRDefault="00350D44" w:rsidP="00163267">
            <w:pPr>
              <w:pStyle w:val="NormalWeb"/>
              <w:spacing w:before="0" w:beforeAutospacing="0" w:after="0" w:afterAutospacing="0"/>
              <w:ind w:right="34"/>
              <w:rPr>
                <w:rFonts w:ascii="Arial" w:hAnsi="Arial" w:cs="Arial"/>
                <w:sz w:val="22"/>
                <w:szCs w:val="22"/>
              </w:rPr>
            </w:pPr>
          </w:p>
          <w:p w14:paraId="2B1C901F"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350D44" w:rsidRPr="00230F35" w14:paraId="01DD2B8B" w14:textId="77777777" w:rsidTr="00163267">
        <w:trPr>
          <w:trHeight w:val="849"/>
        </w:trPr>
        <w:tc>
          <w:tcPr>
            <w:tcW w:w="4788" w:type="dxa"/>
          </w:tcPr>
          <w:p w14:paraId="64937D33"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HPCA7017</w:t>
            </w:r>
          </w:p>
          <w:p w14:paraId="0936F77B" w14:textId="77777777" w:rsidR="00350D44" w:rsidRPr="00230F35" w:rsidRDefault="00350D44" w:rsidP="00163267">
            <w:pPr>
              <w:pStyle w:val="NormalWeb"/>
              <w:spacing w:before="0" w:beforeAutospacing="0" w:after="0" w:afterAutospacing="0"/>
              <w:ind w:right="34"/>
              <w:rPr>
                <w:rFonts w:ascii="Arial" w:hAnsi="Arial" w:cs="Arial"/>
                <w:sz w:val="22"/>
                <w:szCs w:val="22"/>
              </w:rPr>
            </w:pPr>
          </w:p>
          <w:p w14:paraId="1CC0EE05" w14:textId="77777777" w:rsidR="00350D44"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30780278" w14:textId="77777777" w:rsidR="00350D44" w:rsidRDefault="00350D44" w:rsidP="00163267">
            <w:pPr>
              <w:pStyle w:val="NormalWeb"/>
              <w:spacing w:before="0" w:beforeAutospacing="0" w:after="0" w:afterAutospacing="0"/>
              <w:ind w:right="34"/>
              <w:rPr>
                <w:rFonts w:ascii="Arial" w:hAnsi="Arial" w:cs="Arial"/>
                <w:sz w:val="22"/>
                <w:szCs w:val="22"/>
              </w:rPr>
            </w:pPr>
          </w:p>
          <w:p w14:paraId="07038878" w14:textId="77777777" w:rsidR="00350D44" w:rsidRPr="00230F35" w:rsidRDefault="00350D44" w:rsidP="00163267">
            <w:pPr>
              <w:pStyle w:val="NormalWeb"/>
              <w:spacing w:before="0" w:beforeAutospacing="0" w:after="0" w:afterAutospacing="0"/>
              <w:ind w:right="34"/>
              <w:rPr>
                <w:rFonts w:ascii="Arial" w:hAnsi="Arial" w:cs="Arial"/>
                <w:sz w:val="22"/>
                <w:szCs w:val="22"/>
              </w:rPr>
            </w:pPr>
          </w:p>
        </w:tc>
        <w:tc>
          <w:tcPr>
            <w:tcW w:w="2266" w:type="dxa"/>
            <w:gridSpan w:val="3"/>
          </w:tcPr>
          <w:p w14:paraId="2D971306" w14:textId="77777777" w:rsidR="00350D44"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7C1A633" w14:textId="77777777" w:rsidR="00350D44" w:rsidRDefault="00350D44" w:rsidP="00163267">
            <w:pPr>
              <w:pStyle w:val="NormalWeb"/>
              <w:spacing w:before="0" w:beforeAutospacing="0" w:after="0" w:afterAutospacing="0"/>
              <w:ind w:right="34"/>
              <w:rPr>
                <w:rFonts w:ascii="Arial" w:hAnsi="Arial" w:cs="Arial"/>
                <w:sz w:val="22"/>
                <w:szCs w:val="22"/>
              </w:rPr>
            </w:pPr>
          </w:p>
          <w:p w14:paraId="7B119DE8" w14:textId="77777777" w:rsidR="00350D44" w:rsidRPr="00230F35" w:rsidRDefault="00350D44" w:rsidP="00163267">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6DE3D400"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848F49E"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50D44" w:rsidRPr="00230F35" w14:paraId="435DD089" w14:textId="77777777" w:rsidTr="00163267">
        <w:trPr>
          <w:trHeight w:val="1139"/>
        </w:trPr>
        <w:tc>
          <w:tcPr>
            <w:tcW w:w="8856" w:type="dxa"/>
            <w:gridSpan w:val="5"/>
          </w:tcPr>
          <w:p w14:paraId="1CDC1451" w14:textId="77777777" w:rsidR="00350D44" w:rsidRPr="00E40A97" w:rsidRDefault="00350D44" w:rsidP="00163267">
            <w:pPr>
              <w:autoSpaceDE w:val="0"/>
              <w:autoSpaceDN w:val="0"/>
              <w:adjustRightInd w:val="0"/>
              <w:rPr>
                <w:rFonts w:ascii="Arial" w:hAnsi="Arial" w:cs="Arial"/>
                <w:color w:val="000000"/>
                <w:sz w:val="22"/>
                <w:szCs w:val="22"/>
              </w:rPr>
            </w:pPr>
            <w:r w:rsidRPr="00230F35">
              <w:rPr>
                <w:rFonts w:ascii="Arial" w:hAnsi="Arial" w:cs="Arial"/>
                <w:sz w:val="22"/>
                <w:szCs w:val="22"/>
              </w:rPr>
              <w:t>Assignment title:</w:t>
            </w:r>
            <w:r w:rsidRPr="00E40A97">
              <w:rPr>
                <w:rFonts w:ascii="Arial" w:hAnsi="Arial" w:cs="Arial"/>
                <w:color w:val="000000"/>
                <w:sz w:val="22"/>
                <w:szCs w:val="22"/>
              </w:rPr>
              <w:t>.</w:t>
            </w:r>
            <w:r>
              <w:rPr>
                <w:rFonts w:ascii="Arial" w:hAnsi="Arial" w:cs="Arial"/>
                <w:color w:val="000000"/>
                <w:sz w:val="22"/>
                <w:szCs w:val="22"/>
              </w:rPr>
              <w:t xml:space="preserve"> </w:t>
            </w:r>
            <w:r w:rsidRPr="00CA3B58">
              <w:rPr>
                <w:rFonts w:ascii="Arial" w:hAnsi="Arial" w:cs="Arial"/>
                <w:color w:val="000000"/>
                <w:sz w:val="22"/>
                <w:szCs w:val="22"/>
              </w:rPr>
              <w:t>A Critical Review of three</w:t>
            </w:r>
            <w:r>
              <w:rPr>
                <w:rFonts w:ascii="Arial" w:hAnsi="Arial" w:cs="Arial"/>
                <w:color w:val="000000"/>
                <w:sz w:val="22"/>
                <w:szCs w:val="22"/>
              </w:rPr>
              <w:t xml:space="preserve"> </w:t>
            </w:r>
            <w:r w:rsidRPr="00CA3B58">
              <w:rPr>
                <w:rFonts w:ascii="Arial" w:hAnsi="Arial" w:cs="Arial"/>
                <w:color w:val="000000"/>
                <w:sz w:val="22"/>
                <w:szCs w:val="22"/>
              </w:rPr>
              <w:t>primary source documents</w:t>
            </w:r>
          </w:p>
          <w:p w14:paraId="42043055" w14:textId="77777777" w:rsidR="00350D44" w:rsidRPr="00230F35" w:rsidRDefault="00350D44" w:rsidP="00163267">
            <w:pPr>
              <w:pStyle w:val="NormalWeb"/>
              <w:spacing w:before="0" w:beforeAutospacing="0" w:after="0" w:afterAutospacing="0"/>
              <w:ind w:right="34"/>
              <w:rPr>
                <w:rFonts w:ascii="Arial" w:hAnsi="Arial" w:cs="Arial"/>
                <w:sz w:val="22"/>
                <w:szCs w:val="22"/>
              </w:rPr>
            </w:pPr>
          </w:p>
          <w:p w14:paraId="35BF139B" w14:textId="77777777" w:rsidR="00350D44" w:rsidRDefault="00350D44" w:rsidP="00163267">
            <w:pPr>
              <w:pStyle w:val="NormalWeb"/>
              <w:spacing w:before="0" w:beforeAutospacing="0" w:after="0" w:afterAutospacing="0"/>
              <w:ind w:right="34"/>
              <w:rPr>
                <w:rFonts w:ascii="Arial" w:hAnsi="Arial" w:cs="Arial"/>
                <w:sz w:val="22"/>
                <w:szCs w:val="22"/>
              </w:rPr>
            </w:pPr>
          </w:p>
          <w:p w14:paraId="7E5FFC45"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w:t>
            </w:r>
            <w:r w:rsidRPr="00E40A97">
              <w:rPr>
                <w:rFonts w:ascii="Arial" w:hAnsi="Arial" w:cs="Arial"/>
                <w:sz w:val="22"/>
                <w:szCs w:val="22"/>
                <w:vertAlign w:val="superscript"/>
              </w:rPr>
              <w:t>th</w:t>
            </w:r>
            <w:r>
              <w:rPr>
                <w:rFonts w:ascii="Arial" w:hAnsi="Arial" w:cs="Arial"/>
                <w:sz w:val="22"/>
                <w:szCs w:val="22"/>
              </w:rPr>
              <w:t xml:space="preserve"> March 2022</w:t>
            </w:r>
          </w:p>
        </w:tc>
      </w:tr>
      <w:tr w:rsidR="00350D44" w:rsidRPr="00230F35" w14:paraId="44106641" w14:textId="77777777" w:rsidTr="00163267">
        <w:trPr>
          <w:trHeight w:val="978"/>
        </w:trPr>
        <w:tc>
          <w:tcPr>
            <w:tcW w:w="8856" w:type="dxa"/>
            <w:gridSpan w:val="5"/>
            <w:tcBorders>
              <w:bottom w:val="single" w:sz="4" w:space="0" w:color="000000"/>
            </w:tcBorders>
          </w:tcPr>
          <w:p w14:paraId="01160026" w14:textId="77777777" w:rsidR="00350D44" w:rsidRPr="00230F35" w:rsidRDefault="00350D44" w:rsidP="0016326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63F01">
              <w:rPr>
                <w:rFonts w:ascii="Arial" w:hAnsi="Arial" w:cs="Arial"/>
                <w:sz w:val="22"/>
                <w:szCs w:val="22"/>
              </w:rPr>
            </w:r>
            <w:r w:rsidR="00063F01">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63F01">
              <w:rPr>
                <w:rFonts w:ascii="Arial" w:hAnsi="Arial" w:cs="Arial"/>
                <w:sz w:val="22"/>
                <w:szCs w:val="22"/>
              </w:rPr>
            </w:r>
            <w:r w:rsidR="00063F01">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63F01">
              <w:rPr>
                <w:rFonts w:ascii="Arial" w:hAnsi="Arial" w:cs="Arial"/>
                <w:sz w:val="22"/>
                <w:szCs w:val="22"/>
              </w:rPr>
            </w:r>
            <w:r w:rsidR="00063F0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MS Gothic" w:eastAsia="MS Gothic" w:hAnsi="MS Gothic" w:cs="MS Gothic" w:hint="eastAsia"/>
                <w:color w:val="222222"/>
                <w:shd w:val="clear" w:color="auto" w:fill="FFFFFF"/>
              </w:rPr>
              <w:t>✔</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63F01">
              <w:rPr>
                <w:rFonts w:ascii="Arial" w:hAnsi="Arial" w:cs="Arial"/>
                <w:sz w:val="22"/>
                <w:szCs w:val="22"/>
              </w:rPr>
            </w:r>
            <w:r w:rsidR="00063F0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63F01">
              <w:rPr>
                <w:rFonts w:ascii="Arial" w:hAnsi="Arial" w:cs="Arial"/>
                <w:sz w:val="22"/>
                <w:szCs w:val="22"/>
              </w:rPr>
            </w:r>
            <w:r w:rsidR="00063F0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63F01">
              <w:rPr>
                <w:rFonts w:ascii="Arial" w:hAnsi="Arial" w:cs="Arial"/>
                <w:sz w:val="22"/>
                <w:szCs w:val="22"/>
              </w:rPr>
            </w:r>
            <w:r w:rsidR="00063F01">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350D44" w:rsidRPr="00230F35" w14:paraId="2FADAD36" w14:textId="77777777" w:rsidTr="00163267">
        <w:trPr>
          <w:trHeight w:val="978"/>
        </w:trPr>
        <w:tc>
          <w:tcPr>
            <w:tcW w:w="8856" w:type="dxa"/>
            <w:gridSpan w:val="5"/>
            <w:shd w:val="clear" w:color="auto" w:fill="D9D9D9"/>
          </w:tcPr>
          <w:p w14:paraId="442FAB26"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C5A672" w14:textId="77777777" w:rsidR="00350D44"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08F54DC" w14:textId="77777777" w:rsidR="00350D44" w:rsidRDefault="00350D44" w:rsidP="0016326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15B72FB3" w14:textId="77777777" w:rsidR="00350D44" w:rsidRPr="00230F35" w:rsidRDefault="00350D44" w:rsidP="0016326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50D44" w:rsidRPr="00230F35" w14:paraId="4AFCAE4C" w14:textId="77777777" w:rsidTr="00163267">
        <w:trPr>
          <w:trHeight w:val="3972"/>
        </w:trPr>
        <w:tc>
          <w:tcPr>
            <w:tcW w:w="8856" w:type="dxa"/>
            <w:gridSpan w:val="5"/>
          </w:tcPr>
          <w:p w14:paraId="34DAC506" w14:textId="77777777" w:rsidR="00350D44" w:rsidRDefault="00350D44" w:rsidP="00163267">
            <w:pPr>
              <w:rPr>
                <w:rFonts w:ascii="Arial" w:hAnsi="Arial"/>
                <w:b/>
              </w:rPr>
            </w:pPr>
          </w:p>
          <w:p w14:paraId="47C5558D" w14:textId="77777777" w:rsidR="00350D44" w:rsidRPr="00116CE6" w:rsidRDefault="00350D44" w:rsidP="0016326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50D44" w:rsidRPr="00116CE6" w14:paraId="7F50515D" w14:textId="77777777" w:rsidTr="00163267">
              <w:tc>
                <w:tcPr>
                  <w:tcW w:w="6970" w:type="dxa"/>
                </w:tcPr>
                <w:p w14:paraId="786FE6A9" w14:textId="77777777" w:rsidR="00350D44" w:rsidRPr="00116CE6" w:rsidRDefault="00350D44" w:rsidP="00163267">
                  <w:pPr>
                    <w:rPr>
                      <w:rFonts w:ascii="Arial" w:hAnsi="Arial"/>
                      <w:sz w:val="20"/>
                      <w:szCs w:val="20"/>
                    </w:rPr>
                  </w:pPr>
                </w:p>
                <w:p w14:paraId="77F0E138" w14:textId="77777777" w:rsidR="00350D44" w:rsidRPr="00116CE6" w:rsidRDefault="00350D44" w:rsidP="0016326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EFD1D0C" w14:textId="77777777" w:rsidR="00350D44" w:rsidRPr="00116CE6" w:rsidRDefault="00350D44" w:rsidP="00163267">
                  <w:pPr>
                    <w:rPr>
                      <w:rFonts w:ascii="Arial" w:hAnsi="Arial"/>
                      <w:sz w:val="20"/>
                      <w:szCs w:val="20"/>
                    </w:rPr>
                  </w:pPr>
                </w:p>
              </w:tc>
            </w:tr>
            <w:tr w:rsidR="00350D44" w:rsidRPr="00116CE6" w14:paraId="5BBAB6B0" w14:textId="77777777" w:rsidTr="00163267">
              <w:tc>
                <w:tcPr>
                  <w:tcW w:w="6970" w:type="dxa"/>
                </w:tcPr>
                <w:p w14:paraId="474E4E4D" w14:textId="77777777" w:rsidR="00350D44" w:rsidRPr="00116CE6" w:rsidRDefault="00350D44" w:rsidP="00163267">
                  <w:pPr>
                    <w:rPr>
                      <w:rFonts w:ascii="Arial" w:hAnsi="Arial"/>
                      <w:sz w:val="20"/>
                      <w:szCs w:val="20"/>
                    </w:rPr>
                  </w:pPr>
                </w:p>
                <w:p w14:paraId="221EC102" w14:textId="77777777" w:rsidR="00350D44" w:rsidRPr="00116CE6" w:rsidRDefault="00350D44" w:rsidP="0016326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0DF25D2" w14:textId="77777777" w:rsidR="00350D44" w:rsidRPr="00116CE6" w:rsidRDefault="00350D44" w:rsidP="00163267">
                  <w:pPr>
                    <w:rPr>
                      <w:rFonts w:ascii="Arial" w:hAnsi="Arial"/>
                      <w:sz w:val="20"/>
                      <w:szCs w:val="20"/>
                    </w:rPr>
                  </w:pPr>
                </w:p>
              </w:tc>
            </w:tr>
            <w:tr w:rsidR="00350D44" w:rsidRPr="00116CE6" w14:paraId="68A43C89" w14:textId="77777777" w:rsidTr="00163267">
              <w:tc>
                <w:tcPr>
                  <w:tcW w:w="6970" w:type="dxa"/>
                </w:tcPr>
                <w:p w14:paraId="24FF7021" w14:textId="77777777" w:rsidR="00350D44" w:rsidRPr="00116CE6" w:rsidRDefault="00350D44" w:rsidP="00163267">
                  <w:pPr>
                    <w:rPr>
                      <w:rFonts w:ascii="Arial" w:hAnsi="Arial"/>
                      <w:sz w:val="20"/>
                      <w:szCs w:val="20"/>
                    </w:rPr>
                  </w:pPr>
                </w:p>
                <w:p w14:paraId="767D74EE" w14:textId="77777777" w:rsidR="00350D44" w:rsidRPr="00116CE6" w:rsidRDefault="00350D44" w:rsidP="0016326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5FBD196" w14:textId="77777777" w:rsidR="00350D44" w:rsidRPr="00116CE6" w:rsidRDefault="00350D44" w:rsidP="00163267">
                  <w:pPr>
                    <w:rPr>
                      <w:rFonts w:ascii="Arial" w:hAnsi="Arial"/>
                      <w:sz w:val="20"/>
                      <w:szCs w:val="20"/>
                    </w:rPr>
                  </w:pPr>
                </w:p>
              </w:tc>
            </w:tr>
            <w:tr w:rsidR="00350D44" w:rsidRPr="00116CE6" w14:paraId="2EE28C93" w14:textId="77777777" w:rsidTr="00163267">
              <w:tc>
                <w:tcPr>
                  <w:tcW w:w="6970" w:type="dxa"/>
                </w:tcPr>
                <w:p w14:paraId="7FB333D3" w14:textId="77777777" w:rsidR="00350D44" w:rsidRDefault="00350D44" w:rsidP="00163267">
                  <w:pPr>
                    <w:rPr>
                      <w:rFonts w:ascii="Arial" w:hAnsi="Arial"/>
                      <w:sz w:val="20"/>
                      <w:szCs w:val="20"/>
                    </w:rPr>
                  </w:pPr>
                </w:p>
                <w:p w14:paraId="18D8209D" w14:textId="77777777" w:rsidR="00350D44" w:rsidRPr="00022345" w:rsidRDefault="00350D44" w:rsidP="00163267">
                  <w:pPr>
                    <w:rPr>
                      <w:rFonts w:ascii="Arial" w:hAnsi="Arial"/>
                      <w:b/>
                      <w:sz w:val="20"/>
                      <w:szCs w:val="20"/>
                    </w:rPr>
                  </w:pPr>
                  <w:r w:rsidRPr="00022345">
                    <w:rPr>
                      <w:rFonts w:ascii="Arial" w:hAnsi="Arial"/>
                      <w:b/>
                      <w:sz w:val="20"/>
                      <w:szCs w:val="20"/>
                    </w:rPr>
                    <w:t>Final Mark</w:t>
                  </w:r>
                </w:p>
                <w:p w14:paraId="3667DD5C" w14:textId="77777777" w:rsidR="00350D44" w:rsidRPr="00116CE6" w:rsidRDefault="00350D44" w:rsidP="00163267">
                  <w:pPr>
                    <w:rPr>
                      <w:rFonts w:ascii="Arial" w:hAnsi="Arial"/>
                      <w:sz w:val="20"/>
                      <w:szCs w:val="20"/>
                    </w:rPr>
                  </w:pPr>
                </w:p>
              </w:tc>
              <w:tc>
                <w:tcPr>
                  <w:tcW w:w="1660" w:type="dxa"/>
                </w:tcPr>
                <w:p w14:paraId="49A3E059" w14:textId="77777777" w:rsidR="00350D44" w:rsidRPr="00116CE6" w:rsidRDefault="00350D44" w:rsidP="00163267">
                  <w:pPr>
                    <w:rPr>
                      <w:rFonts w:ascii="Arial" w:hAnsi="Arial"/>
                      <w:sz w:val="20"/>
                      <w:szCs w:val="20"/>
                    </w:rPr>
                  </w:pPr>
                </w:p>
              </w:tc>
            </w:tr>
          </w:tbl>
          <w:p w14:paraId="4437BFDD" w14:textId="77777777" w:rsidR="00350D44" w:rsidRDefault="00350D44" w:rsidP="00163267">
            <w:pPr>
              <w:pStyle w:val="NormalWeb"/>
              <w:spacing w:before="0" w:beforeAutospacing="0" w:after="0" w:afterAutospacing="0"/>
              <w:ind w:left="142" w:right="34"/>
              <w:rPr>
                <w:rFonts w:ascii="Arial" w:hAnsi="Arial" w:cs="Arial"/>
                <w:b/>
                <w:sz w:val="22"/>
                <w:szCs w:val="22"/>
              </w:rPr>
            </w:pPr>
          </w:p>
          <w:p w14:paraId="29C860AC" w14:textId="77777777" w:rsidR="00350D44" w:rsidRPr="00230F35" w:rsidRDefault="00350D44" w:rsidP="0016326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73162BB" w14:textId="77777777" w:rsidR="00350D44" w:rsidRDefault="00350D44" w:rsidP="00163267">
            <w:pPr>
              <w:pStyle w:val="NormalWeb"/>
              <w:spacing w:before="0" w:beforeAutospacing="0" w:after="0" w:afterAutospacing="0"/>
              <w:rPr>
                <w:rFonts w:ascii="Arial" w:hAnsi="Arial" w:cs="Arial"/>
                <w:b/>
                <w:sz w:val="22"/>
                <w:szCs w:val="22"/>
              </w:rPr>
            </w:pPr>
          </w:p>
          <w:p w14:paraId="0CA554E9" w14:textId="77777777" w:rsidR="00350D44" w:rsidRDefault="00350D44" w:rsidP="00163267">
            <w:pPr>
              <w:pStyle w:val="NormalWeb"/>
              <w:spacing w:before="0" w:beforeAutospacing="0" w:after="0" w:afterAutospacing="0"/>
              <w:rPr>
                <w:rFonts w:ascii="Arial" w:hAnsi="Arial" w:cs="Arial"/>
                <w:b/>
                <w:sz w:val="22"/>
                <w:szCs w:val="22"/>
              </w:rPr>
            </w:pPr>
          </w:p>
          <w:p w14:paraId="3DB7323B" w14:textId="77777777" w:rsidR="00350D44" w:rsidRDefault="00350D44" w:rsidP="00163267">
            <w:pPr>
              <w:pStyle w:val="NormalWeb"/>
              <w:spacing w:before="0" w:beforeAutospacing="0" w:after="0" w:afterAutospacing="0"/>
              <w:rPr>
                <w:rFonts w:ascii="Arial" w:hAnsi="Arial" w:cs="Arial"/>
                <w:b/>
                <w:sz w:val="22"/>
                <w:szCs w:val="22"/>
              </w:rPr>
            </w:pPr>
          </w:p>
          <w:p w14:paraId="380ED521" w14:textId="77777777" w:rsidR="00350D44" w:rsidRDefault="00350D44" w:rsidP="00163267">
            <w:pPr>
              <w:pStyle w:val="NormalWeb"/>
              <w:spacing w:before="0" w:beforeAutospacing="0" w:after="0" w:afterAutospacing="0"/>
              <w:rPr>
                <w:rFonts w:ascii="Arial" w:hAnsi="Arial" w:cs="Arial"/>
                <w:b/>
                <w:sz w:val="22"/>
                <w:szCs w:val="22"/>
              </w:rPr>
            </w:pPr>
          </w:p>
          <w:p w14:paraId="2C1328B5" w14:textId="77777777" w:rsidR="00350D44" w:rsidRDefault="00350D44" w:rsidP="00163267">
            <w:pPr>
              <w:pStyle w:val="NormalWeb"/>
              <w:spacing w:before="0" w:beforeAutospacing="0" w:after="0" w:afterAutospacing="0"/>
              <w:rPr>
                <w:rFonts w:ascii="Arial" w:hAnsi="Arial" w:cs="Arial"/>
                <w:b/>
                <w:sz w:val="22"/>
                <w:szCs w:val="22"/>
              </w:rPr>
            </w:pPr>
          </w:p>
          <w:p w14:paraId="760D79CC" w14:textId="77777777" w:rsidR="00350D44" w:rsidRPr="00230F35" w:rsidRDefault="00350D44" w:rsidP="0016326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E068356" w14:textId="77777777" w:rsidR="00350D44" w:rsidRDefault="00350D44" w:rsidP="0016326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AE980BD" w14:textId="77777777" w:rsidR="00350D44" w:rsidRPr="00001C3B" w:rsidRDefault="00350D44" w:rsidP="00163267">
            <w:pPr>
              <w:pStyle w:val="NormalWeb"/>
              <w:rPr>
                <w:rFonts w:ascii="Arial" w:hAnsi="Arial" w:cs="Arial"/>
                <w:sz w:val="22"/>
                <w:szCs w:val="22"/>
              </w:rPr>
            </w:pPr>
          </w:p>
        </w:tc>
      </w:tr>
      <w:tr w:rsidR="00350D44" w:rsidRPr="00230F35" w14:paraId="30881EF8" w14:textId="77777777" w:rsidTr="00163267">
        <w:trPr>
          <w:trHeight w:val="492"/>
        </w:trPr>
        <w:tc>
          <w:tcPr>
            <w:tcW w:w="6768" w:type="dxa"/>
            <w:gridSpan w:val="3"/>
          </w:tcPr>
          <w:p w14:paraId="5AB77911" w14:textId="77777777" w:rsidR="00350D44" w:rsidRPr="00230F35" w:rsidRDefault="00350D44" w:rsidP="0016326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BAC6AC0" w14:textId="77777777" w:rsidR="00350D44" w:rsidRPr="00230F35" w:rsidRDefault="00350D44" w:rsidP="00163267">
            <w:pPr>
              <w:pStyle w:val="NormalWeb"/>
              <w:spacing w:after="0"/>
              <w:ind w:left="142" w:right="34"/>
              <w:rPr>
                <w:rFonts w:ascii="Arial" w:hAnsi="Arial" w:cs="Arial"/>
                <w:sz w:val="22"/>
                <w:szCs w:val="22"/>
              </w:rPr>
            </w:pPr>
            <w:r w:rsidRPr="00230F35">
              <w:rPr>
                <w:rFonts w:ascii="Arial" w:hAnsi="Arial" w:cs="Arial"/>
                <w:sz w:val="22"/>
                <w:szCs w:val="22"/>
              </w:rPr>
              <w:t>Date:</w:t>
            </w:r>
          </w:p>
        </w:tc>
      </w:tr>
      <w:tr w:rsidR="00350D44" w:rsidRPr="002F467C" w14:paraId="7CD5A114" w14:textId="77777777" w:rsidTr="00163267">
        <w:tc>
          <w:tcPr>
            <w:tcW w:w="8856" w:type="dxa"/>
            <w:gridSpan w:val="5"/>
          </w:tcPr>
          <w:p w14:paraId="7118D40D" w14:textId="77777777" w:rsidR="00350D44" w:rsidRPr="00230F35" w:rsidRDefault="00350D44" w:rsidP="00163267">
            <w:pPr>
              <w:pStyle w:val="NormalWeb"/>
              <w:spacing w:before="0" w:beforeAutospacing="0" w:after="0" w:afterAutospacing="0"/>
              <w:ind w:right="-334"/>
              <w:rPr>
                <w:rFonts w:ascii="Arial" w:hAnsi="Arial" w:cs="Arial"/>
                <w:bCs/>
                <w:i/>
                <w:sz w:val="22"/>
                <w:szCs w:val="22"/>
              </w:rPr>
            </w:pPr>
          </w:p>
          <w:p w14:paraId="608BED42" w14:textId="77777777" w:rsidR="00350D44" w:rsidRPr="00230F35" w:rsidRDefault="00350D44" w:rsidP="0016326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319E499" w14:textId="77777777" w:rsidR="00350D44" w:rsidRPr="00230F35" w:rsidRDefault="00350D44" w:rsidP="00163267">
            <w:pPr>
              <w:pStyle w:val="NormalWeb"/>
              <w:spacing w:before="0" w:beforeAutospacing="0" w:after="0" w:afterAutospacing="0"/>
              <w:ind w:right="-334"/>
              <w:rPr>
                <w:rFonts w:ascii="Arial" w:hAnsi="Arial" w:cs="Arial"/>
                <w:b/>
                <w:bCs/>
                <w:sz w:val="22"/>
                <w:szCs w:val="22"/>
              </w:rPr>
            </w:pPr>
          </w:p>
          <w:p w14:paraId="4363C9CD"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641A00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7EA41ABB"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78A2660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093007C3"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12A67DC3"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183364FA"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06B59B13"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000AC9A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38E5A890" w14:textId="77777777" w:rsidR="00350D44" w:rsidRDefault="00350D44" w:rsidP="00163267">
            <w:pPr>
              <w:pStyle w:val="NormalWeb"/>
              <w:spacing w:before="0" w:beforeAutospacing="0" w:after="0" w:afterAutospacing="0"/>
              <w:ind w:right="-334"/>
              <w:rPr>
                <w:rFonts w:ascii="Arial" w:hAnsi="Arial" w:cs="Arial"/>
                <w:bCs/>
                <w:sz w:val="22"/>
                <w:szCs w:val="22"/>
              </w:rPr>
            </w:pPr>
          </w:p>
          <w:p w14:paraId="5D8060F2"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21141A14"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1B3935E7"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tc>
      </w:tr>
      <w:tr w:rsidR="00350D44" w:rsidRPr="002F467C" w14:paraId="0C6A270F" w14:textId="77777777" w:rsidTr="00163267">
        <w:trPr>
          <w:trHeight w:val="720"/>
        </w:trPr>
        <w:tc>
          <w:tcPr>
            <w:tcW w:w="5211" w:type="dxa"/>
            <w:gridSpan w:val="2"/>
          </w:tcPr>
          <w:p w14:paraId="2A916504"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6DD21E5"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50D44" w:rsidRPr="002F467C" w14:paraId="1FEC9128" w14:textId="77777777" w:rsidTr="00163267">
        <w:trPr>
          <w:trHeight w:val="720"/>
        </w:trPr>
        <w:tc>
          <w:tcPr>
            <w:tcW w:w="8856" w:type="dxa"/>
            <w:gridSpan w:val="5"/>
          </w:tcPr>
          <w:p w14:paraId="5F692E42" w14:textId="77777777" w:rsidR="00350D44" w:rsidRPr="00B34964" w:rsidRDefault="00350D44" w:rsidP="00163267">
            <w:pPr>
              <w:rPr>
                <w:rFonts w:ascii="Arial" w:hAnsi="Arial" w:cs="Arial"/>
                <w:b/>
                <w:sz w:val="22"/>
                <w:szCs w:val="22"/>
              </w:rPr>
            </w:pPr>
            <w:r w:rsidRPr="00B34964">
              <w:rPr>
                <w:rFonts w:ascii="Arial" w:hAnsi="Arial" w:cs="Arial"/>
                <w:b/>
                <w:sz w:val="22"/>
                <w:szCs w:val="22"/>
              </w:rPr>
              <w:t>External Examiner’s comments (if relevant)</w:t>
            </w:r>
          </w:p>
          <w:p w14:paraId="61208293"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373E311F"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67EF456E"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61477EA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0ED1AF06"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1D34261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74A50615"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79E73E66"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3751C91D" w14:textId="77777777" w:rsidR="00350D44" w:rsidRDefault="00350D44" w:rsidP="00163267">
            <w:pPr>
              <w:pStyle w:val="NormalWeb"/>
              <w:spacing w:before="0" w:beforeAutospacing="0" w:after="0" w:afterAutospacing="0"/>
              <w:ind w:right="-334"/>
              <w:rPr>
                <w:rFonts w:ascii="Arial" w:hAnsi="Arial" w:cs="Arial"/>
                <w:bCs/>
                <w:sz w:val="22"/>
                <w:szCs w:val="22"/>
              </w:rPr>
            </w:pPr>
          </w:p>
          <w:p w14:paraId="579D3354"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44C6F688"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tc>
      </w:tr>
      <w:tr w:rsidR="00350D44" w:rsidRPr="002F467C" w14:paraId="2C409BEF" w14:textId="77777777" w:rsidTr="00163267">
        <w:trPr>
          <w:trHeight w:val="720"/>
        </w:trPr>
        <w:tc>
          <w:tcPr>
            <w:tcW w:w="5211" w:type="dxa"/>
            <w:gridSpan w:val="2"/>
          </w:tcPr>
          <w:p w14:paraId="51896586" w14:textId="77777777" w:rsidR="00350D44" w:rsidRPr="00230F35" w:rsidRDefault="00350D44" w:rsidP="00163267">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F08B626" w14:textId="77777777" w:rsidR="00350D44" w:rsidRPr="00230F35" w:rsidRDefault="00350D44" w:rsidP="00163267">
            <w:pPr>
              <w:rPr>
                <w:rFonts w:ascii="Arial" w:hAnsi="Arial" w:cs="Arial"/>
                <w:sz w:val="22"/>
                <w:szCs w:val="22"/>
              </w:rPr>
            </w:pPr>
            <w:r w:rsidRPr="00230F35">
              <w:rPr>
                <w:rFonts w:ascii="Arial" w:hAnsi="Arial" w:cs="Arial"/>
                <w:sz w:val="22"/>
                <w:szCs w:val="22"/>
              </w:rPr>
              <w:t>Date:</w:t>
            </w:r>
          </w:p>
        </w:tc>
      </w:tr>
    </w:tbl>
    <w:p w14:paraId="45AAE848" w14:textId="77777777" w:rsidR="00350D44" w:rsidRDefault="00350D44" w:rsidP="00350D44">
      <w:pPr>
        <w:pStyle w:val="NormalWeb"/>
        <w:spacing w:before="0" w:beforeAutospacing="0" w:after="0" w:afterAutospacing="0"/>
        <w:ind w:right="-334"/>
        <w:rPr>
          <w:rFonts w:ascii="Trebuchet MS" w:hAnsi="Trebuchet MS" w:cs="Tahoma"/>
          <w:bCs/>
          <w:sz w:val="24"/>
          <w:szCs w:val="24"/>
        </w:rPr>
      </w:pPr>
    </w:p>
    <w:p w14:paraId="489DDE6F" w14:textId="77777777" w:rsidR="00350D44" w:rsidRDefault="00350D44" w:rsidP="00350D44">
      <w:pPr>
        <w:pStyle w:val="NormalWeb"/>
        <w:spacing w:before="0" w:beforeAutospacing="0" w:after="0" w:afterAutospacing="0"/>
        <w:ind w:right="-334"/>
        <w:rPr>
          <w:rFonts w:ascii="Trebuchet MS" w:hAnsi="Trebuchet MS" w:cs="Tahoma"/>
          <w:bCs/>
          <w:sz w:val="24"/>
          <w:szCs w:val="24"/>
        </w:rPr>
      </w:pPr>
    </w:p>
    <w:p w14:paraId="6B6B1EB7" w14:textId="069A665F" w:rsidR="00350D44" w:rsidRPr="00F130FE" w:rsidRDefault="00350D44" w:rsidP="00350D44">
      <w:pPr>
        <w:pStyle w:val="NormalWeb"/>
        <w:spacing w:before="0" w:beforeAutospacing="0" w:after="0" w:afterAutospacing="0" w:line="360" w:lineRule="auto"/>
        <w:ind w:right="-334"/>
        <w:rPr>
          <w:rFonts w:asciiTheme="minorHAnsi" w:hAnsiTheme="minorHAnsi" w:cstheme="minorHAnsi"/>
          <w:bCs/>
          <w:sz w:val="28"/>
          <w:szCs w:val="28"/>
        </w:rPr>
      </w:pPr>
      <w:r w:rsidRPr="00F130FE">
        <w:rPr>
          <w:rFonts w:asciiTheme="minorHAnsi" w:hAnsiTheme="minorHAnsi" w:cstheme="minorHAnsi"/>
          <w:b/>
          <w:sz w:val="28"/>
          <w:szCs w:val="28"/>
        </w:rPr>
        <w:t>Word Count: 3,1</w:t>
      </w:r>
      <w:r w:rsidR="00D63623">
        <w:rPr>
          <w:rFonts w:asciiTheme="minorHAnsi" w:hAnsiTheme="minorHAnsi" w:cstheme="minorHAnsi"/>
          <w:b/>
          <w:sz w:val="28"/>
          <w:szCs w:val="28"/>
        </w:rPr>
        <w:t>40</w:t>
      </w:r>
    </w:p>
    <w:p w14:paraId="43DA5AE1" w14:textId="77777777" w:rsidR="00350D44" w:rsidRPr="00F130FE" w:rsidRDefault="00350D44" w:rsidP="00533FC6">
      <w:pPr>
        <w:pStyle w:val="NormalWeb"/>
        <w:spacing w:before="0" w:beforeAutospacing="0" w:after="0" w:afterAutospacing="0" w:line="276" w:lineRule="auto"/>
        <w:ind w:right="-334"/>
        <w:rPr>
          <w:rFonts w:asciiTheme="minorHAnsi" w:hAnsiTheme="minorHAnsi" w:cstheme="minorHAnsi"/>
          <w:bCs/>
          <w:sz w:val="28"/>
          <w:szCs w:val="28"/>
        </w:rPr>
      </w:pPr>
    </w:p>
    <w:p w14:paraId="2ADD4D18" w14:textId="77777777" w:rsidR="00350D44" w:rsidRPr="00F130FE" w:rsidRDefault="00350D44" w:rsidP="009F250C">
      <w:pPr>
        <w:pStyle w:val="NormalWeb"/>
        <w:spacing w:before="0" w:beforeAutospacing="0" w:after="0" w:afterAutospacing="0" w:line="276" w:lineRule="auto"/>
        <w:ind w:right="-334"/>
        <w:rPr>
          <w:rFonts w:asciiTheme="minorHAnsi" w:hAnsiTheme="minorHAnsi" w:cstheme="minorHAnsi"/>
          <w:b/>
          <w:bCs/>
          <w:sz w:val="28"/>
          <w:szCs w:val="28"/>
        </w:rPr>
      </w:pPr>
      <w:r w:rsidRPr="00F130FE">
        <w:rPr>
          <w:rFonts w:asciiTheme="minorHAnsi" w:hAnsiTheme="minorHAnsi" w:cstheme="minorHAnsi"/>
          <w:b/>
          <w:bCs/>
          <w:sz w:val="28"/>
          <w:szCs w:val="28"/>
        </w:rPr>
        <w:t>A Critical Comparison of the astrological meaning of Mercury in three primary source documents</w:t>
      </w:r>
    </w:p>
    <w:p w14:paraId="7F137DE1" w14:textId="036BB2FC" w:rsidR="00096F37" w:rsidRPr="00F130FE" w:rsidRDefault="00096F37" w:rsidP="009F250C">
      <w:pPr>
        <w:spacing w:line="276" w:lineRule="auto"/>
        <w:rPr>
          <w:rFonts w:asciiTheme="minorHAnsi" w:hAnsiTheme="minorHAnsi" w:cstheme="minorHAnsi"/>
        </w:rPr>
      </w:pPr>
    </w:p>
    <w:p w14:paraId="12999DD8" w14:textId="762B0C73" w:rsidR="00AD56FB" w:rsidRPr="00F130FE" w:rsidRDefault="00AD56FB" w:rsidP="009F250C">
      <w:pPr>
        <w:spacing w:line="276" w:lineRule="auto"/>
        <w:rPr>
          <w:rFonts w:asciiTheme="minorHAnsi" w:hAnsiTheme="minorHAnsi" w:cstheme="minorHAnsi"/>
        </w:rPr>
      </w:pPr>
      <w:r w:rsidRPr="00F130FE">
        <w:rPr>
          <w:rFonts w:asciiTheme="minorHAnsi" w:hAnsiTheme="minorHAnsi" w:cstheme="minorHAnsi"/>
        </w:rPr>
        <w:t xml:space="preserve">This essay will compare and contrast the treatment of the astrological uses and meanings of the planet Mercury in the following three sources: Claudius Ptolemy’s (ca. 100-178 CE) second century CE Greek text, </w:t>
      </w:r>
      <w:r w:rsidRPr="00450AE0">
        <w:rPr>
          <w:rFonts w:asciiTheme="minorHAnsi" w:hAnsiTheme="minorHAnsi" w:cstheme="minorHAnsi"/>
          <w:i/>
          <w:iCs/>
        </w:rPr>
        <w:t>Tetrabiblos</w:t>
      </w:r>
      <w:r w:rsidRPr="00F130FE">
        <w:rPr>
          <w:rFonts w:asciiTheme="minorHAnsi" w:hAnsiTheme="minorHAnsi" w:cstheme="minorHAnsi"/>
        </w:rPr>
        <w:t xml:space="preserve">, Abū Maʿšar’s (787-886 CE) eighth century CE Arabic text, </w:t>
      </w:r>
      <w:r w:rsidRPr="00F130FE">
        <w:rPr>
          <w:rFonts w:asciiTheme="minorHAnsi" w:hAnsiTheme="minorHAnsi" w:cstheme="minorHAnsi"/>
          <w:i/>
          <w:iCs/>
        </w:rPr>
        <w:t>The Great Introduction</w:t>
      </w:r>
      <w:r w:rsidRPr="00F130FE">
        <w:rPr>
          <w:rFonts w:asciiTheme="minorHAnsi" w:hAnsiTheme="minorHAnsi" w:cstheme="minorHAnsi"/>
        </w:rPr>
        <w:t xml:space="preserve">, and Liz Greene’s and Howard Sasportas’ (1948-1992) twentieth century book </w:t>
      </w:r>
      <w:r w:rsidRPr="00F130FE">
        <w:rPr>
          <w:rFonts w:asciiTheme="minorHAnsi" w:hAnsiTheme="minorHAnsi" w:cstheme="minorHAnsi"/>
          <w:i/>
          <w:iCs/>
        </w:rPr>
        <w:t>The Inner Planets.</w:t>
      </w:r>
      <w:r w:rsidRPr="00F130FE">
        <w:rPr>
          <w:rStyle w:val="FootnoteReference"/>
          <w:rFonts w:asciiTheme="minorHAnsi" w:hAnsiTheme="minorHAnsi" w:cstheme="minorHAnsi"/>
          <w:i/>
          <w:iCs/>
        </w:rPr>
        <w:footnoteReference w:id="1"/>
      </w:r>
      <w:r w:rsidR="005D7E03" w:rsidRPr="00F130FE">
        <w:rPr>
          <w:rFonts w:asciiTheme="minorHAnsi" w:hAnsiTheme="minorHAnsi" w:cstheme="minorHAnsi"/>
          <w:i/>
          <w:iCs/>
        </w:rPr>
        <w:t xml:space="preserve"> </w:t>
      </w:r>
      <w:r w:rsidR="005D7E03" w:rsidRPr="00F130FE">
        <w:rPr>
          <w:rFonts w:asciiTheme="minorHAnsi" w:hAnsiTheme="minorHAnsi" w:cstheme="minorHAnsi"/>
        </w:rPr>
        <w:t xml:space="preserve">The choice of sources allows for the examination a very long </w:t>
      </w:r>
      <w:r w:rsidR="00067023">
        <w:rPr>
          <w:rFonts w:asciiTheme="minorHAnsi" w:hAnsiTheme="minorHAnsi" w:cstheme="minorHAnsi"/>
        </w:rPr>
        <w:t>historical</w:t>
      </w:r>
      <w:r w:rsidR="005D7E03" w:rsidRPr="00F130FE">
        <w:rPr>
          <w:rFonts w:asciiTheme="minorHAnsi" w:hAnsiTheme="minorHAnsi" w:cstheme="minorHAnsi"/>
        </w:rPr>
        <w:t xml:space="preserve"> range, and a variety of cultural backgrounds in order to consider the longevity and spread of the ideas involved in Western astrology.</w:t>
      </w:r>
    </w:p>
    <w:p w14:paraId="58D4CFE2" w14:textId="7737F1E8" w:rsidR="005D7E03" w:rsidRPr="00F130FE" w:rsidRDefault="005D7E03" w:rsidP="009F250C">
      <w:pPr>
        <w:spacing w:line="276" w:lineRule="auto"/>
        <w:rPr>
          <w:rFonts w:asciiTheme="minorHAnsi" w:hAnsiTheme="minorHAnsi" w:cstheme="minorHAnsi"/>
        </w:rPr>
      </w:pPr>
    </w:p>
    <w:p w14:paraId="38484532" w14:textId="7D431395" w:rsidR="005D7E03" w:rsidRPr="00F130FE" w:rsidRDefault="00335B67" w:rsidP="009F250C">
      <w:pPr>
        <w:spacing w:line="276" w:lineRule="auto"/>
        <w:rPr>
          <w:rFonts w:asciiTheme="minorHAnsi" w:hAnsiTheme="minorHAnsi" w:cstheme="minorHAnsi"/>
        </w:rPr>
      </w:pPr>
      <w:r w:rsidRPr="00F130FE">
        <w:rPr>
          <w:rFonts w:asciiTheme="minorHAnsi" w:hAnsiTheme="minorHAnsi" w:cstheme="minorHAnsi"/>
        </w:rPr>
        <w:t xml:space="preserve">The works of Claudius Ptolemy have been foundational in the development of both astronomy and astrology in the Western tradition as his books were widely copied and distributed amongst scholars. Very little is known about his personal life, though it is known that his work was greatly admired and studied. In his introduction to </w:t>
      </w:r>
      <w:r w:rsidRPr="00F130FE">
        <w:rPr>
          <w:rFonts w:asciiTheme="minorHAnsi" w:hAnsiTheme="minorHAnsi" w:cstheme="minorHAnsi"/>
          <w:i/>
          <w:iCs/>
        </w:rPr>
        <w:t xml:space="preserve">The </w:t>
      </w:r>
      <w:r w:rsidRPr="00F130FE">
        <w:rPr>
          <w:rFonts w:asciiTheme="minorHAnsi" w:hAnsiTheme="minorHAnsi" w:cstheme="minorHAnsi"/>
        </w:rPr>
        <w:t xml:space="preserve">Tetrabiblos, Frank Robbins reports that his work on astrology, the </w:t>
      </w:r>
      <w:r w:rsidRPr="00F130FE">
        <w:rPr>
          <w:rFonts w:asciiTheme="minorHAnsi" w:hAnsiTheme="minorHAnsi" w:cstheme="minorHAnsi"/>
          <w:i/>
          <w:iCs/>
        </w:rPr>
        <w:t>Tetrabiblos</w:t>
      </w:r>
      <w:r w:rsidRPr="00F130FE">
        <w:rPr>
          <w:rFonts w:asciiTheme="minorHAnsi" w:hAnsiTheme="minorHAnsi" w:cstheme="minorHAnsi"/>
        </w:rPr>
        <w:t xml:space="preserve"> had ‘almost the authority of a bible among the astrological writers of a thousand years or more’.</w:t>
      </w:r>
      <w:r w:rsidRPr="00F130FE">
        <w:rPr>
          <w:rStyle w:val="FootnoteReference"/>
          <w:rFonts w:asciiTheme="minorHAnsi" w:hAnsiTheme="minorHAnsi" w:cstheme="minorHAnsi"/>
        </w:rPr>
        <w:footnoteReference w:id="2"/>
      </w:r>
      <w:r w:rsidR="00C85FC3" w:rsidRPr="00F130FE">
        <w:rPr>
          <w:rFonts w:asciiTheme="minorHAnsi" w:hAnsiTheme="minorHAnsi" w:cstheme="minorHAnsi"/>
        </w:rPr>
        <w:t xml:space="preserve"> Ptolemy wrote in Greek and was probably living in or near to Alexandria in Egypt, described by Violet Moller as ‘the intellectual heart of the ancient world’.</w:t>
      </w:r>
      <w:r w:rsidR="00C85FC3" w:rsidRPr="00F130FE">
        <w:rPr>
          <w:rStyle w:val="FootnoteReference"/>
          <w:rFonts w:asciiTheme="minorHAnsi" w:hAnsiTheme="minorHAnsi" w:cstheme="minorHAnsi"/>
        </w:rPr>
        <w:footnoteReference w:id="3"/>
      </w:r>
      <w:r w:rsidR="00C85FC3" w:rsidRPr="00F130FE">
        <w:rPr>
          <w:rFonts w:asciiTheme="minorHAnsi" w:hAnsiTheme="minorHAnsi" w:cstheme="minorHAnsi"/>
        </w:rPr>
        <w:t xml:space="preserve"> This cultural milieu gave him access to a rich mixture of ideas and influences, and perhaps some intellectual status. In his treatment of the significance of the planet Mercury in astrology, as with the other features of astrology, Ptolemy referred to ‘the </w:t>
      </w:r>
      <w:r w:rsidR="00C85FC3" w:rsidRPr="00F130FE">
        <w:rPr>
          <w:rFonts w:asciiTheme="minorHAnsi" w:hAnsiTheme="minorHAnsi" w:cstheme="minorHAnsi"/>
        </w:rPr>
        <w:lastRenderedPageBreak/>
        <w:t>ancients’ as the source of astrological knowledge</w:t>
      </w:r>
      <w:r w:rsidR="008F3820" w:rsidRPr="00F130FE">
        <w:rPr>
          <w:rFonts w:asciiTheme="minorHAnsi" w:hAnsiTheme="minorHAnsi" w:cstheme="minorHAnsi"/>
        </w:rPr>
        <w:t>.</w:t>
      </w:r>
      <w:r w:rsidR="008F3820" w:rsidRPr="00F130FE">
        <w:rPr>
          <w:rStyle w:val="FootnoteReference"/>
          <w:rFonts w:asciiTheme="minorHAnsi" w:hAnsiTheme="minorHAnsi" w:cstheme="minorHAnsi"/>
        </w:rPr>
        <w:footnoteReference w:id="4"/>
      </w:r>
      <w:r w:rsidR="008F3820" w:rsidRPr="00F130FE">
        <w:rPr>
          <w:rFonts w:asciiTheme="minorHAnsi" w:hAnsiTheme="minorHAnsi" w:cstheme="minorHAnsi"/>
        </w:rPr>
        <w:t xml:space="preserve"> His stated aim in writing </w:t>
      </w:r>
      <w:r w:rsidR="008F3820" w:rsidRPr="00F130FE">
        <w:rPr>
          <w:rFonts w:asciiTheme="minorHAnsi" w:hAnsiTheme="minorHAnsi" w:cstheme="minorHAnsi"/>
          <w:i/>
          <w:iCs/>
        </w:rPr>
        <w:t xml:space="preserve">The Tetrabiblos </w:t>
      </w:r>
      <w:r w:rsidR="008F3820" w:rsidRPr="00F130FE">
        <w:rPr>
          <w:rFonts w:asciiTheme="minorHAnsi" w:hAnsiTheme="minorHAnsi" w:cstheme="minorHAnsi"/>
        </w:rPr>
        <w:t xml:space="preserve">was to ‘give an account’ of astrology, which he termed the ‘second and less self-sufficient’ of the ‘means of prediction through astronomy’ (the first being astronomy, as he set out in his </w:t>
      </w:r>
      <w:r w:rsidR="008F3820" w:rsidRPr="00F130FE">
        <w:rPr>
          <w:rFonts w:asciiTheme="minorHAnsi" w:hAnsiTheme="minorHAnsi" w:cstheme="minorHAnsi"/>
          <w:i/>
          <w:iCs/>
        </w:rPr>
        <w:t>Almagest).</w:t>
      </w:r>
      <w:r w:rsidR="008F3820" w:rsidRPr="00F130FE">
        <w:rPr>
          <w:rStyle w:val="FootnoteReference"/>
          <w:rFonts w:asciiTheme="minorHAnsi" w:hAnsiTheme="minorHAnsi" w:cstheme="minorHAnsi"/>
          <w:i/>
          <w:iCs/>
        </w:rPr>
        <w:footnoteReference w:id="5"/>
      </w:r>
      <w:r w:rsidR="008F3820" w:rsidRPr="00F130FE">
        <w:rPr>
          <w:rFonts w:asciiTheme="minorHAnsi" w:hAnsiTheme="minorHAnsi" w:cstheme="minorHAnsi"/>
          <w:i/>
          <w:iCs/>
        </w:rPr>
        <w:t xml:space="preserve"> </w:t>
      </w:r>
      <w:r w:rsidR="008F3820" w:rsidRPr="00F130FE">
        <w:rPr>
          <w:rFonts w:asciiTheme="minorHAnsi" w:hAnsiTheme="minorHAnsi" w:cstheme="minorHAnsi"/>
        </w:rPr>
        <w:t>Ptolemy made no reference to any planetary deities, as his aim was to explain the nature and functioning of the planets such as Mercury in causal terms due to the inherent nature of the cosmos, appealing to the commonplace observations of qualities such as heat and moisture to account for the effects and influences of astrological factors. As James Brockbank pointed out, his was ‘probably the first attempt to rationalise planetary meanings’.</w:t>
      </w:r>
      <w:r w:rsidR="008F3820" w:rsidRPr="00F130FE">
        <w:rPr>
          <w:rStyle w:val="FootnoteReference"/>
          <w:rFonts w:asciiTheme="minorHAnsi" w:hAnsiTheme="minorHAnsi" w:cstheme="minorHAnsi"/>
        </w:rPr>
        <w:footnoteReference w:id="6"/>
      </w:r>
      <w:r w:rsidR="002C7750" w:rsidRPr="00F130FE">
        <w:rPr>
          <w:rFonts w:asciiTheme="minorHAnsi" w:hAnsiTheme="minorHAnsi" w:cstheme="minorHAnsi"/>
        </w:rPr>
        <w:t xml:space="preserve"> This would appear to be in part prompted by criticisms of astrology as he spent some pages explaining and justifying the fallibility of astrology.</w:t>
      </w:r>
    </w:p>
    <w:p w14:paraId="147CEFB5" w14:textId="1804B717" w:rsidR="002C7750" w:rsidRPr="00F130FE" w:rsidRDefault="002C7750" w:rsidP="009F250C">
      <w:pPr>
        <w:spacing w:line="276" w:lineRule="auto"/>
        <w:rPr>
          <w:rFonts w:asciiTheme="minorHAnsi" w:hAnsiTheme="minorHAnsi" w:cstheme="minorHAnsi"/>
        </w:rPr>
      </w:pPr>
    </w:p>
    <w:p w14:paraId="07F0BA03" w14:textId="6BA7B28F" w:rsidR="002C7750" w:rsidRPr="00F130FE" w:rsidRDefault="002E5B49" w:rsidP="009F250C">
      <w:pPr>
        <w:spacing w:line="276" w:lineRule="auto"/>
        <w:rPr>
          <w:rFonts w:asciiTheme="minorHAnsi" w:hAnsiTheme="minorHAnsi" w:cstheme="minorHAnsi"/>
          <w:i/>
          <w:iCs/>
        </w:rPr>
      </w:pPr>
      <w:r w:rsidRPr="00F130FE">
        <w:rPr>
          <w:rFonts w:asciiTheme="minorHAnsi" w:hAnsiTheme="minorHAnsi" w:cstheme="minorHAnsi"/>
        </w:rPr>
        <w:t xml:space="preserve">The critical attitude that Ptolemy found necessary to refute in </w:t>
      </w:r>
      <w:r w:rsidRPr="00F130FE">
        <w:rPr>
          <w:rFonts w:asciiTheme="minorHAnsi" w:hAnsiTheme="minorHAnsi" w:cstheme="minorHAnsi"/>
          <w:i/>
          <w:iCs/>
        </w:rPr>
        <w:t>The Tetrabiblos</w:t>
      </w:r>
      <w:r w:rsidRPr="00F130FE">
        <w:rPr>
          <w:rFonts w:asciiTheme="minorHAnsi" w:hAnsiTheme="minorHAnsi" w:cstheme="minorHAnsi"/>
        </w:rPr>
        <w:t xml:space="preserve"> did not disappear, and by the fifth century astrology faded into the background in the West. The emerging world of Islam however adopted a more tolerant approach, producing scholars who preserved and studied the works of classical authors such as Ptolemy, drew on Indian and Persian culture as well as the Greek, and gave rise to what Nicholas Campion termed the ‘Islamic Golden Age’.</w:t>
      </w:r>
      <w:r w:rsidRPr="00F130FE">
        <w:rPr>
          <w:rStyle w:val="FootnoteReference"/>
          <w:rFonts w:asciiTheme="minorHAnsi" w:hAnsiTheme="minorHAnsi" w:cstheme="minorHAnsi"/>
        </w:rPr>
        <w:footnoteReference w:id="7"/>
      </w:r>
      <w:r w:rsidR="00573CCE" w:rsidRPr="00F130FE">
        <w:rPr>
          <w:rFonts w:asciiTheme="minorHAnsi" w:hAnsiTheme="minorHAnsi" w:cstheme="minorHAnsi"/>
        </w:rPr>
        <w:t xml:space="preserve"> One of the earliest scholars in this movement was Abū Maʿšar, who wrote in Arabic. Like Ptolemy, he lived at the heart of a time and place of great intellectual vigour and vibrancy, in newly founded Baghdad, which Moller described as being ‘at the peak of its golden age, unrivalled anywhere in the world for its…scholarship’.</w:t>
      </w:r>
      <w:r w:rsidR="00573CCE" w:rsidRPr="00F130FE">
        <w:rPr>
          <w:rStyle w:val="FootnoteReference"/>
          <w:rFonts w:asciiTheme="minorHAnsi" w:hAnsiTheme="minorHAnsi" w:cstheme="minorHAnsi"/>
        </w:rPr>
        <w:footnoteReference w:id="8"/>
      </w:r>
      <w:r w:rsidR="00A85E3E" w:rsidRPr="00F130FE">
        <w:rPr>
          <w:rFonts w:asciiTheme="minorHAnsi" w:hAnsiTheme="minorHAnsi" w:cstheme="minorHAnsi"/>
        </w:rPr>
        <w:t xml:space="preserve"> Also like Ptolemy, he claimed to draw on ancient learning from Babylon and Egypt, though there is evidence of influence from both Indian and Persian sources as well. David Pingree, in his introduction to the translation of </w:t>
      </w:r>
      <w:r w:rsidR="00A85E3E" w:rsidRPr="00F130FE">
        <w:rPr>
          <w:rFonts w:asciiTheme="minorHAnsi" w:hAnsiTheme="minorHAnsi" w:cstheme="minorHAnsi"/>
          <w:i/>
          <w:iCs/>
        </w:rPr>
        <w:t>The Great Introduction</w:t>
      </w:r>
      <w:r w:rsidR="00A85E3E" w:rsidRPr="00F130FE">
        <w:rPr>
          <w:rFonts w:asciiTheme="minorHAnsi" w:hAnsiTheme="minorHAnsi" w:cstheme="minorHAnsi"/>
        </w:rPr>
        <w:t xml:space="preserve"> used in this essay pointed out that Abū Maʿšar ‘could be regarded as the first astrologer to fully integrate Greek and Persian traditions of astrology’.</w:t>
      </w:r>
      <w:r w:rsidR="00A85E3E" w:rsidRPr="00F130FE">
        <w:rPr>
          <w:rStyle w:val="FootnoteReference"/>
          <w:rFonts w:asciiTheme="minorHAnsi" w:hAnsiTheme="minorHAnsi" w:cstheme="minorHAnsi"/>
        </w:rPr>
        <w:footnoteReference w:id="9"/>
      </w:r>
      <w:r w:rsidR="00D51E9C" w:rsidRPr="00F130FE">
        <w:rPr>
          <w:rFonts w:asciiTheme="minorHAnsi" w:hAnsiTheme="minorHAnsi" w:cstheme="minorHAnsi"/>
        </w:rPr>
        <w:t xml:space="preserve"> His work also became an important authority, and was described by Charles Burnett as being ‘immensely influential, not only in Arabic, but also in the Latin culture of Christendom’.</w:t>
      </w:r>
      <w:r w:rsidR="00D51E9C" w:rsidRPr="00F130FE">
        <w:rPr>
          <w:rFonts w:asciiTheme="minorHAnsi" w:hAnsiTheme="minorHAnsi" w:cstheme="minorHAnsi"/>
          <w:vertAlign w:val="superscript"/>
        </w:rPr>
        <w:footnoteReference w:id="10"/>
      </w:r>
      <w:r w:rsidR="00D51E9C" w:rsidRPr="00F130FE">
        <w:rPr>
          <w:rFonts w:asciiTheme="minorHAnsi" w:hAnsiTheme="minorHAnsi" w:cstheme="minorHAnsi"/>
          <w:vertAlign w:val="superscript"/>
        </w:rPr>
        <w:t xml:space="preserve">  </w:t>
      </w:r>
      <w:r w:rsidR="00D51E9C" w:rsidRPr="00F130FE">
        <w:rPr>
          <w:rFonts w:asciiTheme="minorHAnsi" w:hAnsiTheme="minorHAnsi" w:cstheme="minorHAnsi"/>
        </w:rPr>
        <w:t xml:space="preserve">He acknowledged Ptolemy’s work on astronomy, </w:t>
      </w:r>
      <w:r w:rsidR="00D51E9C" w:rsidRPr="00F130FE">
        <w:rPr>
          <w:rFonts w:asciiTheme="minorHAnsi" w:hAnsiTheme="minorHAnsi" w:cstheme="minorHAnsi"/>
          <w:i/>
          <w:iCs/>
        </w:rPr>
        <w:t>The Almagest</w:t>
      </w:r>
      <w:r w:rsidR="00D51E9C" w:rsidRPr="00F130FE">
        <w:rPr>
          <w:rFonts w:asciiTheme="minorHAnsi" w:hAnsiTheme="minorHAnsi" w:cstheme="minorHAnsi"/>
        </w:rPr>
        <w:t xml:space="preserve">, and apparently knew </w:t>
      </w:r>
      <w:r w:rsidR="00D51E9C" w:rsidRPr="00F130FE">
        <w:rPr>
          <w:rFonts w:asciiTheme="minorHAnsi" w:hAnsiTheme="minorHAnsi" w:cstheme="minorHAnsi"/>
          <w:i/>
          <w:iCs/>
        </w:rPr>
        <w:t xml:space="preserve">The Tetrabiblos, </w:t>
      </w:r>
      <w:r w:rsidR="00D51E9C" w:rsidRPr="00F130FE">
        <w:rPr>
          <w:rFonts w:asciiTheme="minorHAnsi" w:hAnsiTheme="minorHAnsi" w:cstheme="minorHAnsi"/>
        </w:rPr>
        <w:t xml:space="preserve"> though he wasn’t sure it was also by Ptolemy, writing that ‘It is</w:t>
      </w:r>
      <w:r w:rsidR="009C1BE1" w:rsidRPr="00F130FE">
        <w:rPr>
          <w:rFonts w:asciiTheme="minorHAnsi" w:hAnsiTheme="minorHAnsi" w:cstheme="minorHAnsi"/>
        </w:rPr>
        <w:t xml:space="preserve"> sometimes said that the one who wrote the book of astrology also wrote the book of the Almagest’.</w:t>
      </w:r>
      <w:r w:rsidR="009C1BE1" w:rsidRPr="00F130FE">
        <w:rPr>
          <w:rStyle w:val="FootnoteReference"/>
          <w:rFonts w:asciiTheme="minorHAnsi" w:hAnsiTheme="minorHAnsi" w:cstheme="minorHAnsi"/>
        </w:rPr>
        <w:footnoteReference w:id="11"/>
      </w:r>
    </w:p>
    <w:p w14:paraId="501D38C9" w14:textId="67FC2517" w:rsidR="00AD56FB" w:rsidRPr="00F130FE" w:rsidRDefault="00AD56FB" w:rsidP="009F250C">
      <w:pPr>
        <w:spacing w:line="276" w:lineRule="auto"/>
        <w:rPr>
          <w:rFonts w:asciiTheme="minorHAnsi" w:hAnsiTheme="minorHAnsi" w:cstheme="minorHAnsi"/>
        </w:rPr>
      </w:pPr>
    </w:p>
    <w:p w14:paraId="4F27C776" w14:textId="025B14F5" w:rsidR="00AD56FB" w:rsidRPr="00F130FE" w:rsidRDefault="0096248E" w:rsidP="009F250C">
      <w:pPr>
        <w:spacing w:line="276" w:lineRule="auto"/>
        <w:rPr>
          <w:rFonts w:asciiTheme="minorHAnsi" w:hAnsiTheme="minorHAnsi" w:cstheme="minorHAnsi"/>
        </w:rPr>
      </w:pPr>
      <w:r w:rsidRPr="00F130FE">
        <w:rPr>
          <w:rFonts w:asciiTheme="minorHAnsi" w:hAnsiTheme="minorHAnsi" w:cstheme="minorHAnsi"/>
        </w:rPr>
        <w:lastRenderedPageBreak/>
        <w:t>The great longevity of the use and study of astrology is reflected in the work of Howard Sasportas and Liz Greene in the twentieth century. However, their work also embodies a significant development in the subject, building on the foundational ideas of Gustav Jung (1875-1961) in the field of depth psychology. The development also arose from the work of Alan Leo (1860-1917), who Greene described as bringing ‘astrology into the modern era as a tool for insight into character rather than a method of prediction’.</w:t>
      </w:r>
      <w:r w:rsidRPr="00F130FE">
        <w:rPr>
          <w:rStyle w:val="FootnoteReference"/>
          <w:rFonts w:asciiTheme="minorHAnsi" w:hAnsiTheme="minorHAnsi" w:cstheme="minorHAnsi"/>
        </w:rPr>
        <w:footnoteReference w:id="12"/>
      </w:r>
      <w:r w:rsidRPr="00F130FE">
        <w:rPr>
          <w:rFonts w:asciiTheme="minorHAnsi" w:hAnsiTheme="minorHAnsi" w:cstheme="minorHAnsi"/>
        </w:rPr>
        <w:t xml:space="preserve"> This was perhaps not entirely fair, as both Ptolemy and Abū Maʿšar paid attention to the make-up of an individual’s character and were clear about the fallible nature of prediction. However psychological astrology did place a</w:t>
      </w:r>
      <w:r w:rsidR="00850493">
        <w:rPr>
          <w:rFonts w:asciiTheme="minorHAnsi" w:hAnsiTheme="minorHAnsi" w:cstheme="minorHAnsi"/>
        </w:rPr>
        <w:t xml:space="preserve"> much more</w:t>
      </w:r>
      <w:r w:rsidRPr="00F130FE">
        <w:rPr>
          <w:rFonts w:asciiTheme="minorHAnsi" w:hAnsiTheme="minorHAnsi" w:cstheme="minorHAnsi"/>
        </w:rPr>
        <w:t xml:space="preserve"> intense focus on the inner world of the individual rather than the prediction of events, and the source used in this essay was a transcript of a seminar, where Sasportas worked with students to ‘bring out the inner life of the planetary gods’.</w:t>
      </w:r>
      <w:r w:rsidRPr="00F130FE">
        <w:rPr>
          <w:rStyle w:val="FootnoteReference"/>
          <w:rFonts w:asciiTheme="minorHAnsi" w:hAnsiTheme="minorHAnsi" w:cstheme="minorHAnsi"/>
        </w:rPr>
        <w:footnoteReference w:id="13"/>
      </w:r>
      <w:r w:rsidRPr="00F130FE">
        <w:rPr>
          <w:rFonts w:asciiTheme="minorHAnsi" w:hAnsiTheme="minorHAnsi" w:cstheme="minorHAnsi"/>
        </w:rPr>
        <w:t xml:space="preserve"> </w:t>
      </w:r>
      <w:r w:rsidR="00611A50" w:rsidRPr="00F130FE">
        <w:rPr>
          <w:rFonts w:asciiTheme="minorHAnsi" w:hAnsiTheme="minorHAnsi" w:cstheme="minorHAnsi"/>
        </w:rPr>
        <w:t xml:space="preserve">Like Ptolemy and Abū Maʿšar, psychological astrologers such as Howard Sasportas have been very influential, </w:t>
      </w:r>
      <w:r w:rsidR="00F43747">
        <w:rPr>
          <w:rFonts w:asciiTheme="minorHAnsi" w:hAnsiTheme="minorHAnsi" w:cstheme="minorHAnsi"/>
        </w:rPr>
        <w:t>being</w:t>
      </w:r>
      <w:r w:rsidR="00611A50" w:rsidRPr="00F130FE">
        <w:rPr>
          <w:rFonts w:asciiTheme="minorHAnsi" w:hAnsiTheme="minorHAnsi" w:cstheme="minorHAnsi"/>
        </w:rPr>
        <w:t xml:space="preserve"> described by Charles Harvey in his preface to </w:t>
      </w:r>
      <w:r w:rsidR="00611A50" w:rsidRPr="00F130FE">
        <w:rPr>
          <w:rFonts w:asciiTheme="minorHAnsi" w:hAnsiTheme="minorHAnsi" w:cstheme="minorHAnsi"/>
          <w:i/>
          <w:iCs/>
        </w:rPr>
        <w:t xml:space="preserve">The Inner Planets </w:t>
      </w:r>
      <w:r w:rsidR="00611A50" w:rsidRPr="00F130FE">
        <w:rPr>
          <w:rFonts w:asciiTheme="minorHAnsi" w:hAnsiTheme="minorHAnsi" w:cstheme="minorHAnsi"/>
        </w:rPr>
        <w:t>as a key figure in ‘the reemergence of astrology as a major formative force in Western culture’.</w:t>
      </w:r>
      <w:r w:rsidR="00611A50" w:rsidRPr="00F130FE">
        <w:rPr>
          <w:rStyle w:val="FootnoteReference"/>
          <w:rFonts w:asciiTheme="minorHAnsi" w:hAnsiTheme="minorHAnsi" w:cstheme="minorHAnsi"/>
        </w:rPr>
        <w:footnoteReference w:id="14"/>
      </w:r>
    </w:p>
    <w:p w14:paraId="425914E8" w14:textId="6E83DB4D" w:rsidR="00217694" w:rsidRPr="00F130FE" w:rsidRDefault="00217694" w:rsidP="009F250C">
      <w:pPr>
        <w:spacing w:line="276" w:lineRule="auto"/>
        <w:rPr>
          <w:rFonts w:asciiTheme="minorHAnsi" w:hAnsiTheme="minorHAnsi" w:cstheme="minorHAnsi"/>
        </w:rPr>
      </w:pPr>
    </w:p>
    <w:p w14:paraId="3DDD15DA" w14:textId="77777777" w:rsidR="00217694" w:rsidRPr="00F130FE" w:rsidRDefault="00217694" w:rsidP="009F250C">
      <w:pPr>
        <w:autoSpaceDE w:val="0"/>
        <w:autoSpaceDN w:val="0"/>
        <w:adjustRightInd w:val="0"/>
        <w:spacing w:line="276" w:lineRule="auto"/>
        <w:rPr>
          <w:rFonts w:asciiTheme="minorHAnsi" w:hAnsiTheme="minorHAnsi" w:cstheme="minorHAnsi"/>
          <w:b/>
          <w:bCs/>
        </w:rPr>
      </w:pPr>
      <w:r w:rsidRPr="00F130FE">
        <w:rPr>
          <w:rFonts w:asciiTheme="minorHAnsi" w:hAnsiTheme="minorHAnsi" w:cstheme="minorHAnsi"/>
          <w:b/>
          <w:bCs/>
        </w:rPr>
        <w:t>Astrological nature of Mercury</w:t>
      </w:r>
    </w:p>
    <w:p w14:paraId="659C3278" w14:textId="77777777" w:rsidR="00217694" w:rsidRPr="00F130FE" w:rsidRDefault="00217694" w:rsidP="009F250C">
      <w:pPr>
        <w:pStyle w:val="NormalWeb"/>
        <w:spacing w:before="0" w:beforeAutospacing="0" w:after="0" w:afterAutospacing="0" w:line="276" w:lineRule="auto"/>
        <w:ind w:right="-334"/>
        <w:rPr>
          <w:rFonts w:asciiTheme="minorHAnsi" w:hAnsiTheme="minorHAnsi" w:cstheme="minorHAnsi"/>
          <w:sz w:val="24"/>
          <w:szCs w:val="24"/>
        </w:rPr>
      </w:pPr>
      <w:r w:rsidRPr="00F130FE">
        <w:rPr>
          <w:rFonts w:asciiTheme="minorHAnsi" w:hAnsiTheme="minorHAnsi" w:cstheme="minorHAnsi"/>
          <w:sz w:val="24"/>
          <w:szCs w:val="24"/>
        </w:rPr>
        <w:t>Long lists of significations associated with the planets were provided by other astrologers, such as Ptolemy’s contemporary, Vettius Valens (120 - c175), but these were simply lists, with no explanation as to their source or their rationale. Ptolemy also provided very similar lists of associations for Mercury, explaining that</w:t>
      </w:r>
    </w:p>
    <w:p w14:paraId="34492379" w14:textId="77777777" w:rsidR="00217694" w:rsidRPr="00F130FE" w:rsidRDefault="00217694" w:rsidP="009F250C">
      <w:pPr>
        <w:pStyle w:val="NormalWeb"/>
        <w:spacing w:before="0" w:beforeAutospacing="0" w:after="0" w:afterAutospacing="0" w:line="276" w:lineRule="auto"/>
        <w:ind w:right="-334"/>
        <w:rPr>
          <w:rFonts w:asciiTheme="minorHAnsi" w:hAnsiTheme="minorHAnsi" w:cstheme="minorHAnsi"/>
          <w:sz w:val="24"/>
          <w:szCs w:val="24"/>
        </w:rPr>
      </w:pPr>
    </w:p>
    <w:p w14:paraId="5380FCB4" w14:textId="6B3EC077" w:rsidR="00217694" w:rsidRPr="00F130FE" w:rsidRDefault="00217694" w:rsidP="009F250C">
      <w:pPr>
        <w:spacing w:line="276" w:lineRule="auto"/>
        <w:ind w:left="720"/>
        <w:rPr>
          <w:rFonts w:asciiTheme="minorHAnsi" w:hAnsiTheme="minorHAnsi" w:cstheme="minorHAnsi"/>
        </w:rPr>
      </w:pPr>
      <w:r w:rsidRPr="00F130FE">
        <w:rPr>
          <w:rFonts w:asciiTheme="minorHAnsi" w:hAnsiTheme="minorHAnsi" w:cstheme="minorHAnsi"/>
        </w:rPr>
        <w:t>Those who are born under him [are made] wise, shrewd, thoughtful, learned, inventive, experienced, good calculators, inquirers into nature, speculative, gifted, emulous, beneficent, prudent, good at conjecture, mathematicians, partakers in mysteries, successful in attaining their ends. In the opposite position he makes them utter rascals, precipitate, forgetful, impetuous, lightminded, fickle, prone to change their minds, foolish rogues, witless, sinful, liars, undiscriminating, unstable, undependable, avaricious, unjust, and, in general, unsteady in judgment and inclined to evil deeds.</w:t>
      </w:r>
      <w:r w:rsidRPr="00F130FE">
        <w:rPr>
          <w:rStyle w:val="FootnoteReference"/>
          <w:rFonts w:asciiTheme="minorHAnsi" w:hAnsiTheme="minorHAnsi" w:cstheme="minorHAnsi"/>
        </w:rPr>
        <w:footnoteReference w:id="15"/>
      </w:r>
    </w:p>
    <w:p w14:paraId="78B2AE26" w14:textId="79CFE95A" w:rsidR="00AD56FB" w:rsidRPr="00F130FE" w:rsidRDefault="00AD56FB" w:rsidP="009F250C">
      <w:pPr>
        <w:spacing w:line="276" w:lineRule="auto"/>
        <w:rPr>
          <w:rFonts w:asciiTheme="minorHAnsi" w:hAnsiTheme="minorHAnsi" w:cstheme="minorHAnsi"/>
        </w:rPr>
      </w:pPr>
    </w:p>
    <w:p w14:paraId="05D65CD9" w14:textId="67688AB7" w:rsidR="00AF42EC" w:rsidRPr="00F130FE" w:rsidRDefault="00C8537E" w:rsidP="009F250C">
      <w:pPr>
        <w:pStyle w:val="NormalWeb"/>
        <w:spacing w:before="0" w:beforeAutospacing="0" w:after="0" w:afterAutospacing="0" w:line="276" w:lineRule="auto"/>
        <w:ind w:right="-334"/>
        <w:rPr>
          <w:rFonts w:asciiTheme="minorHAnsi" w:hAnsiTheme="minorHAnsi" w:cstheme="minorHAnsi"/>
          <w:sz w:val="24"/>
          <w:szCs w:val="24"/>
        </w:rPr>
      </w:pPr>
      <w:r w:rsidRPr="00F130FE">
        <w:rPr>
          <w:rFonts w:asciiTheme="minorHAnsi" w:hAnsiTheme="minorHAnsi" w:cstheme="minorHAnsi"/>
          <w:sz w:val="24"/>
          <w:szCs w:val="24"/>
        </w:rPr>
        <w:t xml:space="preserve">However, Ptolemy’s aim was not to give an exhaustive account of the nature of Mercury but rather to explain the logical outcome of the </w:t>
      </w:r>
      <w:r w:rsidR="004307FD">
        <w:rPr>
          <w:rFonts w:asciiTheme="minorHAnsi" w:hAnsiTheme="minorHAnsi" w:cstheme="minorHAnsi"/>
          <w:sz w:val="24"/>
          <w:szCs w:val="24"/>
        </w:rPr>
        <w:t>cosmic</w:t>
      </w:r>
      <w:r w:rsidRPr="00F130FE">
        <w:rPr>
          <w:rFonts w:asciiTheme="minorHAnsi" w:hAnsiTheme="minorHAnsi" w:cstheme="minorHAnsi"/>
          <w:sz w:val="24"/>
          <w:szCs w:val="24"/>
        </w:rPr>
        <w:t xml:space="preserve"> structure he described. He was at pains to explain a rationale for his significations, associating Mercury with changeableness due to its position in the order of distance from the earth (as he understood it) being between the hot and drying Sun, and the moist and cooling Moon. He wrote that ‘Mercury in general is found .. alike to be drying ... and </w:t>
      </w:r>
      <w:r w:rsidRPr="00F130FE">
        <w:rPr>
          <w:rFonts w:asciiTheme="minorHAnsi" w:hAnsiTheme="minorHAnsi" w:cstheme="minorHAnsi"/>
          <w:sz w:val="24"/>
          <w:szCs w:val="24"/>
        </w:rPr>
        <w:lastRenderedPageBreak/>
        <w:t>again humidifying … and to change quickly from one to the other’.</w:t>
      </w:r>
      <w:r w:rsidRPr="00F130FE">
        <w:rPr>
          <w:rStyle w:val="FootnoteReference"/>
          <w:rFonts w:asciiTheme="minorHAnsi" w:hAnsiTheme="minorHAnsi" w:cstheme="minorHAnsi"/>
          <w:sz w:val="24"/>
          <w:szCs w:val="24"/>
        </w:rPr>
        <w:footnoteReference w:id="16"/>
      </w:r>
      <w:r w:rsidR="00AF42EC" w:rsidRPr="00F130FE">
        <w:rPr>
          <w:rFonts w:asciiTheme="minorHAnsi" w:hAnsiTheme="minorHAnsi" w:cstheme="minorHAnsi"/>
          <w:sz w:val="24"/>
          <w:szCs w:val="24"/>
        </w:rPr>
        <w:t xml:space="preserve"> This entirely accords with the nature of Mercury described by others such as Valens but differs in describing a structural logic to the cosmos to explain how the qualities arise. As Joanna Komorowska wrote,</w:t>
      </w:r>
    </w:p>
    <w:p w14:paraId="0BB493FA" w14:textId="77777777" w:rsidR="00AF42EC" w:rsidRPr="00F130FE" w:rsidRDefault="00AF42EC" w:rsidP="009F250C">
      <w:pPr>
        <w:pStyle w:val="NormalWeb"/>
        <w:spacing w:before="0" w:beforeAutospacing="0" w:after="0" w:afterAutospacing="0" w:line="276" w:lineRule="auto"/>
        <w:ind w:right="-334"/>
        <w:rPr>
          <w:rFonts w:asciiTheme="minorHAnsi" w:hAnsiTheme="minorHAnsi" w:cstheme="minorHAnsi"/>
          <w:sz w:val="24"/>
          <w:szCs w:val="24"/>
        </w:rPr>
      </w:pPr>
    </w:p>
    <w:p w14:paraId="1FCB410D" w14:textId="5005ED5D" w:rsidR="00AD56FB" w:rsidRPr="00F130FE" w:rsidRDefault="00AF42EC" w:rsidP="009F250C">
      <w:pPr>
        <w:spacing w:line="276" w:lineRule="auto"/>
        <w:ind w:left="720"/>
        <w:rPr>
          <w:rFonts w:asciiTheme="minorHAnsi" w:hAnsiTheme="minorHAnsi" w:cstheme="minorHAnsi"/>
        </w:rPr>
      </w:pPr>
      <w:r w:rsidRPr="00F130FE">
        <w:rPr>
          <w:rFonts w:asciiTheme="minorHAnsi" w:hAnsiTheme="minorHAnsi" w:cstheme="minorHAnsi"/>
        </w:rPr>
        <w:t>Claudius Ptolemy will attempt a major re-formulation of astrology, a reconstruction intended …to establish astrology as a science in its own right, i.e. to locate it with reference to the Aristotelian paradigm of demonstrative – and true – sciences.</w:t>
      </w:r>
      <w:r w:rsidRPr="00F130FE">
        <w:rPr>
          <w:rStyle w:val="FootnoteReference"/>
          <w:rFonts w:asciiTheme="minorHAnsi" w:hAnsiTheme="minorHAnsi" w:cstheme="minorHAnsi"/>
        </w:rPr>
        <w:footnoteReference w:id="17"/>
      </w:r>
    </w:p>
    <w:p w14:paraId="0E6FEF4B" w14:textId="77777777" w:rsidR="00FA028B" w:rsidRPr="00F130FE" w:rsidRDefault="00FA028B" w:rsidP="009F250C">
      <w:pPr>
        <w:spacing w:line="276" w:lineRule="auto"/>
        <w:ind w:left="720"/>
        <w:rPr>
          <w:rFonts w:asciiTheme="minorHAnsi" w:hAnsiTheme="minorHAnsi" w:cstheme="minorHAnsi"/>
        </w:rPr>
      </w:pPr>
    </w:p>
    <w:p w14:paraId="3DBDC978" w14:textId="2A54D2E0" w:rsidR="00514EF0" w:rsidRPr="00F130FE" w:rsidRDefault="00E24CB8" w:rsidP="009F250C">
      <w:pPr>
        <w:spacing w:line="276" w:lineRule="auto"/>
        <w:rPr>
          <w:rFonts w:asciiTheme="minorHAnsi" w:hAnsiTheme="minorHAnsi" w:cstheme="minorHAnsi"/>
        </w:rPr>
      </w:pPr>
      <w:r w:rsidRPr="00F130FE">
        <w:rPr>
          <w:rFonts w:asciiTheme="minorHAnsi" w:hAnsiTheme="minorHAnsi" w:cstheme="minorHAnsi"/>
        </w:rPr>
        <w:t>In his treatment of the astrological significance of the planet Mercury, Abū Maʿšar, took issue with Ptolemy’s account of its nature being composed of dryness from the Sun and moisture from the Moon, stating that the moisture from the earth cannot reach the Moon as it is too far away, thus appearing to draw on improvements in the science of astronomy.</w:t>
      </w:r>
      <w:r w:rsidRPr="00F130FE">
        <w:rPr>
          <w:rStyle w:val="FootnoteReference"/>
          <w:rFonts w:asciiTheme="minorHAnsi" w:hAnsiTheme="minorHAnsi" w:cstheme="minorHAnsi"/>
        </w:rPr>
        <w:footnoteReference w:id="18"/>
      </w:r>
      <w:r w:rsidRPr="00F130FE">
        <w:rPr>
          <w:rFonts w:asciiTheme="minorHAnsi" w:hAnsiTheme="minorHAnsi" w:cstheme="minorHAnsi"/>
        </w:rPr>
        <w:t xml:space="preserve"> </w:t>
      </w:r>
      <w:r w:rsidR="00B473CF" w:rsidRPr="00F130FE">
        <w:rPr>
          <w:rFonts w:asciiTheme="minorHAnsi" w:hAnsiTheme="minorHAnsi" w:cstheme="minorHAnsi"/>
        </w:rPr>
        <w:t>Nevertheless, he went on to discuss the ‘dryness’ and ‘coldness’ of Mercury, basing his associations for the planet on these physical qualities, in the same manner as Ptolemy.</w:t>
      </w:r>
      <w:r w:rsidR="00B473CF" w:rsidRPr="00F130FE">
        <w:rPr>
          <w:rStyle w:val="FootnoteReference"/>
          <w:rFonts w:asciiTheme="minorHAnsi" w:hAnsiTheme="minorHAnsi" w:cstheme="minorHAnsi"/>
        </w:rPr>
        <w:footnoteReference w:id="19"/>
      </w:r>
      <w:r w:rsidR="00514EF0" w:rsidRPr="00F130FE">
        <w:rPr>
          <w:rFonts w:asciiTheme="minorHAnsi" w:hAnsiTheme="minorHAnsi" w:cstheme="minorHAnsi"/>
        </w:rPr>
        <w:t xml:space="preserve"> However by the twentieth century, the development of depth psychology had turned the focus of astrology in the West inward, and no attention was paid to the physical qualities of the planets: in any case, modern astronomy had by then radically altered our understanding and knowledge of them as physical bodies. In the psychological astrology pioneered and taught by Sasportas, who co-founded The Centre for Psychological Astrology with Greene, the emphasis was firmly placed on the description of the astrological factors, such as the planet Mercury, as universal archetypes existing in the collective unconscious and forming the inner psychological </w:t>
      </w:r>
      <w:r w:rsidR="005F3ABF" w:rsidRPr="00F130FE">
        <w:rPr>
          <w:rFonts w:asciiTheme="minorHAnsi" w:hAnsiTheme="minorHAnsi" w:cstheme="minorHAnsi"/>
        </w:rPr>
        <w:t>world of us all. Sasportas described the inner planets, including Mercury, as ‘the building blocks of our personal reality’.</w:t>
      </w:r>
      <w:r w:rsidR="005F3ABF" w:rsidRPr="00F130FE">
        <w:rPr>
          <w:rStyle w:val="FootnoteReference"/>
          <w:rFonts w:asciiTheme="minorHAnsi" w:hAnsiTheme="minorHAnsi" w:cstheme="minorHAnsi"/>
        </w:rPr>
        <w:footnoteReference w:id="20"/>
      </w:r>
      <w:r w:rsidR="0046465D" w:rsidRPr="00F130FE">
        <w:rPr>
          <w:rFonts w:asciiTheme="minorHAnsi" w:hAnsiTheme="minorHAnsi" w:cstheme="minorHAnsi"/>
        </w:rPr>
        <w:t xml:space="preserve"> </w:t>
      </w:r>
    </w:p>
    <w:p w14:paraId="693E7578" w14:textId="77777777" w:rsidR="0046465D" w:rsidRPr="00F130FE" w:rsidRDefault="0046465D" w:rsidP="009F250C">
      <w:pPr>
        <w:autoSpaceDE w:val="0"/>
        <w:autoSpaceDN w:val="0"/>
        <w:adjustRightInd w:val="0"/>
        <w:spacing w:line="276" w:lineRule="auto"/>
        <w:rPr>
          <w:rFonts w:asciiTheme="minorHAnsi" w:hAnsiTheme="minorHAnsi" w:cstheme="minorHAnsi"/>
        </w:rPr>
      </w:pPr>
    </w:p>
    <w:p w14:paraId="5E2BFF3F" w14:textId="011B5D2D" w:rsidR="00AD56FB" w:rsidRPr="00F130FE" w:rsidRDefault="0046465D" w:rsidP="009F250C">
      <w:pPr>
        <w:spacing w:line="276" w:lineRule="auto"/>
        <w:rPr>
          <w:rFonts w:asciiTheme="minorHAnsi" w:hAnsiTheme="minorHAnsi" w:cstheme="minorHAnsi"/>
        </w:rPr>
      </w:pPr>
      <w:r w:rsidRPr="00F130FE">
        <w:rPr>
          <w:rFonts w:asciiTheme="minorHAnsi" w:hAnsiTheme="minorHAnsi" w:cstheme="minorHAnsi"/>
        </w:rPr>
        <w:t>For all the work of Ptolemy and Abū Maʿšar to describe the nature of the planet Mercury based on a rational, logical and systematic cosmology, it is striking that one of the earliest associations of the planet Mercury was with the Babylonian god Nabu, who was also known as the scribe to the gods.</w:t>
      </w:r>
      <w:r w:rsidRPr="00F130FE">
        <w:rPr>
          <w:rStyle w:val="FootnoteReference"/>
          <w:rFonts w:asciiTheme="minorHAnsi" w:hAnsiTheme="minorHAnsi" w:cstheme="minorHAnsi"/>
        </w:rPr>
        <w:footnoteReference w:id="21"/>
      </w:r>
      <w:r w:rsidR="00704D9D" w:rsidRPr="00F130FE">
        <w:rPr>
          <w:rFonts w:asciiTheme="minorHAnsi" w:hAnsiTheme="minorHAnsi" w:cstheme="minorHAnsi"/>
        </w:rPr>
        <w:t xml:space="preserve"> The qualities and associations ascribed to the planet by Ptolemy, Abū Maʿšar and Sasportas, such as intelligence, cunning and cleverness are entirely consistent with this early religious root</w:t>
      </w:r>
      <w:r w:rsidR="00FB7C03">
        <w:rPr>
          <w:rFonts w:asciiTheme="minorHAnsi" w:hAnsiTheme="minorHAnsi" w:cstheme="minorHAnsi"/>
        </w:rPr>
        <w:t>, consistent with Sasportas’ claim that Mercury represents a universal archetype</w:t>
      </w:r>
      <w:r w:rsidR="00704D9D" w:rsidRPr="00F130FE">
        <w:rPr>
          <w:rFonts w:asciiTheme="minorHAnsi" w:hAnsiTheme="minorHAnsi" w:cstheme="minorHAnsi"/>
        </w:rPr>
        <w:t>.</w:t>
      </w:r>
      <w:r w:rsidR="00704D9D" w:rsidRPr="00F130FE">
        <w:rPr>
          <w:rStyle w:val="FootnoteReference"/>
          <w:rFonts w:asciiTheme="minorHAnsi" w:hAnsiTheme="minorHAnsi" w:cstheme="minorHAnsi"/>
        </w:rPr>
        <w:footnoteReference w:id="22"/>
      </w:r>
    </w:p>
    <w:p w14:paraId="00C27503" w14:textId="3F0FA52C" w:rsidR="00D155BA" w:rsidRPr="00F130FE" w:rsidRDefault="00D155BA" w:rsidP="009F250C">
      <w:pPr>
        <w:spacing w:line="276" w:lineRule="auto"/>
        <w:rPr>
          <w:rFonts w:asciiTheme="minorHAnsi" w:hAnsiTheme="minorHAnsi" w:cstheme="minorHAnsi"/>
        </w:rPr>
      </w:pPr>
    </w:p>
    <w:p w14:paraId="77EC2FFF" w14:textId="77777777" w:rsidR="00D155BA" w:rsidRPr="00F130FE" w:rsidRDefault="00D155BA" w:rsidP="009F250C">
      <w:pPr>
        <w:autoSpaceDE w:val="0"/>
        <w:autoSpaceDN w:val="0"/>
        <w:adjustRightInd w:val="0"/>
        <w:spacing w:line="276" w:lineRule="auto"/>
        <w:rPr>
          <w:rFonts w:asciiTheme="minorHAnsi" w:hAnsiTheme="minorHAnsi" w:cstheme="minorHAnsi"/>
          <w:b/>
          <w:bCs/>
        </w:rPr>
      </w:pPr>
      <w:r w:rsidRPr="00F130FE">
        <w:rPr>
          <w:rFonts w:asciiTheme="minorHAnsi" w:hAnsiTheme="minorHAnsi" w:cstheme="minorHAnsi"/>
          <w:b/>
          <w:bCs/>
        </w:rPr>
        <w:lastRenderedPageBreak/>
        <w:t>Adaptability of Mercury</w:t>
      </w:r>
    </w:p>
    <w:p w14:paraId="5640527B" w14:textId="5DEE83BB" w:rsidR="00D155BA" w:rsidRPr="00F130FE" w:rsidRDefault="00D155BA" w:rsidP="009F250C">
      <w:pPr>
        <w:spacing w:line="276" w:lineRule="auto"/>
        <w:rPr>
          <w:rFonts w:asciiTheme="minorHAnsi" w:hAnsiTheme="minorHAnsi" w:cstheme="minorHAnsi"/>
        </w:rPr>
      </w:pPr>
      <w:r w:rsidRPr="00F130FE">
        <w:rPr>
          <w:rFonts w:asciiTheme="minorHAnsi" w:hAnsiTheme="minorHAnsi" w:cstheme="minorHAnsi"/>
        </w:rPr>
        <w:t>Despite differences in rationale, all three sources examined in this essay describe very similar qualities to the nature of Mercury, including that of its adaptability and changeableness. Abū Maʿšar was critical of previous astrologers for assigning variability to the nature of Mercury because its colour in the sky varied. Nevertheless, he also indicated that Mercury’s nature was adaptable, and that ‘In each sign and with each planet it is like the nature of that sign and planet’.</w:t>
      </w:r>
      <w:r w:rsidRPr="00F130FE">
        <w:rPr>
          <w:rStyle w:val="FootnoteReference"/>
          <w:rFonts w:asciiTheme="minorHAnsi" w:hAnsiTheme="minorHAnsi" w:cstheme="minorHAnsi"/>
        </w:rPr>
        <w:footnoteReference w:id="23"/>
      </w:r>
      <w:r w:rsidR="000F4507" w:rsidRPr="00F130FE">
        <w:rPr>
          <w:rFonts w:asciiTheme="minorHAnsi" w:hAnsiTheme="minorHAnsi" w:cstheme="minorHAnsi"/>
        </w:rPr>
        <w:t xml:space="preserve"> This attribute accords with Ptolemy who described Mercury as being ‘in nature like whatever of the other planets may be associated with him’, and this quality is also described by Sasportas in his Guidelines for Interpreting Mercury, writing that ‘Mercury is highly influenced and coloured by the nature of any planet aspecting it’.</w:t>
      </w:r>
      <w:r w:rsidR="000F4507" w:rsidRPr="00F130FE">
        <w:rPr>
          <w:rStyle w:val="FootnoteReference"/>
          <w:rFonts w:asciiTheme="minorHAnsi" w:hAnsiTheme="minorHAnsi" w:cstheme="minorHAnsi"/>
        </w:rPr>
        <w:footnoteReference w:id="24"/>
      </w:r>
      <w:r w:rsidR="000F4507" w:rsidRPr="00F130FE">
        <w:rPr>
          <w:rFonts w:asciiTheme="minorHAnsi" w:hAnsiTheme="minorHAnsi" w:cstheme="minorHAnsi"/>
        </w:rPr>
        <w:t xml:space="preserve"> </w:t>
      </w:r>
      <w:r w:rsidR="00FC6473" w:rsidRPr="00F130FE">
        <w:rPr>
          <w:rFonts w:asciiTheme="minorHAnsi" w:hAnsiTheme="minorHAnsi" w:cstheme="minorHAnsi"/>
        </w:rPr>
        <w:t>All three sources agree on this point.</w:t>
      </w:r>
    </w:p>
    <w:p w14:paraId="2240968B" w14:textId="22DC24C5" w:rsidR="00FC6473" w:rsidRPr="00F130FE" w:rsidRDefault="00FC6473" w:rsidP="009F250C">
      <w:pPr>
        <w:spacing w:line="276" w:lineRule="auto"/>
        <w:rPr>
          <w:rFonts w:asciiTheme="minorHAnsi" w:hAnsiTheme="minorHAnsi" w:cstheme="minorHAnsi"/>
        </w:rPr>
      </w:pPr>
    </w:p>
    <w:p w14:paraId="68AC233C" w14:textId="77777777" w:rsidR="00C3492F" w:rsidRPr="00F130FE" w:rsidRDefault="00C3492F" w:rsidP="009F250C">
      <w:pPr>
        <w:autoSpaceDE w:val="0"/>
        <w:autoSpaceDN w:val="0"/>
        <w:adjustRightInd w:val="0"/>
        <w:spacing w:line="276" w:lineRule="auto"/>
        <w:rPr>
          <w:rFonts w:asciiTheme="minorHAnsi" w:hAnsiTheme="minorHAnsi" w:cstheme="minorHAnsi"/>
        </w:rPr>
      </w:pPr>
      <w:r w:rsidRPr="00F130FE">
        <w:rPr>
          <w:rFonts w:asciiTheme="minorHAnsi" w:hAnsiTheme="minorHAnsi" w:cstheme="minorHAnsi"/>
          <w:b/>
          <w:bCs/>
        </w:rPr>
        <w:t>Psychology</w:t>
      </w:r>
    </w:p>
    <w:p w14:paraId="36F7F575" w14:textId="2404E5DD" w:rsidR="00A21F1B" w:rsidRPr="00F130FE" w:rsidRDefault="00C3492F" w:rsidP="009F250C">
      <w:pPr>
        <w:spacing w:line="276" w:lineRule="auto"/>
        <w:rPr>
          <w:rFonts w:asciiTheme="minorHAnsi" w:hAnsiTheme="minorHAnsi" w:cstheme="minorHAnsi"/>
        </w:rPr>
      </w:pPr>
      <w:r w:rsidRPr="00F130FE">
        <w:rPr>
          <w:rFonts w:asciiTheme="minorHAnsi" w:hAnsiTheme="minorHAnsi" w:cstheme="minorHAnsi"/>
        </w:rPr>
        <w:t>An important difference between the earlier works of Ptolemy and Abū Maʿšar from the thinking of Sasportas is the emphasis placed on the need to ‘work’ on ourselves in order to ‘individuate’, to use Jung’s term. This was described by Greene as ‘the inner process through which an individual can achieve full integration of his or her unique, inherent personality’, and is a concept not found in the earlier astrological works.</w:t>
      </w:r>
      <w:r w:rsidRPr="00F130FE">
        <w:rPr>
          <w:rStyle w:val="FootnoteReference"/>
          <w:rFonts w:asciiTheme="minorHAnsi" w:hAnsiTheme="minorHAnsi" w:cstheme="minorHAnsi"/>
        </w:rPr>
        <w:footnoteReference w:id="25"/>
      </w:r>
      <w:r w:rsidR="00471D18" w:rsidRPr="00F130FE">
        <w:rPr>
          <w:rFonts w:asciiTheme="minorHAnsi" w:hAnsiTheme="minorHAnsi" w:cstheme="minorHAnsi"/>
        </w:rPr>
        <w:t xml:space="preserve"> It implies the possibility of self-improvement, by becoming better at self-understanding: for example Sasportas indicated that by better understanding how to express the full nature of our own Mercury, we would be better able to ‘hear another person’, and find an ‘authentic way to fulfil your intrinsic potentialities’.</w:t>
      </w:r>
      <w:r w:rsidR="00471D18" w:rsidRPr="00F130FE">
        <w:rPr>
          <w:rStyle w:val="FootnoteReference"/>
          <w:rFonts w:asciiTheme="minorHAnsi" w:hAnsiTheme="minorHAnsi" w:cstheme="minorHAnsi"/>
        </w:rPr>
        <w:footnoteReference w:id="26"/>
      </w:r>
      <w:r w:rsidR="00A21F1B" w:rsidRPr="00F130FE">
        <w:rPr>
          <w:rFonts w:asciiTheme="minorHAnsi" w:hAnsiTheme="minorHAnsi" w:cstheme="minorHAnsi"/>
        </w:rPr>
        <w:t xml:space="preserve"> </w:t>
      </w:r>
    </w:p>
    <w:p w14:paraId="7AAA965E" w14:textId="77777777" w:rsidR="00A21F1B" w:rsidRPr="00F130FE" w:rsidRDefault="00A21F1B" w:rsidP="009F250C">
      <w:pPr>
        <w:spacing w:line="276" w:lineRule="auto"/>
        <w:rPr>
          <w:rFonts w:asciiTheme="minorHAnsi" w:hAnsiTheme="minorHAnsi" w:cstheme="minorHAnsi"/>
        </w:rPr>
      </w:pPr>
    </w:p>
    <w:p w14:paraId="727B5DF9" w14:textId="1042292C" w:rsidR="00FC6473" w:rsidRPr="00F130FE" w:rsidRDefault="00A21F1B" w:rsidP="009F250C">
      <w:pPr>
        <w:spacing w:line="276" w:lineRule="auto"/>
        <w:rPr>
          <w:rFonts w:asciiTheme="minorHAnsi" w:hAnsiTheme="minorHAnsi" w:cstheme="minorHAnsi"/>
        </w:rPr>
      </w:pPr>
      <w:r w:rsidRPr="00F130FE">
        <w:rPr>
          <w:rFonts w:asciiTheme="minorHAnsi" w:hAnsiTheme="minorHAnsi" w:cstheme="minorHAnsi"/>
        </w:rPr>
        <w:t>Sasportas also pointed out that psychological pressures, as in one’s upbringing, could alter the way the planet Mercury actually manifested in life. He described a person with Mercury in Gemini, which by long-standing astrological theories going back to Ptolemy and Abū Maʿšar would be expected to result in an inquisitive, talkative individual, being in a ‘mental straitjacket’ due to negative early experiences which caused ‘psychic congestion’.</w:t>
      </w:r>
      <w:r w:rsidRPr="00F130FE">
        <w:rPr>
          <w:rStyle w:val="FootnoteReference"/>
          <w:rFonts w:asciiTheme="minorHAnsi" w:hAnsiTheme="minorHAnsi" w:cstheme="minorHAnsi"/>
        </w:rPr>
        <w:footnoteReference w:id="27"/>
      </w:r>
      <w:r w:rsidRPr="00F130FE">
        <w:rPr>
          <w:rFonts w:asciiTheme="minorHAnsi" w:hAnsiTheme="minorHAnsi" w:cstheme="minorHAnsi"/>
        </w:rPr>
        <w:t xml:space="preserve"> </w:t>
      </w:r>
      <w:r w:rsidR="002C16BD" w:rsidRPr="00F130FE">
        <w:rPr>
          <w:rFonts w:asciiTheme="minorHAnsi" w:hAnsiTheme="minorHAnsi" w:cstheme="minorHAnsi"/>
        </w:rPr>
        <w:t xml:space="preserve">This example demonstrates the way Sasportas focussed on the inner psychological state and development of the individual in a way Ptolemy and Abū Maʿšar would perhaps not have recognised, although they discussed the astrological state of what they termed ‘the soul’ which could be another way of saying a similar thing. The astrological process is not so different: both Ptolemy and Abū Maʿšar pointed out that Mercury by nature is able to take on the nature of any planets in aspect to it, and Sasportas also made this point in his example, which was illustrating the case of a man </w:t>
      </w:r>
      <w:r w:rsidR="002C16BD" w:rsidRPr="00F130FE">
        <w:rPr>
          <w:rFonts w:asciiTheme="minorHAnsi" w:hAnsiTheme="minorHAnsi" w:cstheme="minorHAnsi"/>
        </w:rPr>
        <w:lastRenderedPageBreak/>
        <w:t>with Mercury conjunct (together with) Saturn, which is a planet associated with limitation and restriction. The ‘mental straitjacket’ was therefore caused by Saturn’s influence on the impressionable Mercury. This was summarised by Sasportas as ‘Mercury represents the archetype that can be any of the other archetypes’ and explained this by reference to the mythical story about Hermes in which he made a sacrifice to all the twelve gods, symbolically showing his ability to work with all of them.</w:t>
      </w:r>
      <w:r w:rsidR="002C16BD" w:rsidRPr="00F130FE">
        <w:rPr>
          <w:rStyle w:val="FootnoteReference"/>
          <w:rFonts w:asciiTheme="minorHAnsi" w:hAnsiTheme="minorHAnsi" w:cstheme="minorHAnsi"/>
        </w:rPr>
        <w:footnoteReference w:id="28"/>
      </w:r>
    </w:p>
    <w:p w14:paraId="55323D0C" w14:textId="035CDAD1" w:rsidR="001D32B5" w:rsidRPr="00F130FE" w:rsidRDefault="001D32B5" w:rsidP="009F250C">
      <w:pPr>
        <w:spacing w:line="276" w:lineRule="auto"/>
        <w:rPr>
          <w:rFonts w:asciiTheme="minorHAnsi" w:hAnsiTheme="minorHAnsi" w:cstheme="minorHAnsi"/>
        </w:rPr>
      </w:pPr>
    </w:p>
    <w:p w14:paraId="43794B39" w14:textId="77777777" w:rsidR="00062B50" w:rsidRPr="00F130FE" w:rsidRDefault="00062B50" w:rsidP="009F250C">
      <w:pPr>
        <w:autoSpaceDE w:val="0"/>
        <w:autoSpaceDN w:val="0"/>
        <w:adjustRightInd w:val="0"/>
        <w:spacing w:line="276" w:lineRule="auto"/>
        <w:rPr>
          <w:rFonts w:asciiTheme="minorHAnsi" w:hAnsiTheme="minorHAnsi" w:cstheme="minorHAnsi"/>
          <w:b/>
          <w:bCs/>
        </w:rPr>
      </w:pPr>
      <w:r w:rsidRPr="00F130FE">
        <w:rPr>
          <w:rFonts w:asciiTheme="minorHAnsi" w:hAnsiTheme="minorHAnsi" w:cstheme="minorHAnsi"/>
          <w:b/>
          <w:bCs/>
        </w:rPr>
        <w:t>Mythology and Science</w:t>
      </w:r>
    </w:p>
    <w:p w14:paraId="1C433528" w14:textId="2C319CDA" w:rsidR="001D32B5" w:rsidRPr="00F130FE" w:rsidRDefault="00062B50" w:rsidP="009F250C">
      <w:pPr>
        <w:spacing w:line="276" w:lineRule="auto"/>
        <w:rPr>
          <w:rFonts w:asciiTheme="minorHAnsi" w:hAnsiTheme="minorHAnsi" w:cstheme="minorHAnsi"/>
        </w:rPr>
      </w:pPr>
      <w:r w:rsidRPr="00F130FE">
        <w:rPr>
          <w:rFonts w:asciiTheme="minorHAnsi" w:hAnsiTheme="minorHAnsi" w:cstheme="minorHAnsi"/>
        </w:rPr>
        <w:t xml:space="preserve">Another striking difference between the approaches of both Ptolemy and Abū Maʿšar with the psychological approach of Sasportas lies in the emphasis placed on the mythical stories associated with the Greek gods, whose names are used to identify the planets. These stories were not mentioned at all in the earlier texts, and Campion pointed out that the planets were not directly matched with the Greek pantheon of gods until </w:t>
      </w:r>
      <w:r w:rsidRPr="00F130FE">
        <w:rPr>
          <w:rFonts w:asciiTheme="minorHAnsi" w:hAnsiTheme="minorHAnsi" w:cstheme="minorHAnsi"/>
          <w:i/>
          <w:iCs/>
        </w:rPr>
        <w:t>The Epinomis</w:t>
      </w:r>
      <w:r w:rsidRPr="00F130FE">
        <w:rPr>
          <w:rFonts w:asciiTheme="minorHAnsi" w:hAnsiTheme="minorHAnsi" w:cstheme="minorHAnsi"/>
        </w:rPr>
        <w:t xml:space="preserve"> was written in the fifth century BCE, and even </w:t>
      </w:r>
      <w:r w:rsidR="006C1D61" w:rsidRPr="00F130FE">
        <w:rPr>
          <w:rFonts w:asciiTheme="minorHAnsi" w:hAnsiTheme="minorHAnsi" w:cstheme="minorHAnsi"/>
        </w:rPr>
        <w:t>then,</w:t>
      </w:r>
      <w:r w:rsidRPr="00F130FE">
        <w:rPr>
          <w:rFonts w:asciiTheme="minorHAnsi" w:hAnsiTheme="minorHAnsi" w:cstheme="minorHAnsi"/>
        </w:rPr>
        <w:t xml:space="preserve"> not all were named.</w:t>
      </w:r>
      <w:r w:rsidR="00AB7929">
        <w:rPr>
          <w:rStyle w:val="FootnoteReference"/>
          <w:rFonts w:asciiTheme="minorHAnsi" w:hAnsiTheme="minorHAnsi" w:cstheme="minorHAnsi"/>
        </w:rPr>
        <w:footnoteReference w:id="29"/>
      </w:r>
      <w:r w:rsidRPr="00F130FE">
        <w:rPr>
          <w:rFonts w:asciiTheme="minorHAnsi" w:hAnsiTheme="minorHAnsi" w:cstheme="minorHAnsi"/>
        </w:rPr>
        <w:t xml:space="preserve"> </w:t>
      </w:r>
      <w:r w:rsidR="006C4635">
        <w:rPr>
          <w:rFonts w:asciiTheme="minorHAnsi" w:hAnsiTheme="minorHAnsi" w:cstheme="minorHAnsi"/>
        </w:rPr>
        <w:t>By contrast</w:t>
      </w:r>
      <w:r w:rsidRPr="00F130FE">
        <w:rPr>
          <w:rFonts w:asciiTheme="minorHAnsi" w:hAnsiTheme="minorHAnsi" w:cstheme="minorHAnsi"/>
        </w:rPr>
        <w:t xml:space="preserve"> Sasportas made extensive use of the myths to illustrate the nature of the planet Mercury. For example,</w:t>
      </w:r>
      <w:r w:rsidR="000A7C0A">
        <w:rPr>
          <w:rFonts w:asciiTheme="minorHAnsi" w:hAnsiTheme="minorHAnsi" w:cstheme="minorHAnsi"/>
        </w:rPr>
        <w:t xml:space="preserve"> in</w:t>
      </w:r>
      <w:r w:rsidRPr="00F130FE">
        <w:rPr>
          <w:rFonts w:asciiTheme="minorHAnsi" w:hAnsiTheme="minorHAnsi" w:cstheme="minorHAnsi"/>
        </w:rPr>
        <w:t xml:space="preserve"> </w:t>
      </w:r>
      <w:r w:rsidR="000A7C0A">
        <w:rPr>
          <w:rFonts w:asciiTheme="minorHAnsi" w:hAnsiTheme="minorHAnsi" w:cstheme="minorHAnsi"/>
        </w:rPr>
        <w:t>relating how Hermes</w:t>
      </w:r>
      <w:r w:rsidR="005504B1">
        <w:rPr>
          <w:rFonts w:asciiTheme="minorHAnsi" w:hAnsiTheme="minorHAnsi" w:cstheme="minorHAnsi"/>
        </w:rPr>
        <w:t xml:space="preserve"> (ie Mercury)</w:t>
      </w:r>
      <w:r w:rsidR="000A7C0A">
        <w:rPr>
          <w:rFonts w:asciiTheme="minorHAnsi" w:hAnsiTheme="minorHAnsi" w:cstheme="minorHAnsi"/>
        </w:rPr>
        <w:t xml:space="preserve"> invented the first lyre</w:t>
      </w:r>
      <w:r w:rsidRPr="00F130FE">
        <w:rPr>
          <w:rFonts w:asciiTheme="minorHAnsi" w:hAnsiTheme="minorHAnsi" w:cstheme="minorHAnsi"/>
        </w:rPr>
        <w:t>, he described this as showing ‘Mercury the craftsperson, someone who is ingenious, skilful or adept with his hands’.</w:t>
      </w:r>
      <w:r w:rsidRPr="00F130FE">
        <w:rPr>
          <w:rStyle w:val="FootnoteReference"/>
          <w:rFonts w:asciiTheme="minorHAnsi" w:hAnsiTheme="minorHAnsi" w:cstheme="minorHAnsi"/>
        </w:rPr>
        <w:footnoteReference w:id="30"/>
      </w:r>
      <w:r w:rsidR="00215F03" w:rsidRPr="00F130FE">
        <w:rPr>
          <w:rFonts w:asciiTheme="minorHAnsi" w:hAnsiTheme="minorHAnsi" w:cstheme="minorHAnsi"/>
        </w:rPr>
        <w:t xml:space="preserve"> As Harvey wrote in his preface to </w:t>
      </w:r>
      <w:r w:rsidR="00215F03" w:rsidRPr="00F130FE">
        <w:rPr>
          <w:rFonts w:asciiTheme="minorHAnsi" w:hAnsiTheme="minorHAnsi" w:cstheme="minorHAnsi"/>
          <w:i/>
          <w:iCs/>
        </w:rPr>
        <w:t>The Inner Planets</w:t>
      </w:r>
      <w:r w:rsidR="00215F03" w:rsidRPr="00F130FE">
        <w:rPr>
          <w:rFonts w:asciiTheme="minorHAnsi" w:hAnsiTheme="minorHAnsi" w:cstheme="minorHAnsi"/>
        </w:rPr>
        <w:t>, Sasportas taught that ‘the ancient planetary and mundane gods are still alive and well and working in each one of us’.</w:t>
      </w:r>
      <w:r w:rsidR="00215F03" w:rsidRPr="00F130FE">
        <w:rPr>
          <w:rStyle w:val="FootnoteReference"/>
          <w:rFonts w:asciiTheme="minorHAnsi" w:hAnsiTheme="minorHAnsi" w:cstheme="minorHAnsi"/>
        </w:rPr>
        <w:footnoteReference w:id="31"/>
      </w:r>
      <w:r w:rsidR="00F02C81" w:rsidRPr="00F130FE">
        <w:rPr>
          <w:rFonts w:asciiTheme="minorHAnsi" w:hAnsiTheme="minorHAnsi" w:cstheme="minorHAnsi"/>
        </w:rPr>
        <w:t xml:space="preserve"> </w:t>
      </w:r>
    </w:p>
    <w:p w14:paraId="1A53ACB9" w14:textId="17160529" w:rsidR="00F02C81" w:rsidRPr="00F130FE" w:rsidRDefault="00F02C81" w:rsidP="009F250C">
      <w:pPr>
        <w:spacing w:line="276" w:lineRule="auto"/>
        <w:rPr>
          <w:rFonts w:asciiTheme="minorHAnsi" w:hAnsiTheme="minorHAnsi" w:cstheme="minorHAnsi"/>
        </w:rPr>
      </w:pPr>
    </w:p>
    <w:p w14:paraId="58E79FBA" w14:textId="77777777" w:rsidR="00F02C81" w:rsidRPr="00F130FE" w:rsidRDefault="00F02C81" w:rsidP="009F250C">
      <w:pPr>
        <w:autoSpaceDE w:val="0"/>
        <w:autoSpaceDN w:val="0"/>
        <w:adjustRightInd w:val="0"/>
        <w:spacing w:line="276" w:lineRule="auto"/>
        <w:rPr>
          <w:rFonts w:asciiTheme="minorHAnsi" w:hAnsiTheme="minorHAnsi" w:cstheme="minorHAnsi"/>
        </w:rPr>
      </w:pPr>
      <w:r w:rsidRPr="00F130FE">
        <w:rPr>
          <w:rFonts w:asciiTheme="minorHAnsi" w:hAnsiTheme="minorHAnsi" w:cstheme="minorHAnsi"/>
        </w:rPr>
        <w:t xml:space="preserve">Ptolemy and Abū Maʿšar made no reference to planetary gods or the stories associated with them, since both aimed to set the science of astrology on a causal and physical Aristotelian basis. They both closely associated the study of astrology with the study of astronomy, as two aspects of the same science, or knowledge: Abū Maʿšar described the </w:t>
      </w:r>
    </w:p>
    <w:p w14:paraId="48E78C12" w14:textId="77777777" w:rsidR="00F02C81" w:rsidRPr="00F130FE" w:rsidRDefault="00F02C81" w:rsidP="009F250C">
      <w:pPr>
        <w:autoSpaceDE w:val="0"/>
        <w:autoSpaceDN w:val="0"/>
        <w:adjustRightInd w:val="0"/>
        <w:spacing w:line="276" w:lineRule="auto"/>
        <w:rPr>
          <w:rFonts w:asciiTheme="minorHAnsi" w:hAnsiTheme="minorHAnsi" w:cstheme="minorHAnsi"/>
        </w:rPr>
      </w:pPr>
    </w:p>
    <w:p w14:paraId="42D0A21A" w14:textId="3099FF30" w:rsidR="00F02C81" w:rsidRPr="00F130FE" w:rsidRDefault="00F02C81" w:rsidP="009F250C">
      <w:pPr>
        <w:spacing w:line="276" w:lineRule="auto"/>
        <w:ind w:left="720"/>
        <w:rPr>
          <w:rFonts w:asciiTheme="minorHAnsi" w:hAnsiTheme="minorHAnsi" w:cstheme="minorHAnsi"/>
        </w:rPr>
      </w:pPr>
      <w:r w:rsidRPr="00F130FE">
        <w:rPr>
          <w:rFonts w:asciiTheme="minorHAnsi" w:hAnsiTheme="minorHAnsi" w:cstheme="minorHAnsi"/>
        </w:rPr>
        <w:t>two species of the science, which are wonderful to contemplate and great in significance. The first is called ‘the science of the universe…… The second species is the science of astrology.</w:t>
      </w:r>
      <w:r w:rsidRPr="00F130FE">
        <w:rPr>
          <w:rStyle w:val="FootnoteReference"/>
          <w:rFonts w:asciiTheme="minorHAnsi" w:hAnsiTheme="minorHAnsi" w:cstheme="minorHAnsi"/>
        </w:rPr>
        <w:footnoteReference w:id="32"/>
      </w:r>
    </w:p>
    <w:p w14:paraId="6EDAC0EE" w14:textId="59284E0A" w:rsidR="00AD56FB" w:rsidRPr="00F130FE" w:rsidRDefault="00AD56FB" w:rsidP="009F250C">
      <w:pPr>
        <w:spacing w:line="276" w:lineRule="auto"/>
        <w:rPr>
          <w:rFonts w:asciiTheme="minorHAnsi" w:hAnsiTheme="minorHAnsi" w:cstheme="minorHAnsi"/>
        </w:rPr>
      </w:pPr>
    </w:p>
    <w:p w14:paraId="3A1CC940" w14:textId="3B1D9D13" w:rsidR="000C6348" w:rsidRPr="00F130FE" w:rsidRDefault="0008615F" w:rsidP="009F250C">
      <w:pPr>
        <w:autoSpaceDE w:val="0"/>
        <w:autoSpaceDN w:val="0"/>
        <w:adjustRightInd w:val="0"/>
        <w:spacing w:line="276" w:lineRule="auto"/>
        <w:rPr>
          <w:rFonts w:asciiTheme="minorHAnsi" w:hAnsiTheme="minorHAnsi" w:cstheme="minorHAnsi"/>
        </w:rPr>
      </w:pPr>
      <w:r w:rsidRPr="00F130FE">
        <w:rPr>
          <w:rFonts w:asciiTheme="minorHAnsi" w:hAnsiTheme="minorHAnsi" w:cstheme="minorHAnsi"/>
        </w:rPr>
        <w:t xml:space="preserve">Both Ptolemy and Abū Maʿšar wrote important works on astronomy and mathematics, as the two subjects were considered to two sides of the same science and important to a philosophical understanding of the cosmos, as well as being potentially useful to people in the </w:t>
      </w:r>
      <w:r w:rsidRPr="00F130FE">
        <w:rPr>
          <w:rFonts w:asciiTheme="minorHAnsi" w:hAnsiTheme="minorHAnsi" w:cstheme="minorHAnsi"/>
        </w:rPr>
        <w:lastRenderedPageBreak/>
        <w:t>form of astrology. By the time Sasportas was teaching astrology however, this link had been greatly weakened, if not severed, and instead he made the connection with the science of depth psychology. Sasportas was interested in the dynamic arising from the duality of the conscious and the unconscious psyche, following Dane Rudhyar’s theory that the features of one’s birth chart ‘are actually “celestial instructions” on how you can most naturally unfold your life-plan’.</w:t>
      </w:r>
      <w:r w:rsidRPr="00F130FE">
        <w:rPr>
          <w:rStyle w:val="FootnoteReference"/>
          <w:rFonts w:asciiTheme="minorHAnsi" w:hAnsiTheme="minorHAnsi" w:cstheme="minorHAnsi"/>
        </w:rPr>
        <w:footnoteReference w:id="33"/>
      </w:r>
      <w:r w:rsidR="00B64DEE" w:rsidRPr="00F130FE">
        <w:rPr>
          <w:rFonts w:asciiTheme="minorHAnsi" w:hAnsiTheme="minorHAnsi" w:cstheme="minorHAnsi"/>
        </w:rPr>
        <w:t xml:space="preserve"> He built on the work of astronomy so as to calculate the birth chart, but only in order to inform the work of understanding the interior drama of an individual, represented by the astrological symbols of the ‘ancient planetary gods’.</w:t>
      </w:r>
      <w:r w:rsidR="00B64DEE" w:rsidRPr="00F130FE">
        <w:rPr>
          <w:rStyle w:val="FootnoteReference"/>
          <w:rFonts w:asciiTheme="minorHAnsi" w:hAnsiTheme="minorHAnsi" w:cstheme="minorHAnsi"/>
        </w:rPr>
        <w:footnoteReference w:id="34"/>
      </w:r>
      <w:r w:rsidR="000C6348" w:rsidRPr="00F130FE">
        <w:rPr>
          <w:rFonts w:asciiTheme="minorHAnsi" w:hAnsiTheme="minorHAnsi" w:cstheme="minorHAnsi"/>
        </w:rPr>
        <w:t xml:space="preserve"> There is perhaps an echo here of a defensive position being taken by astrologers against criticism, as has been evident since the time of Ptolemy, feeling the need to strengthen their claim to respectability by being associated with a </w:t>
      </w:r>
      <w:r w:rsidR="001403C8">
        <w:rPr>
          <w:rFonts w:asciiTheme="minorHAnsi" w:hAnsiTheme="minorHAnsi" w:cstheme="minorHAnsi"/>
        </w:rPr>
        <w:t xml:space="preserve">somewhat </w:t>
      </w:r>
      <w:r w:rsidR="000C6348" w:rsidRPr="00F130FE">
        <w:rPr>
          <w:rFonts w:asciiTheme="minorHAnsi" w:hAnsiTheme="minorHAnsi" w:cstheme="minorHAnsi"/>
        </w:rPr>
        <w:t>more acceptable science.</w:t>
      </w:r>
    </w:p>
    <w:p w14:paraId="7A46BEE7" w14:textId="5D151ADC" w:rsidR="00AD56FB" w:rsidRPr="00F130FE" w:rsidRDefault="00AD56FB" w:rsidP="009F250C">
      <w:pPr>
        <w:spacing w:line="276" w:lineRule="auto"/>
        <w:rPr>
          <w:rFonts w:asciiTheme="minorHAnsi" w:hAnsiTheme="minorHAnsi" w:cstheme="minorHAnsi"/>
        </w:rPr>
      </w:pPr>
    </w:p>
    <w:p w14:paraId="371E1E8B" w14:textId="77777777" w:rsidR="00A54341" w:rsidRPr="00F130FE" w:rsidRDefault="00A54341" w:rsidP="009F250C">
      <w:pPr>
        <w:autoSpaceDE w:val="0"/>
        <w:autoSpaceDN w:val="0"/>
        <w:adjustRightInd w:val="0"/>
        <w:spacing w:line="276" w:lineRule="auto"/>
        <w:rPr>
          <w:rFonts w:asciiTheme="minorHAnsi" w:hAnsiTheme="minorHAnsi" w:cstheme="minorHAnsi"/>
          <w:b/>
          <w:bCs/>
        </w:rPr>
      </w:pPr>
      <w:r w:rsidRPr="00F130FE">
        <w:rPr>
          <w:rFonts w:asciiTheme="minorHAnsi" w:hAnsiTheme="minorHAnsi" w:cstheme="minorHAnsi"/>
          <w:b/>
          <w:bCs/>
        </w:rPr>
        <w:t>Gender</w:t>
      </w:r>
    </w:p>
    <w:p w14:paraId="19869CCE" w14:textId="77777777" w:rsidR="00A54341" w:rsidRPr="00F130FE" w:rsidRDefault="00A54341" w:rsidP="009F250C">
      <w:pPr>
        <w:autoSpaceDE w:val="0"/>
        <w:autoSpaceDN w:val="0"/>
        <w:adjustRightInd w:val="0"/>
        <w:spacing w:line="276" w:lineRule="auto"/>
        <w:rPr>
          <w:rFonts w:asciiTheme="minorHAnsi" w:hAnsiTheme="minorHAnsi" w:cstheme="minorHAnsi"/>
        </w:rPr>
      </w:pPr>
      <w:r w:rsidRPr="00F130FE">
        <w:rPr>
          <w:rFonts w:asciiTheme="minorHAnsi" w:hAnsiTheme="minorHAnsi" w:cstheme="minorHAnsi"/>
        </w:rPr>
        <w:t xml:space="preserve">Abū Maʿšar, like Ptolemy, divided the planets into benefics (fortunate) and malefics (unfortunate), male and female, diurnal and nocturnal. When it came to more specific significations of the planets, Abū Maʿšar followed Ptolemy in deriving them from the nature of the planet. Thus, for Mercury, Abū Maʿšar wrote that </w:t>
      </w:r>
    </w:p>
    <w:p w14:paraId="5C3A55C3" w14:textId="77777777" w:rsidR="00A54341" w:rsidRPr="00F130FE" w:rsidRDefault="00A54341" w:rsidP="009F250C">
      <w:pPr>
        <w:autoSpaceDE w:val="0"/>
        <w:autoSpaceDN w:val="0"/>
        <w:adjustRightInd w:val="0"/>
        <w:spacing w:line="276" w:lineRule="auto"/>
        <w:rPr>
          <w:rFonts w:asciiTheme="minorHAnsi" w:hAnsiTheme="minorHAnsi" w:cstheme="minorHAnsi"/>
        </w:rPr>
      </w:pPr>
    </w:p>
    <w:p w14:paraId="0DB4456A" w14:textId="347232C9" w:rsidR="000C6348" w:rsidRPr="00F130FE" w:rsidRDefault="00A54341" w:rsidP="009F250C">
      <w:pPr>
        <w:spacing w:line="276" w:lineRule="auto"/>
        <w:ind w:left="720"/>
        <w:rPr>
          <w:rFonts w:asciiTheme="minorHAnsi" w:hAnsiTheme="minorHAnsi" w:cstheme="minorHAnsi"/>
        </w:rPr>
      </w:pPr>
      <w:r w:rsidRPr="00F130FE">
        <w:rPr>
          <w:rFonts w:asciiTheme="minorHAnsi" w:hAnsiTheme="minorHAnsi" w:cstheme="minorHAnsi"/>
        </w:rPr>
        <w:t>As for Mercury, dryness is most dominant over it and dryness is related to heat. Mercury is masculine. Because its nature is not heat, it indicates youths who do not attain puberty’.</w:t>
      </w:r>
      <w:r w:rsidRPr="00F130FE">
        <w:rPr>
          <w:rStyle w:val="FootnoteReference"/>
          <w:rFonts w:asciiTheme="minorHAnsi" w:hAnsiTheme="minorHAnsi" w:cstheme="minorHAnsi"/>
        </w:rPr>
        <w:footnoteReference w:id="35"/>
      </w:r>
    </w:p>
    <w:p w14:paraId="0BD0DD5C" w14:textId="66C8BABB" w:rsidR="00AD56FB" w:rsidRPr="00F130FE" w:rsidRDefault="00AD56FB" w:rsidP="009F250C">
      <w:pPr>
        <w:spacing w:line="276" w:lineRule="auto"/>
        <w:rPr>
          <w:rFonts w:asciiTheme="minorHAnsi" w:hAnsiTheme="minorHAnsi" w:cstheme="minorHAnsi"/>
        </w:rPr>
      </w:pPr>
    </w:p>
    <w:p w14:paraId="78EA1FDF" w14:textId="77777777" w:rsidR="009462C6" w:rsidRPr="00F130FE" w:rsidRDefault="009462C6" w:rsidP="009F250C">
      <w:pPr>
        <w:autoSpaceDE w:val="0"/>
        <w:autoSpaceDN w:val="0"/>
        <w:adjustRightInd w:val="0"/>
        <w:spacing w:line="276" w:lineRule="auto"/>
        <w:rPr>
          <w:rFonts w:asciiTheme="minorHAnsi" w:hAnsiTheme="minorHAnsi" w:cstheme="minorHAnsi"/>
        </w:rPr>
      </w:pPr>
      <w:r w:rsidRPr="00F130FE">
        <w:rPr>
          <w:rFonts w:asciiTheme="minorHAnsi" w:hAnsiTheme="minorHAnsi" w:cstheme="minorHAnsi"/>
        </w:rPr>
        <w:t>Ptolemy also based his assessment of the gender of the planets on their make-up in terms of heat and cold, dryness and moisture, and since he considered Mercury to partake of both dryness and moisture, he wrote that Mercury was ‘common to both genders’.</w:t>
      </w:r>
      <w:r w:rsidRPr="00F130FE">
        <w:rPr>
          <w:rStyle w:val="FootnoteReference"/>
          <w:rFonts w:asciiTheme="minorHAnsi" w:hAnsiTheme="minorHAnsi" w:cstheme="minorHAnsi"/>
        </w:rPr>
        <w:footnoteReference w:id="36"/>
      </w:r>
      <w:r w:rsidRPr="00F130FE">
        <w:rPr>
          <w:rFonts w:asciiTheme="minorHAnsi" w:hAnsiTheme="minorHAnsi" w:cstheme="minorHAnsi"/>
        </w:rPr>
        <w:t xml:space="preserve"> The underlying rationale was the same. While agreeing with Ptolemy about Mercury’s potentially ambiguous gender, Sasportas explained this both in terms of the myths associated with Mercury, and with the psychological processes involved in navigating the genders. He wrote that </w:t>
      </w:r>
    </w:p>
    <w:p w14:paraId="48D5B662" w14:textId="77777777" w:rsidR="009462C6" w:rsidRPr="00F130FE" w:rsidRDefault="009462C6" w:rsidP="009F250C">
      <w:pPr>
        <w:autoSpaceDE w:val="0"/>
        <w:autoSpaceDN w:val="0"/>
        <w:adjustRightInd w:val="0"/>
        <w:spacing w:line="276" w:lineRule="auto"/>
        <w:rPr>
          <w:rFonts w:asciiTheme="minorHAnsi" w:hAnsiTheme="minorHAnsi" w:cstheme="minorHAnsi"/>
        </w:rPr>
      </w:pPr>
    </w:p>
    <w:p w14:paraId="3DB08D7F" w14:textId="6B0B1EB9" w:rsidR="00AD56FB" w:rsidRPr="00F130FE" w:rsidRDefault="009462C6" w:rsidP="009F250C">
      <w:pPr>
        <w:spacing w:line="276" w:lineRule="auto"/>
        <w:ind w:left="720"/>
        <w:rPr>
          <w:rFonts w:asciiTheme="minorHAnsi" w:hAnsiTheme="minorHAnsi" w:cstheme="minorHAnsi"/>
        </w:rPr>
      </w:pPr>
      <w:r w:rsidRPr="00F130FE">
        <w:rPr>
          <w:rFonts w:asciiTheme="minorHAnsi" w:hAnsiTheme="minorHAnsi" w:cstheme="minorHAnsi"/>
        </w:rPr>
        <w:t>Some people with Mercury or Mercury-ruled signs strongly emphasised in their charts are psychological bisexuals. They may or may not act it out physically, but they sometimes are confused about their sexual identity.</w:t>
      </w:r>
      <w:r w:rsidRPr="00F130FE">
        <w:rPr>
          <w:rStyle w:val="FootnoteReference"/>
          <w:rFonts w:asciiTheme="minorHAnsi" w:hAnsiTheme="minorHAnsi" w:cstheme="minorHAnsi"/>
        </w:rPr>
        <w:footnoteReference w:id="37"/>
      </w:r>
    </w:p>
    <w:p w14:paraId="2BDC1AE2" w14:textId="36000F7E" w:rsidR="00AD56FB" w:rsidRPr="00F130FE" w:rsidRDefault="00AD56FB" w:rsidP="009F250C">
      <w:pPr>
        <w:spacing w:line="276" w:lineRule="auto"/>
        <w:rPr>
          <w:rFonts w:asciiTheme="minorHAnsi" w:hAnsiTheme="minorHAnsi" w:cstheme="minorHAnsi"/>
        </w:rPr>
      </w:pPr>
    </w:p>
    <w:p w14:paraId="12B85E79" w14:textId="59D659E6" w:rsidR="00F71E5C" w:rsidRPr="00F130FE" w:rsidRDefault="00F71E5C" w:rsidP="009F250C">
      <w:pPr>
        <w:autoSpaceDE w:val="0"/>
        <w:autoSpaceDN w:val="0"/>
        <w:adjustRightInd w:val="0"/>
        <w:spacing w:line="276" w:lineRule="auto"/>
        <w:rPr>
          <w:rFonts w:asciiTheme="minorHAnsi" w:hAnsiTheme="minorHAnsi" w:cstheme="minorHAnsi"/>
        </w:rPr>
      </w:pPr>
      <w:r w:rsidRPr="00F130FE">
        <w:rPr>
          <w:rFonts w:asciiTheme="minorHAnsi" w:hAnsiTheme="minorHAnsi" w:cstheme="minorHAnsi"/>
        </w:rPr>
        <w:lastRenderedPageBreak/>
        <w:t xml:space="preserve">Neither Ptolemy </w:t>
      </w:r>
      <w:r w:rsidR="009A60AE">
        <w:rPr>
          <w:rFonts w:asciiTheme="minorHAnsi" w:hAnsiTheme="minorHAnsi" w:cstheme="minorHAnsi"/>
        </w:rPr>
        <w:t>n</w:t>
      </w:r>
      <w:r w:rsidRPr="00F130FE">
        <w:rPr>
          <w:rFonts w:asciiTheme="minorHAnsi" w:hAnsiTheme="minorHAnsi" w:cstheme="minorHAnsi"/>
        </w:rPr>
        <w:t xml:space="preserve">or Abū Maʿšar related the gender of the planet to the psychological gender of an individual. Their treatment of it was concerned with an understanding of the nature of the planet itself, to give a full account of it rather than giving instruction in interpretation. </w:t>
      </w:r>
      <w:r w:rsidR="005059CC">
        <w:rPr>
          <w:rFonts w:asciiTheme="minorHAnsi" w:hAnsiTheme="minorHAnsi" w:cstheme="minorHAnsi"/>
        </w:rPr>
        <w:t xml:space="preserve">Additionally, </w:t>
      </w:r>
      <w:r w:rsidR="00071DDF">
        <w:rPr>
          <w:rFonts w:asciiTheme="minorHAnsi" w:hAnsiTheme="minorHAnsi" w:cstheme="minorHAnsi"/>
        </w:rPr>
        <w:t>b</w:t>
      </w:r>
      <w:r w:rsidRPr="00F130FE">
        <w:rPr>
          <w:rFonts w:asciiTheme="minorHAnsi" w:hAnsiTheme="minorHAnsi" w:cstheme="minorHAnsi"/>
        </w:rPr>
        <w:t>oth pointed out that a planet’s position in the sky would affect its gender, Ptolemy stating that morning stars, rising before the sun, are masculine, and evening stars, setting after the sun, are feminine, which made planetary gender highly variable in any case.</w:t>
      </w:r>
      <w:r w:rsidR="004064B8">
        <w:rPr>
          <w:rStyle w:val="FootnoteReference"/>
          <w:rFonts w:asciiTheme="minorHAnsi" w:hAnsiTheme="minorHAnsi" w:cstheme="minorHAnsi"/>
        </w:rPr>
        <w:footnoteReference w:id="38"/>
      </w:r>
      <w:r w:rsidRPr="00F130FE">
        <w:rPr>
          <w:rFonts w:asciiTheme="minorHAnsi" w:hAnsiTheme="minorHAnsi" w:cstheme="minorHAnsi"/>
        </w:rPr>
        <w:t xml:space="preserve"> This was a consideration not </w:t>
      </w:r>
      <w:r w:rsidR="00B95276">
        <w:rPr>
          <w:rFonts w:asciiTheme="minorHAnsi" w:hAnsiTheme="minorHAnsi" w:cstheme="minorHAnsi"/>
        </w:rPr>
        <w:t>mentioned</w:t>
      </w:r>
      <w:r w:rsidRPr="00F130FE">
        <w:rPr>
          <w:rFonts w:asciiTheme="minorHAnsi" w:hAnsiTheme="minorHAnsi" w:cstheme="minorHAnsi"/>
        </w:rPr>
        <w:t xml:space="preserve"> by Sasportas.</w:t>
      </w:r>
    </w:p>
    <w:p w14:paraId="3B5F21E0" w14:textId="14681506" w:rsidR="00AD56FB" w:rsidRPr="00F130FE" w:rsidRDefault="00AD56FB" w:rsidP="009F250C">
      <w:pPr>
        <w:spacing w:line="276" w:lineRule="auto"/>
        <w:rPr>
          <w:rFonts w:asciiTheme="minorHAnsi" w:hAnsiTheme="minorHAnsi" w:cstheme="minorHAnsi"/>
        </w:rPr>
      </w:pPr>
    </w:p>
    <w:p w14:paraId="268DE8A0" w14:textId="77777777" w:rsidR="00996B53" w:rsidRPr="00F130FE" w:rsidRDefault="00996B53" w:rsidP="009F250C">
      <w:pPr>
        <w:autoSpaceDE w:val="0"/>
        <w:autoSpaceDN w:val="0"/>
        <w:adjustRightInd w:val="0"/>
        <w:spacing w:line="276" w:lineRule="auto"/>
        <w:rPr>
          <w:rFonts w:asciiTheme="minorHAnsi" w:hAnsiTheme="minorHAnsi" w:cstheme="minorHAnsi"/>
          <w:b/>
          <w:bCs/>
        </w:rPr>
      </w:pPr>
      <w:r w:rsidRPr="00F130FE">
        <w:rPr>
          <w:rFonts w:asciiTheme="minorHAnsi" w:hAnsiTheme="minorHAnsi" w:cstheme="minorHAnsi"/>
          <w:b/>
          <w:bCs/>
        </w:rPr>
        <w:t>Benefic and Malefic</w:t>
      </w:r>
    </w:p>
    <w:p w14:paraId="77FB3ED9" w14:textId="3473CE5E" w:rsidR="00F71E5C" w:rsidRPr="00F130FE" w:rsidRDefault="00996B53" w:rsidP="009F250C">
      <w:pPr>
        <w:spacing w:line="276" w:lineRule="auto"/>
        <w:rPr>
          <w:rFonts w:asciiTheme="minorHAnsi" w:hAnsiTheme="minorHAnsi" w:cstheme="minorHAnsi"/>
        </w:rPr>
      </w:pPr>
      <w:r w:rsidRPr="00F130FE">
        <w:rPr>
          <w:rFonts w:asciiTheme="minorHAnsi" w:hAnsiTheme="minorHAnsi" w:cstheme="minorHAnsi"/>
        </w:rPr>
        <w:t>Mercury’s essential neutrality was also evident in the way the sources examined in this essay treated the question of its relationship with good or bad fortune. Ptolemy explained the benefic (fortunate) or malefic (unfortunate) natures of the planets as resulting from their constitutions in terms of four humours; hot, moist, dry and cold. He described Mercury, along with the Sun, as having ‘both powers, because they .. join their influences with those of the other planets’.</w:t>
      </w:r>
      <w:r w:rsidRPr="00F130FE">
        <w:rPr>
          <w:rStyle w:val="FootnoteReference"/>
          <w:rFonts w:asciiTheme="minorHAnsi" w:hAnsiTheme="minorHAnsi" w:cstheme="minorHAnsi"/>
        </w:rPr>
        <w:footnoteReference w:id="39"/>
      </w:r>
      <w:r w:rsidRPr="00F130FE">
        <w:rPr>
          <w:rFonts w:asciiTheme="minorHAnsi" w:hAnsiTheme="minorHAnsi" w:cstheme="minorHAnsi"/>
        </w:rPr>
        <w:t xml:space="preserve"> While agreeing with Ptolemy that Mercury is easily influenced and could be either benefic or malefic in its effects, stating that ‘In each sign and with each planet it is like the nature of that sign and planet’, Abū Maʿšar considered the planet to be benefic when free of other influences.</w:t>
      </w:r>
      <w:r w:rsidRPr="00F130FE">
        <w:rPr>
          <w:rStyle w:val="FootnoteReference"/>
          <w:rFonts w:asciiTheme="minorHAnsi" w:hAnsiTheme="minorHAnsi" w:cstheme="minorHAnsi"/>
        </w:rPr>
        <w:footnoteReference w:id="40"/>
      </w:r>
      <w:r w:rsidRPr="00F130FE">
        <w:rPr>
          <w:rFonts w:asciiTheme="minorHAnsi" w:hAnsiTheme="minorHAnsi" w:cstheme="minorHAnsi"/>
        </w:rPr>
        <w:t xml:space="preserve"> He disagreed with the rationale however.</w:t>
      </w:r>
      <w:r w:rsidR="004F7FAC" w:rsidRPr="00F130FE">
        <w:rPr>
          <w:rFonts w:asciiTheme="minorHAnsi" w:hAnsiTheme="minorHAnsi" w:cstheme="minorHAnsi"/>
        </w:rPr>
        <w:t xml:space="preserve"> Instead, he attributed the fact that Mercury’s relative weakness in bringing either good or bad fortune was due to its position in solar system, and the height of its orbit, and its distance from the sun. These </w:t>
      </w:r>
      <w:r w:rsidR="00111D29">
        <w:rPr>
          <w:rFonts w:asciiTheme="minorHAnsi" w:hAnsiTheme="minorHAnsi" w:cstheme="minorHAnsi"/>
        </w:rPr>
        <w:t>factors were</w:t>
      </w:r>
      <w:r w:rsidR="004F7FAC" w:rsidRPr="00F130FE">
        <w:rPr>
          <w:rFonts w:asciiTheme="minorHAnsi" w:hAnsiTheme="minorHAnsi" w:cstheme="minorHAnsi"/>
        </w:rPr>
        <w:t xml:space="preserve"> not mentioned at all by Sasportas, though it must be remembered that his text was derived from a teaching seminar and was not intended to be a full explanation of the rationale behind the astrology he described. Sasportas’ focus was on inner psychological processes, rather than external fate, and so he wrote that a problem, such as a constrained Mercury leading to difficulty in self-expression, ‘could be a stepping stone or catalyst for your developing positive qualities which you might not develop if you didn't have the problem’.</w:t>
      </w:r>
      <w:r w:rsidR="004F7FAC" w:rsidRPr="00F130FE">
        <w:rPr>
          <w:rStyle w:val="FootnoteReference"/>
          <w:rFonts w:asciiTheme="minorHAnsi" w:hAnsiTheme="minorHAnsi" w:cstheme="minorHAnsi"/>
        </w:rPr>
        <w:footnoteReference w:id="41"/>
      </w:r>
      <w:r w:rsidR="004F7FAC" w:rsidRPr="00F130FE">
        <w:rPr>
          <w:rFonts w:asciiTheme="minorHAnsi" w:hAnsiTheme="minorHAnsi" w:cstheme="minorHAnsi"/>
        </w:rPr>
        <w:t xml:space="preserve"> Fortune or misfortune were therefore both of value, contributing to the process of individuation, and capable of being transcended through greater self-knowledge.</w:t>
      </w:r>
    </w:p>
    <w:p w14:paraId="62353459" w14:textId="2E2625B5" w:rsidR="004F7FAC" w:rsidRPr="00F130FE" w:rsidRDefault="004F7FAC" w:rsidP="009F250C">
      <w:pPr>
        <w:spacing w:line="276" w:lineRule="auto"/>
        <w:rPr>
          <w:rFonts w:asciiTheme="minorHAnsi" w:hAnsiTheme="minorHAnsi" w:cstheme="minorHAnsi"/>
        </w:rPr>
      </w:pPr>
    </w:p>
    <w:p w14:paraId="08814F66" w14:textId="608051C6" w:rsidR="004F7FAC" w:rsidRPr="004309A4" w:rsidRDefault="0033386E" w:rsidP="004309A4">
      <w:pPr>
        <w:autoSpaceDE w:val="0"/>
        <w:autoSpaceDN w:val="0"/>
        <w:adjustRightInd w:val="0"/>
        <w:spacing w:line="276" w:lineRule="auto"/>
        <w:rPr>
          <w:rFonts w:asciiTheme="minorHAnsi" w:hAnsiTheme="minorHAnsi" w:cstheme="minorHAnsi"/>
        </w:rPr>
      </w:pPr>
      <w:r w:rsidRPr="00F130FE">
        <w:rPr>
          <w:rFonts w:asciiTheme="minorHAnsi" w:hAnsiTheme="minorHAnsi" w:cstheme="minorHAnsi"/>
        </w:rPr>
        <w:t xml:space="preserve">From Ptolemy to Abū Maʿšar was some seven hundred years, and from Abū Maʿšar to Sasportas a further span of over a thousand years, and despite their differences, they all found the nature of Mercury as used in astrology to be recognisably similar; adaptable, variable in fortune, neutral in gender, and easily influenced by other astrological factors. </w:t>
      </w:r>
      <w:r w:rsidR="004309A4">
        <w:rPr>
          <w:rFonts w:asciiTheme="minorHAnsi" w:hAnsiTheme="minorHAnsi" w:cstheme="minorHAnsi"/>
        </w:rPr>
        <w:t xml:space="preserve">Differences between Ptolemy and </w:t>
      </w:r>
      <w:r w:rsidR="004309A4" w:rsidRPr="00F130FE">
        <w:rPr>
          <w:rFonts w:asciiTheme="minorHAnsi" w:hAnsiTheme="minorHAnsi" w:cstheme="minorHAnsi"/>
        </w:rPr>
        <w:t xml:space="preserve">Abū Maʿšar </w:t>
      </w:r>
      <w:r w:rsidR="004309A4">
        <w:rPr>
          <w:rFonts w:asciiTheme="minorHAnsi" w:hAnsiTheme="minorHAnsi" w:cstheme="minorHAnsi"/>
        </w:rPr>
        <w:t xml:space="preserve">consisted mainly of detail, agreed attributes of Mercury being ascribed </w:t>
      </w:r>
      <w:r w:rsidR="004309A4">
        <w:rPr>
          <w:rFonts w:asciiTheme="minorHAnsi" w:hAnsiTheme="minorHAnsi" w:cstheme="minorHAnsi"/>
        </w:rPr>
        <w:lastRenderedPageBreak/>
        <w:t xml:space="preserve">to slightly different causes. </w:t>
      </w:r>
      <w:r w:rsidRPr="00F130FE">
        <w:rPr>
          <w:rFonts w:asciiTheme="minorHAnsi" w:hAnsiTheme="minorHAnsi" w:cstheme="minorHAnsi"/>
        </w:rPr>
        <w:t>Fundamental differences arose mainly in the twentieth century source</w:t>
      </w:r>
      <w:r w:rsidR="003C17BE">
        <w:rPr>
          <w:rFonts w:asciiTheme="minorHAnsi" w:hAnsiTheme="minorHAnsi" w:cstheme="minorHAnsi"/>
        </w:rPr>
        <w:t xml:space="preserve">: </w:t>
      </w:r>
      <w:r w:rsidRPr="00F130FE">
        <w:rPr>
          <w:rFonts w:asciiTheme="minorHAnsi" w:hAnsiTheme="minorHAnsi" w:cstheme="minorHAnsi"/>
        </w:rPr>
        <w:t xml:space="preserve">the revived interest in the mythological stories of the </w:t>
      </w:r>
      <w:r w:rsidR="004309A4" w:rsidRPr="00F130FE">
        <w:rPr>
          <w:rFonts w:asciiTheme="minorHAnsi" w:hAnsiTheme="minorHAnsi" w:cstheme="minorHAnsi"/>
        </w:rPr>
        <w:t>gods and</w:t>
      </w:r>
      <w:r w:rsidR="00CB5651">
        <w:rPr>
          <w:rFonts w:asciiTheme="minorHAnsi" w:hAnsiTheme="minorHAnsi" w:cstheme="minorHAnsi"/>
        </w:rPr>
        <w:t xml:space="preserve"> </w:t>
      </w:r>
      <w:r w:rsidR="003C17BE">
        <w:rPr>
          <w:rFonts w:asciiTheme="minorHAnsi" w:hAnsiTheme="minorHAnsi" w:cstheme="minorHAnsi"/>
        </w:rPr>
        <w:t>use of</w:t>
      </w:r>
      <w:r w:rsidR="001222BC">
        <w:rPr>
          <w:rFonts w:asciiTheme="minorHAnsi" w:hAnsiTheme="minorHAnsi" w:cstheme="minorHAnsi"/>
        </w:rPr>
        <w:t xml:space="preserve"> astrology to illuminate inner </w:t>
      </w:r>
      <w:r w:rsidRPr="00F130FE">
        <w:rPr>
          <w:rFonts w:asciiTheme="minorHAnsi" w:hAnsiTheme="minorHAnsi" w:cstheme="minorHAnsi"/>
        </w:rPr>
        <w:t xml:space="preserve">psychological processes rather than physical </w:t>
      </w:r>
      <w:r w:rsidR="001222BC">
        <w:rPr>
          <w:rFonts w:asciiTheme="minorHAnsi" w:hAnsiTheme="minorHAnsi" w:cstheme="minorHAnsi"/>
        </w:rPr>
        <w:t>external fate</w:t>
      </w:r>
      <w:r w:rsidR="003C17BE">
        <w:rPr>
          <w:rFonts w:asciiTheme="minorHAnsi" w:hAnsiTheme="minorHAnsi" w:cstheme="minorHAnsi"/>
        </w:rPr>
        <w:t xml:space="preserve"> standing in marked contrast to the earlier approach</w:t>
      </w:r>
      <w:r w:rsidRPr="00F130FE">
        <w:rPr>
          <w:rFonts w:asciiTheme="minorHAnsi" w:hAnsiTheme="minorHAnsi" w:cstheme="minorHAnsi"/>
        </w:rPr>
        <w:t xml:space="preserve">. </w:t>
      </w:r>
    </w:p>
    <w:p w14:paraId="565ABDBB" w14:textId="722D8A32" w:rsidR="00AD56FB" w:rsidRDefault="00AD56FB" w:rsidP="00533FC6">
      <w:pPr>
        <w:spacing w:line="276" w:lineRule="auto"/>
        <w:rPr>
          <w:rFonts w:ascii="Arial" w:hAnsi="Arial" w:cs="Arial"/>
          <w:sz w:val="22"/>
          <w:szCs w:val="22"/>
        </w:rPr>
      </w:pPr>
    </w:p>
    <w:p w14:paraId="581B8325" w14:textId="3282FA55" w:rsidR="00AD56FB" w:rsidRDefault="00AD56FB" w:rsidP="00533FC6">
      <w:pPr>
        <w:spacing w:line="276" w:lineRule="auto"/>
        <w:rPr>
          <w:rFonts w:ascii="Arial" w:hAnsi="Arial" w:cs="Arial"/>
          <w:sz w:val="22"/>
          <w:szCs w:val="22"/>
        </w:rPr>
      </w:pPr>
    </w:p>
    <w:p w14:paraId="5BD0CA0E" w14:textId="73E46A94" w:rsidR="00AD56FB" w:rsidRDefault="00AD56FB" w:rsidP="00533FC6">
      <w:pPr>
        <w:spacing w:line="276" w:lineRule="auto"/>
        <w:rPr>
          <w:rFonts w:ascii="Arial" w:hAnsi="Arial" w:cs="Arial"/>
          <w:sz w:val="22"/>
          <w:szCs w:val="22"/>
        </w:rPr>
      </w:pPr>
    </w:p>
    <w:p w14:paraId="1CD99466" w14:textId="621EBE6E" w:rsidR="00AD56FB" w:rsidRDefault="00AD56FB" w:rsidP="00533FC6">
      <w:pPr>
        <w:spacing w:line="276" w:lineRule="auto"/>
        <w:rPr>
          <w:rFonts w:ascii="Arial" w:hAnsi="Arial" w:cs="Arial"/>
          <w:sz w:val="22"/>
          <w:szCs w:val="22"/>
        </w:rPr>
      </w:pPr>
    </w:p>
    <w:p w14:paraId="507C76B3" w14:textId="51E28AB7" w:rsidR="00AD56FB" w:rsidRDefault="00AD56FB" w:rsidP="00533FC6">
      <w:pPr>
        <w:spacing w:line="276" w:lineRule="auto"/>
        <w:rPr>
          <w:rFonts w:ascii="Arial" w:hAnsi="Arial" w:cs="Arial"/>
          <w:sz w:val="22"/>
          <w:szCs w:val="22"/>
        </w:rPr>
      </w:pPr>
    </w:p>
    <w:p w14:paraId="7AF07893" w14:textId="764EA765" w:rsidR="00AD56FB" w:rsidRDefault="00AD56FB" w:rsidP="00533FC6">
      <w:pPr>
        <w:spacing w:line="276" w:lineRule="auto"/>
        <w:rPr>
          <w:rFonts w:ascii="Arial" w:hAnsi="Arial" w:cs="Arial"/>
          <w:sz w:val="22"/>
          <w:szCs w:val="22"/>
        </w:rPr>
      </w:pPr>
    </w:p>
    <w:p w14:paraId="4278C19B" w14:textId="2DA83126" w:rsidR="00AD56FB" w:rsidRDefault="00AD56FB" w:rsidP="00533FC6">
      <w:pPr>
        <w:spacing w:line="276" w:lineRule="auto"/>
        <w:rPr>
          <w:rFonts w:ascii="Arial" w:hAnsi="Arial" w:cs="Arial"/>
          <w:sz w:val="22"/>
          <w:szCs w:val="22"/>
        </w:rPr>
      </w:pPr>
    </w:p>
    <w:p w14:paraId="0A0F4EEB" w14:textId="52459B2D" w:rsidR="00AD56FB" w:rsidRPr="00985C4D" w:rsidRDefault="002E7C23" w:rsidP="00533FC6">
      <w:pPr>
        <w:spacing w:line="276" w:lineRule="auto"/>
        <w:rPr>
          <w:rFonts w:ascii="Arial" w:hAnsi="Arial" w:cs="Arial"/>
          <w:b/>
          <w:bCs/>
          <w:sz w:val="22"/>
          <w:szCs w:val="22"/>
        </w:rPr>
      </w:pPr>
      <w:r w:rsidRPr="00985C4D">
        <w:rPr>
          <w:rFonts w:ascii="Arial" w:hAnsi="Arial" w:cs="Arial"/>
          <w:b/>
          <w:bCs/>
          <w:sz w:val="22"/>
          <w:szCs w:val="22"/>
        </w:rPr>
        <w:t>BIBLIOGRAPHY</w:t>
      </w:r>
    </w:p>
    <w:p w14:paraId="089DAE99" w14:textId="77777777" w:rsidR="00AD56FB" w:rsidRPr="00AD56FB" w:rsidRDefault="00AD56FB" w:rsidP="00533FC6">
      <w:pPr>
        <w:spacing w:line="276" w:lineRule="auto"/>
        <w:rPr>
          <w:rFonts w:ascii="Arial" w:hAnsi="Arial" w:cs="Arial"/>
          <w:sz w:val="22"/>
          <w:szCs w:val="22"/>
        </w:rPr>
      </w:pPr>
    </w:p>
    <w:p w14:paraId="6EDFBE9D" w14:textId="77777777" w:rsidR="00780BDF" w:rsidRPr="00780BDF" w:rsidRDefault="00AD56FB" w:rsidP="00780BDF">
      <w:pPr>
        <w:pStyle w:val="EndNoteCategoryHeading"/>
      </w:pPr>
      <w:r>
        <w:fldChar w:fldCharType="begin"/>
      </w:r>
      <w:r>
        <w:instrText xml:space="preserve"> ADDIN EN.REFLIST </w:instrText>
      </w:r>
      <w:r>
        <w:fldChar w:fldCharType="separate"/>
      </w:r>
      <w:r w:rsidR="00780BDF" w:rsidRPr="00780BDF">
        <w:t>Primary Sources</w:t>
      </w:r>
    </w:p>
    <w:p w14:paraId="3433BDB7" w14:textId="77777777" w:rsidR="00780BDF" w:rsidRPr="00780BDF" w:rsidRDefault="00780BDF" w:rsidP="00780BDF">
      <w:pPr>
        <w:pStyle w:val="EndNoteBibliography"/>
        <w:ind w:left="720" w:hanging="720"/>
      </w:pPr>
      <w:r w:rsidRPr="00780BDF">
        <w:t xml:space="preserve">Abū, Maʻshar, Keiji Yamamoto, Charles Burnett, David Pingree, Maʻshar Abū, Maʻshar Abū, and Maʻshar Abū. </w:t>
      </w:r>
      <w:r w:rsidRPr="00780BDF">
        <w:rPr>
          <w:i/>
        </w:rPr>
        <w:t>Abu Ma'sar, the Great Introduction to Astrology : The Arabic Original and English Translation</w:t>
      </w:r>
      <w:r w:rsidRPr="00780BDF">
        <w:t>. Leiden ; Boston: Brill,, 2019.</w:t>
      </w:r>
    </w:p>
    <w:p w14:paraId="255D33CA" w14:textId="77777777" w:rsidR="00780BDF" w:rsidRPr="00780BDF" w:rsidRDefault="00780BDF" w:rsidP="00780BDF">
      <w:pPr>
        <w:pStyle w:val="EndNoteBibliography"/>
        <w:ind w:left="720" w:hanging="720"/>
      </w:pPr>
      <w:r w:rsidRPr="00780BDF">
        <w:t xml:space="preserve">Greene, Liz, and Howard Sasportas. </w:t>
      </w:r>
      <w:r w:rsidRPr="00780BDF">
        <w:rPr>
          <w:i/>
        </w:rPr>
        <w:t>The Inner Planets : Building Blocks of Personal Reality.</w:t>
      </w:r>
      <w:r w:rsidRPr="00780BDF">
        <w:t xml:space="preserve"> Seminars in Psychological Astrology. York Beach, Me.: S. Weiser, 1993.</w:t>
      </w:r>
    </w:p>
    <w:p w14:paraId="0FA6E77B" w14:textId="77777777" w:rsidR="00780BDF" w:rsidRPr="00780BDF" w:rsidRDefault="00780BDF" w:rsidP="00780BDF">
      <w:pPr>
        <w:pStyle w:val="EndNoteBibliography"/>
        <w:ind w:left="720" w:hanging="720"/>
      </w:pPr>
      <w:r w:rsidRPr="00780BDF">
        <w:t xml:space="preserve">Ptolemy, and Frank Egleston Robbins. </w:t>
      </w:r>
      <w:r w:rsidRPr="00780BDF">
        <w:rPr>
          <w:i/>
        </w:rPr>
        <w:t>Tetrabiblos.</w:t>
      </w:r>
      <w:r w:rsidRPr="00780BDF">
        <w:t xml:space="preserve"> The Loeb Classical Library. Harvard university press, 1940.</w:t>
      </w:r>
    </w:p>
    <w:p w14:paraId="70ED8517" w14:textId="77777777" w:rsidR="00780BDF" w:rsidRPr="00780BDF" w:rsidRDefault="00780BDF" w:rsidP="00780BDF">
      <w:pPr>
        <w:pStyle w:val="EndNoteCategoryHeading"/>
      </w:pPr>
      <w:r w:rsidRPr="00780BDF">
        <w:t>Secondary Sources</w:t>
      </w:r>
    </w:p>
    <w:p w14:paraId="1D9CE5FA" w14:textId="77777777" w:rsidR="00780BDF" w:rsidRPr="00780BDF" w:rsidRDefault="00780BDF" w:rsidP="00780BDF">
      <w:pPr>
        <w:pStyle w:val="EndNoteBibliography"/>
        <w:ind w:left="720" w:hanging="720"/>
      </w:pPr>
      <w:r w:rsidRPr="00780BDF">
        <w:t xml:space="preserve">Bertman, Stephen. </w:t>
      </w:r>
      <w:r w:rsidRPr="00780BDF">
        <w:rPr>
          <w:i/>
        </w:rPr>
        <w:t>Handbook to Life in Ancient Mesopotamia.</w:t>
      </w:r>
      <w:r w:rsidRPr="00780BDF">
        <w:t xml:space="preserve"> New York ; Oxford: Oxford University Press, 2005.</w:t>
      </w:r>
    </w:p>
    <w:p w14:paraId="4B0F0E2A" w14:textId="77777777" w:rsidR="00780BDF" w:rsidRPr="00780BDF" w:rsidRDefault="00780BDF" w:rsidP="00780BDF">
      <w:pPr>
        <w:pStyle w:val="EndNoteBibliography"/>
        <w:ind w:left="720" w:hanging="720"/>
      </w:pPr>
      <w:r w:rsidRPr="00780BDF">
        <w:t xml:space="preserve">Brockbank, James. "Planetary Signification from the Second Century until the Present Day." </w:t>
      </w:r>
      <w:r w:rsidRPr="00780BDF">
        <w:rPr>
          <w:i/>
        </w:rPr>
        <w:t xml:space="preserve">Culture and Cosmos </w:t>
      </w:r>
      <w:r w:rsidRPr="00780BDF">
        <w:t>7, Autumn/Winter, no. 237-62 (2003).</w:t>
      </w:r>
    </w:p>
    <w:p w14:paraId="498ADEA5" w14:textId="77777777" w:rsidR="00780BDF" w:rsidRPr="00780BDF" w:rsidRDefault="00780BDF" w:rsidP="00780BDF">
      <w:pPr>
        <w:pStyle w:val="EndNoteBibliography"/>
        <w:ind w:left="720" w:hanging="720"/>
      </w:pPr>
      <w:r w:rsidRPr="00780BDF">
        <w:t xml:space="preserve">Burnett, Charles. "The Certitude of Astrology: The Scientific Methodology of Al-Qabīṣī and Abū Maʿshar." </w:t>
      </w:r>
      <w:r w:rsidRPr="00780BDF">
        <w:rPr>
          <w:i/>
        </w:rPr>
        <w:t xml:space="preserve">Early Science and Medicine </w:t>
      </w:r>
      <w:r w:rsidRPr="00780BDF">
        <w:t>7, no. 3 (2002): 198-213.</w:t>
      </w:r>
    </w:p>
    <w:p w14:paraId="2691FB93" w14:textId="77777777" w:rsidR="00780BDF" w:rsidRPr="00780BDF" w:rsidRDefault="00780BDF" w:rsidP="00780BDF">
      <w:pPr>
        <w:pStyle w:val="EndNoteBibliography"/>
        <w:ind w:left="720" w:hanging="720"/>
      </w:pPr>
      <w:r w:rsidRPr="00780BDF">
        <w:t xml:space="preserve">Campion, Nicholas. </w:t>
      </w:r>
      <w:r w:rsidRPr="00780BDF">
        <w:rPr>
          <w:i/>
        </w:rPr>
        <w:t>Astrology and Cosmology in the World's Religions.</w:t>
      </w:r>
      <w:r w:rsidRPr="00780BDF">
        <w:t xml:space="preserve"> New York: New York University Press, 2012.</w:t>
      </w:r>
    </w:p>
    <w:p w14:paraId="73242519" w14:textId="77777777" w:rsidR="00780BDF" w:rsidRPr="00780BDF" w:rsidRDefault="00780BDF" w:rsidP="00780BDF">
      <w:pPr>
        <w:pStyle w:val="EndNoteBibliography"/>
        <w:ind w:left="720" w:hanging="720"/>
      </w:pPr>
      <w:r w:rsidRPr="00780BDF">
        <w:t xml:space="preserve">———. </w:t>
      </w:r>
      <w:r w:rsidRPr="00780BDF">
        <w:rPr>
          <w:i/>
        </w:rPr>
        <w:t>The Dawn of Astrology: A Cultural History of Western Astrology.</w:t>
      </w:r>
      <w:r w:rsidRPr="00780BDF">
        <w:t xml:space="preserve"> London; New York: Continuum, 2008.</w:t>
      </w:r>
    </w:p>
    <w:p w14:paraId="19EF23AC" w14:textId="77777777" w:rsidR="00780BDF" w:rsidRPr="00780BDF" w:rsidRDefault="00780BDF" w:rsidP="00780BDF">
      <w:pPr>
        <w:pStyle w:val="EndNoteBibliography"/>
        <w:ind w:left="720" w:hanging="720"/>
      </w:pPr>
      <w:r w:rsidRPr="00780BDF">
        <w:t xml:space="preserve">Greene, Liz. </w:t>
      </w:r>
      <w:r w:rsidRPr="00780BDF">
        <w:rPr>
          <w:i/>
        </w:rPr>
        <w:t>Jung's Studies in Astrology : Prophecy, Magic, and the Qualities of Time.</w:t>
      </w:r>
      <w:r w:rsidRPr="00780BDF">
        <w:t xml:space="preserve"> 1st ed.: Routledge, 2018.</w:t>
      </w:r>
    </w:p>
    <w:p w14:paraId="44840A8B" w14:textId="77777777" w:rsidR="00780BDF" w:rsidRPr="00780BDF" w:rsidRDefault="00780BDF" w:rsidP="00780BDF">
      <w:pPr>
        <w:pStyle w:val="EndNoteBibliography"/>
        <w:ind w:left="720" w:hanging="720"/>
      </w:pPr>
      <w:r w:rsidRPr="00780BDF">
        <w:t xml:space="preserve">Komorowska, Joanna. "Philosophy among Astrologers." </w:t>
      </w:r>
      <w:r w:rsidRPr="00780BDF">
        <w:rPr>
          <w:i/>
        </w:rPr>
        <w:t xml:space="preserve">Culture &amp; Cosmos </w:t>
      </w:r>
      <w:r w:rsidRPr="00780BDF">
        <w:t>11, no. 1 and 2 (2007): 69-86.</w:t>
      </w:r>
    </w:p>
    <w:p w14:paraId="319F9748" w14:textId="77777777" w:rsidR="00780BDF" w:rsidRPr="00780BDF" w:rsidRDefault="00780BDF" w:rsidP="00780BDF">
      <w:pPr>
        <w:pStyle w:val="EndNoteBibliography"/>
        <w:ind w:left="720" w:hanging="720"/>
      </w:pPr>
      <w:r w:rsidRPr="00780BDF">
        <w:t>Moller, Violet. "The Map of Knowledge : How Classical Ideas Were Lost and Found : A History in Seven Cities." 2020.</w:t>
      </w:r>
    </w:p>
    <w:p w14:paraId="5E160883" w14:textId="77777777" w:rsidR="00780BDF" w:rsidRPr="00780BDF" w:rsidRDefault="00780BDF" w:rsidP="00780BDF">
      <w:pPr>
        <w:pStyle w:val="EndNoteBibliography"/>
        <w:ind w:left="720" w:hanging="720"/>
      </w:pPr>
      <w:r w:rsidRPr="00780BDF">
        <w:t xml:space="preserve">Pingree, David. </w:t>
      </w:r>
      <w:r w:rsidRPr="00780BDF">
        <w:rPr>
          <w:i/>
        </w:rPr>
        <w:t>From Astral Omens to Astrology : From Babylon to BīKāNer.</w:t>
      </w:r>
      <w:r w:rsidRPr="00780BDF">
        <w:t xml:space="preserve"> Serie Orientale Roma. Roma: Istituto italiano per l'Africa et l'Oriente : Distributed by Herder, International Book Centre, 1997.</w:t>
      </w:r>
    </w:p>
    <w:p w14:paraId="773C75D9" w14:textId="6268807C" w:rsidR="00170996" w:rsidRPr="00AD56FB" w:rsidRDefault="00AD56FB" w:rsidP="00533FC6">
      <w:pPr>
        <w:spacing w:line="276" w:lineRule="auto"/>
      </w:pPr>
      <w:r>
        <w:fldChar w:fldCharType="end"/>
      </w:r>
    </w:p>
    <w:sectPr w:rsidR="00170996" w:rsidRPr="00AD56F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3FC36" w14:textId="77777777" w:rsidR="00063F01" w:rsidRDefault="00063F01" w:rsidP="00350D44">
      <w:r>
        <w:separator/>
      </w:r>
    </w:p>
  </w:endnote>
  <w:endnote w:type="continuationSeparator" w:id="0">
    <w:p w14:paraId="2C2B393C" w14:textId="77777777" w:rsidR="00063F01" w:rsidRDefault="00063F01" w:rsidP="00350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9A6A0" w14:textId="77777777" w:rsidR="00063F01" w:rsidRDefault="00063F01" w:rsidP="00350D44">
      <w:r>
        <w:separator/>
      </w:r>
    </w:p>
  </w:footnote>
  <w:footnote w:type="continuationSeparator" w:id="0">
    <w:p w14:paraId="39B4932E" w14:textId="77777777" w:rsidR="00063F01" w:rsidRDefault="00063F01" w:rsidP="00350D44">
      <w:r>
        <w:continuationSeparator/>
      </w:r>
    </w:p>
  </w:footnote>
  <w:footnote w:id="1">
    <w:p w14:paraId="1D225497" w14:textId="2FB0B691" w:rsidR="00AD56FB" w:rsidRDefault="00AD56FB">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Frank Egleston Robbins, &lt;style face="italic"&gt;Tetrabiblos&lt;/style&gt;, The Loeb classical library, (Harvard university press, 1940).&lt;/DisplayText&gt;&lt;record&gt;&lt;rec-number&gt;355&lt;/rec-number&gt;&lt;foreign-keys&gt;&lt;key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Frank Egleston Robbins, </w:t>
      </w:r>
      <w:r w:rsidRPr="00AD56FB">
        <w:rPr>
          <w:i/>
          <w:noProof/>
        </w:rPr>
        <w:t>Tetrabiblos</w:t>
      </w:r>
      <w:r>
        <w:rPr>
          <w:noProof/>
        </w:rPr>
        <w:t>, The Loeb classical library, (Harvard university press, 1940).</w:t>
      </w:r>
      <w:r>
        <w:fldChar w:fldCharType="end"/>
      </w:r>
      <w:r>
        <w:t xml:space="preserve"> </w:t>
      </w:r>
      <w:r>
        <w:fldChar w:fldCharType="begin"/>
      </w:r>
      <w:r>
        <w:instrText xml:space="preserve"> ADDIN EN.CITE &lt;EndNote&gt;&lt;Cite&gt;&lt;Author&gt;Abū&lt;/Author&gt;&lt;Year&gt;2019&lt;/Year&gt;&lt;RecNum&gt;352&lt;/RecNum&gt;&lt;DisplayText&gt;Maʻshar Abū et al.,&lt;style face="italic"&gt; Abu Ma&amp;apos;sar, the Great introduction to astrology : the Arabic original and English translation&lt;/style&gt; (Leiden ; Boston: Brill,, 2019).&lt;/DisplayText&gt;&lt;record&gt;&lt;rec-number&gt;352&lt;/rec-number&gt;&lt;foreign-keys&gt;&lt;key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Maʻshar Abū et al.,</w:t>
      </w:r>
      <w:r w:rsidRPr="00AD56FB">
        <w:rPr>
          <w:i/>
          <w:noProof/>
        </w:rPr>
        <w:t xml:space="preserve"> Abu Ma'sar, the Great introduction to astrology : the Arabic original and English translation</w:t>
      </w:r>
      <w:r>
        <w:rPr>
          <w:noProof/>
        </w:rPr>
        <w:t xml:space="preserve"> (Leiden ; Boston: Brill,, 2019).</w:t>
      </w:r>
      <w:r>
        <w:fldChar w:fldCharType="end"/>
      </w:r>
      <w:r>
        <w:t xml:space="preserve"> </w:t>
      </w:r>
      <w:r>
        <w:fldChar w:fldCharType="begin"/>
      </w:r>
      <w:r>
        <w:instrText xml:space="preserve"> ADDIN EN.CITE &lt;EndNote&gt;&lt;Cite&gt;&lt;Author&gt;Greene&lt;/Author&gt;&lt;Year&gt;1993&lt;/Year&gt;&lt;RecNum&gt;354&lt;/RecNum&gt;&lt;DisplayText&gt;Liz Greene and Howard Sasportas, &lt;style face="italic"&gt;The inner planets : building blocks of personal reality&lt;/style&gt;, Seminars in psychological astrology, (York Beach, Me.: S. Weiser, 1993).&lt;/DisplayText&gt;&lt;record&gt;&lt;rec-number&gt;354&lt;/rec-number&gt;&lt;foreign-keys&gt;&lt;key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Liz Greene and Howard Sasportas, </w:t>
      </w:r>
      <w:r w:rsidRPr="00AD56FB">
        <w:rPr>
          <w:i/>
          <w:noProof/>
        </w:rPr>
        <w:t>The inner planets : building blocks of personal reality</w:t>
      </w:r>
      <w:r>
        <w:rPr>
          <w:noProof/>
        </w:rPr>
        <w:t>, Seminars in psychological astrology, (York Beach, Me.: S. Weiser, 1993).</w:t>
      </w:r>
      <w:r>
        <w:fldChar w:fldCharType="end"/>
      </w:r>
    </w:p>
  </w:footnote>
  <w:footnote w:id="2">
    <w:p w14:paraId="5E715D89" w14:textId="6198F4DF" w:rsidR="00335B67" w:rsidRDefault="00335B67">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Robbins, &lt;style face="italic"&gt;Tetrabiblos&lt;/style&gt;.&lt;/DisplayText&gt;&lt;record&gt;&lt;rec-number&gt;355&lt;/rec-number&gt;&lt;foreign-keys&gt;&lt;key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Robbins, </w:t>
      </w:r>
      <w:r w:rsidRPr="00335B67">
        <w:rPr>
          <w:i/>
          <w:noProof/>
        </w:rPr>
        <w:t>Tetrabiblos</w:t>
      </w:r>
      <w:r>
        <w:rPr>
          <w:noProof/>
        </w:rPr>
        <w:t>.</w:t>
      </w:r>
      <w:r>
        <w:fldChar w:fldCharType="end"/>
      </w:r>
      <w:r>
        <w:t>p.xii.</w:t>
      </w:r>
    </w:p>
  </w:footnote>
  <w:footnote w:id="3">
    <w:p w14:paraId="091ECFDF" w14:textId="37CED527" w:rsidR="00C85FC3" w:rsidRDefault="00C85FC3">
      <w:pPr>
        <w:pStyle w:val="FootnoteText"/>
      </w:pPr>
      <w:r>
        <w:rPr>
          <w:rStyle w:val="FootnoteReference"/>
        </w:rPr>
        <w:footnoteRef/>
      </w:r>
      <w:r>
        <w:t xml:space="preserve"> </w:t>
      </w:r>
      <w:r>
        <w:fldChar w:fldCharType="begin"/>
      </w:r>
      <w:r>
        <w:instrText xml:space="preserve"> ADDIN EN.CITE &lt;EndNote&gt;&lt;Cite&gt;&lt;Author&gt;Moller&lt;/Author&gt;&lt;Year&gt;2020&lt;/Year&gt;&lt;RecNum&gt;364&lt;/RecNum&gt;&lt;DisplayText&gt;Violet Moller, &amp;quot;The map of knowledge : how classical ideas were lost and found : a history in seven cities,&amp;quot; (2020).&lt;/DisplayText&gt;&lt;record&gt;&lt;rec-number&gt;364&lt;/rec-number&gt;&lt;foreign-keys&gt;&lt;key app="EN" db-id="05f0xvf2wzrttxeraz8vwx210p5pt9wvtv0d" timestamp="1645480480" guid="bdb85daf-e6c4-4e9f-8435-1724171ccf52"&gt;364&lt;/key&gt;&lt;/foreign-keys&gt;&lt;ref-type name="Map"&gt;20&lt;/ref-type&gt;&lt;contributors&gt;&lt;authors&gt;&lt;author&gt;Moller, Violet&lt;/author&gt;&lt;/authors&gt;&lt;/contributors&gt;&lt;titles&gt;&lt;title&gt;The map of knowledge : how classical ideas were lost and found : a history in seven cities&lt;/title&gt;&lt;/titles&gt;&lt;keywords&gt;&lt;keyword&gt;Learning and scholarship Mediterranean Region History Medieval, 500-1500.&lt;/keyword&gt;&lt;keyword&gt;World history.&lt;/keyword&gt;&lt;keyword&gt;Civilization.&lt;/keyword&gt;&lt;/keywords&gt;&lt;dates&gt;&lt;year&gt;2020&lt;/year&gt;&lt;/dates&gt;&lt;isbn&gt;9781509829613 EPUB&amp;#xD;150982961X EPUB&lt;/isbn&gt;&lt;call-num&gt;001.2091822 23&amp;#xD;British Library HMNTS DRT ELD.DS.386736&lt;/call-num&gt;&lt;urls&gt;&lt;/urls&gt;&lt;/record&gt;&lt;/Cite&gt;&lt;/EndNote&gt;</w:instrText>
      </w:r>
      <w:r>
        <w:fldChar w:fldCharType="separate"/>
      </w:r>
      <w:r>
        <w:rPr>
          <w:noProof/>
        </w:rPr>
        <w:t>Violet Moller, "The map of knowledge : how classical ideas were lost and found : a history in seven cities," (2020).</w:t>
      </w:r>
      <w:r>
        <w:fldChar w:fldCharType="end"/>
      </w:r>
      <w:r>
        <w:t>p.15.</w:t>
      </w:r>
    </w:p>
  </w:footnote>
  <w:footnote w:id="4">
    <w:p w14:paraId="4D8CBB8A" w14:textId="26974E67" w:rsidR="008F3820" w:rsidRDefault="008F3820">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Robbins, &lt;style face="italic"&gt;Tetrabiblos&lt;/style&gt;.&lt;/DisplayText&gt;&lt;record&gt;&lt;rec-number&gt;355&lt;/rec-number&gt;&lt;foreign-keys&gt;&lt;key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Robbins, </w:t>
      </w:r>
      <w:r w:rsidRPr="008F3820">
        <w:rPr>
          <w:i/>
          <w:noProof/>
        </w:rPr>
        <w:t>Tetrabiblos</w:t>
      </w:r>
      <w:r>
        <w:rPr>
          <w:noProof/>
        </w:rPr>
        <w:t>.</w:t>
      </w:r>
      <w:r>
        <w:fldChar w:fldCharType="end"/>
      </w:r>
      <w:r>
        <w:t>p.35.</w:t>
      </w:r>
    </w:p>
  </w:footnote>
  <w:footnote w:id="5">
    <w:p w14:paraId="06662394" w14:textId="03678A54" w:rsidR="008F3820" w:rsidRDefault="008F3820">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Robbins, &lt;style face="italic"&gt;Tetrabiblos&lt;/style&gt;.&lt;/DisplayText&gt;&lt;record&gt;&lt;rec-number&gt;355&lt;/rec-number&gt;&lt;foreign-keys&gt;&lt;key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Robbins, </w:t>
      </w:r>
      <w:r w:rsidRPr="008F3820">
        <w:rPr>
          <w:i/>
          <w:noProof/>
        </w:rPr>
        <w:t>Tetrabiblos</w:t>
      </w:r>
      <w:r>
        <w:rPr>
          <w:noProof/>
        </w:rPr>
        <w:t>.</w:t>
      </w:r>
      <w:r>
        <w:fldChar w:fldCharType="end"/>
      </w:r>
      <w:r>
        <w:t>p.3.</w:t>
      </w:r>
    </w:p>
  </w:footnote>
  <w:footnote w:id="6">
    <w:p w14:paraId="3501AD38" w14:textId="74C21FF7" w:rsidR="008F3820" w:rsidRDefault="008F3820">
      <w:pPr>
        <w:pStyle w:val="FootnoteText"/>
      </w:pPr>
      <w:r>
        <w:rPr>
          <w:rStyle w:val="FootnoteReference"/>
        </w:rPr>
        <w:footnoteRef/>
      </w:r>
      <w:r>
        <w:t xml:space="preserve"> </w:t>
      </w:r>
      <w:r>
        <w:fldChar w:fldCharType="begin"/>
      </w:r>
      <w:r>
        <w:instrText xml:space="preserve"> ADDIN EN.CITE &lt;EndNote&gt;&lt;Cite&gt;&lt;Author&gt;Brockbank&lt;/Author&gt;&lt;Year&gt;2003&lt;/Year&gt;&lt;RecNum&gt;362&lt;/RecNum&gt;&lt;DisplayText&gt;James Brockbank, &amp;quot;Planetary Signification from the Second Century until the Present Day,&amp;quot; &lt;style face="italic"&gt;Culture and Cosmos&lt;/style&gt; 7, Autumn/Winter, no. 237-62 (2003).&lt;/DisplayText&gt;&lt;record&gt;&lt;rec-number&gt;362&lt;/rec-number&gt;&lt;foreign-keys&gt;&lt;key app="EN" db-id="05f0xvf2wzrttxeraz8vwx210p5pt9wvtv0d" timestamp="1645388365" guid="4d5cb1ea-3cf5-4f9a-9657-b1939cedd678"&gt;362&lt;/key&gt;&lt;/foreign-keys&gt;&lt;ref-type name="Journal Article"&gt;17&lt;/ref-type&gt;&lt;contributors&gt;&lt;authors&gt;&lt;author&gt;Brockbank, James&lt;/author&gt;&lt;/authors&gt;&lt;/contributors&gt;&lt;titles&gt;&lt;title&gt;Planetary Signification from the Second Century until the Present Day&lt;/title&gt;&lt;secondary-title&gt;Culture and Cosmos&lt;/secondary-title&gt;&lt;/titles&gt;&lt;periodical&gt;&lt;full-title&gt;Culture and Cosmos&lt;/full-title&gt;&lt;/periodical&gt;&lt;volume&gt;7&lt;/volume&gt;&lt;number&gt;237-62&lt;/number&gt;&lt;num-vols&gt;Autumn/Winter&lt;/num-vols&gt;&lt;dates&gt;&lt;year&gt;2003&lt;/year&gt;&lt;/dates&gt;&lt;urls&gt;&lt;/urls&gt;&lt;/record&gt;&lt;/Cite&gt;&lt;/EndNote&gt;</w:instrText>
      </w:r>
      <w:r>
        <w:fldChar w:fldCharType="separate"/>
      </w:r>
      <w:r>
        <w:rPr>
          <w:noProof/>
        </w:rPr>
        <w:t xml:space="preserve">James Brockbank, "Planetary Signification from the Second Century until the Present Day," </w:t>
      </w:r>
      <w:r w:rsidRPr="008F3820">
        <w:rPr>
          <w:i/>
          <w:noProof/>
        </w:rPr>
        <w:t>Culture and Cosmos</w:t>
      </w:r>
      <w:r>
        <w:rPr>
          <w:noProof/>
        </w:rPr>
        <w:t xml:space="preserve"> 7, Autumn/Winter, no. 237-62 (2003).</w:t>
      </w:r>
      <w:r>
        <w:fldChar w:fldCharType="end"/>
      </w:r>
      <w:r>
        <w:t>p.37.</w:t>
      </w:r>
    </w:p>
  </w:footnote>
  <w:footnote w:id="7">
    <w:p w14:paraId="341EA6EF" w14:textId="42E77430" w:rsidR="002E5B49" w:rsidRDefault="002E5B49">
      <w:pPr>
        <w:pStyle w:val="FootnoteText"/>
      </w:pPr>
      <w:r>
        <w:rPr>
          <w:rStyle w:val="FootnoteReference"/>
        </w:rPr>
        <w:footnoteRef/>
      </w:r>
      <w:r>
        <w:t xml:space="preserve"> </w:t>
      </w:r>
      <w:r>
        <w:fldChar w:fldCharType="begin"/>
      </w:r>
      <w:r>
        <w:instrText xml:space="preserve"> ADDIN EN.CITE &lt;EndNote&gt;&lt;Cite&gt;&lt;Author&gt;Campion&lt;/Author&gt;&lt;Year&gt;2012&lt;/Year&gt;&lt;RecNum&gt;367&lt;/RecNum&gt;&lt;DisplayText&gt;Nicholas Campion, &lt;style face="italic"&gt;Astrology and cosmology in the world&amp;apos;s religions&lt;/style&gt; (New York: New York University Press, 2012).&lt;/DisplayText&gt;&lt;record&gt;&lt;rec-number&gt;367&lt;/rec-number&gt;&lt;foreign-keys&gt;&lt;key app="EN" db-id="05f0xvf2wzrttxeraz8vwx210p5pt9wvtv0d" timestamp="1645648678" guid="c1a1ee44-42ac-41c2-a020-3a45a31953e0"&gt;367&lt;/key&gt;&lt;/foreign-keys&gt;&lt;ref-type name="Book"&gt;6&lt;/ref-type&gt;&lt;contributors&gt;&lt;authors&gt;&lt;author&gt;Campion, Nicholas&lt;/author&gt;&lt;/authors&gt;&lt;/contributors&gt;&lt;titles&gt;&lt;title&gt;Astrology and cosmology in the world&amp;apos;s religions&lt;/title&gt;&lt;/titles&gt;&lt;pages&gt;ix, 273 p.&lt;/pages&gt;&lt;keywords&gt;&lt;keyword&gt;Astrology.&lt;/keyword&gt;&lt;keyword&gt;Cosmology.&lt;/keyword&gt;&lt;keyword&gt;Religions.&lt;/keyword&gt;&lt;keyword&gt;Religion.&lt;/keyword&gt;&lt;/keywords&gt;&lt;dates&gt;&lt;year&gt;2012&lt;/year&gt;&lt;/dates&gt;&lt;pub-location&gt;New York&lt;/pub-location&gt;&lt;publisher&gt;New York University Press&lt;/publisher&gt;&lt;isbn&gt;9780814717134 (cl alk. paper)&amp;#xD;0814717136 (cl alk. paper)&amp;#xD;9780814717141 (pb alk. paper)&amp;#xD;0814717144 (pb alk. paper)&amp;#xD;9780814708422 (ebook)&amp;#xD;0814708420 (ebook)&amp;#xD;9780814744451 (ebook)&amp;#xD;0814744451 (ebook)&lt;/isbn&gt;&lt;accession-num&gt;17215755&lt;/accession-num&gt;&lt;call-num&gt;BF1729.R4 C355 2012&lt;/call-num&gt;&lt;urls&gt;&lt;/urls&gt;&lt;/record&gt;&lt;/Cite&gt;&lt;/EndNote&gt;</w:instrText>
      </w:r>
      <w:r>
        <w:fldChar w:fldCharType="separate"/>
      </w:r>
      <w:r>
        <w:rPr>
          <w:noProof/>
        </w:rPr>
        <w:t xml:space="preserve">Nicholas Campion, </w:t>
      </w:r>
      <w:r w:rsidRPr="002E5B49">
        <w:rPr>
          <w:i/>
          <w:noProof/>
        </w:rPr>
        <w:t>Astrology and cosmology in the world's religions</w:t>
      </w:r>
      <w:r>
        <w:rPr>
          <w:noProof/>
        </w:rPr>
        <w:t xml:space="preserve"> (New York: New York University Press, 2012).</w:t>
      </w:r>
      <w:r>
        <w:fldChar w:fldCharType="end"/>
      </w:r>
      <w:r>
        <w:t>p.174.</w:t>
      </w:r>
    </w:p>
  </w:footnote>
  <w:footnote w:id="8">
    <w:p w14:paraId="510F0FFA" w14:textId="1F243B88" w:rsidR="00573CCE" w:rsidRDefault="00573CCE">
      <w:pPr>
        <w:pStyle w:val="FootnoteText"/>
      </w:pPr>
      <w:r>
        <w:rPr>
          <w:rStyle w:val="FootnoteReference"/>
        </w:rPr>
        <w:footnoteRef/>
      </w:r>
      <w:r>
        <w:t xml:space="preserve"> </w:t>
      </w:r>
      <w:r>
        <w:fldChar w:fldCharType="begin"/>
      </w:r>
      <w:r>
        <w:instrText xml:space="preserve"> ADDIN EN.CITE &lt;EndNote&gt;&lt;Cite&gt;&lt;Author&gt;Moller&lt;/Author&gt;&lt;Year&gt;2020&lt;/Year&gt;&lt;RecNum&gt;364&lt;/RecNum&gt;&lt;DisplayText&gt;Moller, &amp;quot;The map of knowledge : how classical ideas were lost and found : a history in seven cities.&amp;quot;&lt;/DisplayText&gt;&lt;record&gt;&lt;rec-number&gt;364&lt;/rec-number&gt;&lt;foreign-keys&gt;&lt;key app="EN" db-id="05f0xvf2wzrttxeraz8vwx210p5pt9wvtv0d" timestamp="1645480480" guid="bdb85daf-e6c4-4e9f-8435-1724171ccf52"&gt;364&lt;/key&gt;&lt;/foreign-keys&gt;&lt;ref-type name="Map"&gt;20&lt;/ref-type&gt;&lt;contributors&gt;&lt;authors&gt;&lt;author&gt;Moller, Violet&lt;/author&gt;&lt;/authors&gt;&lt;/contributors&gt;&lt;titles&gt;&lt;title&gt;The map of knowledge : how classical ideas were lost and found : a history in seven cities&lt;/title&gt;&lt;/titles&gt;&lt;keywords&gt;&lt;keyword&gt;Learning and scholarship Mediterranean Region History Medieval, 500-1500.&lt;/keyword&gt;&lt;keyword&gt;World history.&lt;/keyword&gt;&lt;keyword&gt;Civilization.&lt;/keyword&gt;&lt;/keywords&gt;&lt;dates&gt;&lt;year&gt;2020&lt;/year&gt;&lt;/dates&gt;&lt;isbn&gt;9781509829613 EPUB&amp;#xD;150982961X EPUB&lt;/isbn&gt;&lt;call-num&gt;001.2091822 23&amp;#xD;British Library HMNTS DRT ELD.DS.386736&lt;/call-num&gt;&lt;urls&gt;&lt;/urls&gt;&lt;/record&gt;&lt;/Cite&gt;&lt;/EndNote&gt;</w:instrText>
      </w:r>
      <w:r>
        <w:fldChar w:fldCharType="separate"/>
      </w:r>
      <w:r>
        <w:rPr>
          <w:noProof/>
        </w:rPr>
        <w:t>Moller, "The map of knowledge : how classical ideas were lost and found : a history in seven cities."</w:t>
      </w:r>
      <w:r>
        <w:fldChar w:fldCharType="end"/>
      </w:r>
      <w:r>
        <w:t>.p.49.</w:t>
      </w:r>
    </w:p>
  </w:footnote>
  <w:footnote w:id="9">
    <w:p w14:paraId="59557447" w14:textId="3AA6AA1E" w:rsidR="00A85E3E" w:rsidRDefault="00A85E3E">
      <w:pPr>
        <w:pStyle w:val="FootnoteText"/>
      </w:pPr>
      <w:r>
        <w:rPr>
          <w:rStyle w:val="FootnoteReference"/>
        </w:rPr>
        <w:footnoteRef/>
      </w:r>
      <w:r>
        <w:t xml:space="preserve">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A85E3E">
        <w:rPr>
          <w:i/>
          <w:noProof/>
        </w:rPr>
        <w:t>Abu Ma'sar, the Great introduction to astrology : the Arabic original and English translation</w:t>
      </w:r>
      <w:r>
        <w:rPr>
          <w:noProof/>
        </w:rPr>
        <w:t>.</w:t>
      </w:r>
      <w:r>
        <w:fldChar w:fldCharType="end"/>
      </w:r>
      <w:r>
        <w:t>p.4.</w:t>
      </w:r>
    </w:p>
  </w:footnote>
  <w:footnote w:id="10">
    <w:p w14:paraId="5E982DD6" w14:textId="77777777" w:rsidR="00D51E9C" w:rsidRDefault="00D51E9C" w:rsidP="00D51E9C">
      <w:pPr>
        <w:pStyle w:val="FootnoteText"/>
      </w:pPr>
      <w:r>
        <w:rPr>
          <w:rStyle w:val="FootnoteReference"/>
        </w:rPr>
        <w:footnoteRef/>
      </w:r>
      <w:r>
        <w:t xml:space="preserve"> </w:t>
      </w:r>
      <w:r>
        <w:fldChar w:fldCharType="begin"/>
      </w:r>
      <w:r>
        <w:instrText xml:space="preserve"> ADDIN EN.CITE &lt;EndNote&gt;&lt;Cite&gt;&lt;Author&gt;Burnett&lt;/Author&gt;&lt;Year&gt;2002&lt;/Year&gt;&lt;RecNum&gt;360&lt;/RecNum&gt;&lt;DisplayText&gt;Charles Burnett, &amp;quot;The Certitude of Astrology: The Scientific Methodology of al-Qabīṣī and abū Maʿshar,&amp;quot; &lt;style face="italic"&gt;Early Science and Medicine&lt;/style&gt; 7, no. 3 (2002).&lt;/DisplayText&gt;&lt;record&gt;&lt;rec-number&gt;360&lt;/rec-number&gt;&lt;foreign-keys&gt;&lt;key app="EN" db-id="05f0xvf2wzrttxeraz8vwx210p5pt9wvtv0d" timestamp="1645305767" guid="8ad95e0c-d2b1-4caa-8865-3dd98cf003fa"&gt;360&lt;/key&gt;&lt;/foreign-keys&gt;&lt;ref-type name="Journal Article"&gt;17&lt;/ref-type&gt;&lt;contributors&gt;&lt;authors&gt;&lt;author&gt;Burnett, Charles&lt;/author&gt;&lt;/authors&gt;&lt;/contributors&gt;&lt;titles&gt;&lt;title&gt;The Certitude of Astrology: The Scientific Methodology of al-Qabīṣī and abū Maʿshar&lt;/title&gt;&lt;secondary-title&gt;Early Science and Medicine&lt;/secondary-title&gt;&lt;/titles&gt;&lt;periodical&gt;&lt;full-title&gt;Early Science and Medicine&lt;/full-title&gt;&lt;/periodical&gt;&lt;pages&gt;198-213&lt;/pages&gt;&lt;volume&gt;7&lt;/volume&gt;&lt;number&gt;3&lt;/number&gt;&lt;dates&gt;&lt;year&gt;2002&lt;/year&gt;&lt;/dates&gt;&lt;publisher&gt;Brill&lt;/publisher&gt;&lt;isbn&gt;13837427&lt;/isbn&gt;&lt;urls&gt;&lt;/urls&gt;&lt;custom1&gt;Full publication date: 2002&lt;/custom1&gt;&lt;remote-database-name&gt;JSTOR&lt;/remote-database-name&gt;&lt;access-date&gt;2022/02/19/&lt;/access-date&gt;&lt;/record&gt;&lt;/Cite&gt;&lt;/EndNote&gt;</w:instrText>
      </w:r>
      <w:r>
        <w:fldChar w:fldCharType="separate"/>
      </w:r>
      <w:r>
        <w:rPr>
          <w:noProof/>
        </w:rPr>
        <w:t xml:space="preserve">Charles Burnett, "The Certitude of Astrology: The Scientific Methodology of al-Qabīṣī and abū Maʿshar," </w:t>
      </w:r>
      <w:r w:rsidRPr="008F0B6C">
        <w:rPr>
          <w:i/>
          <w:noProof/>
        </w:rPr>
        <w:t>Early Science and Medicine</w:t>
      </w:r>
      <w:r>
        <w:rPr>
          <w:noProof/>
        </w:rPr>
        <w:t xml:space="preserve"> 7, no. 3 (2002).</w:t>
      </w:r>
      <w:r>
        <w:fldChar w:fldCharType="end"/>
      </w:r>
      <w:r>
        <w:t>p.212.</w:t>
      </w:r>
    </w:p>
  </w:footnote>
  <w:footnote w:id="11">
    <w:p w14:paraId="47A55CD2" w14:textId="3986FA39" w:rsidR="009C1BE1" w:rsidRDefault="009C1BE1">
      <w:pPr>
        <w:pStyle w:val="FootnoteText"/>
      </w:pPr>
      <w:r>
        <w:rPr>
          <w:rStyle w:val="FootnoteReference"/>
        </w:rPr>
        <w:footnoteRef/>
      </w:r>
      <w:r>
        <w:t xml:space="preserve">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9C1BE1">
        <w:rPr>
          <w:i/>
          <w:noProof/>
        </w:rPr>
        <w:t>Abu Ma'sar, the Great introduction to astrology : the Arabic original and English translation</w:t>
      </w:r>
      <w:r>
        <w:rPr>
          <w:noProof/>
        </w:rPr>
        <w:t>.</w:t>
      </w:r>
      <w:r>
        <w:fldChar w:fldCharType="end"/>
      </w:r>
      <w:r>
        <w:t>p.347.</w:t>
      </w:r>
    </w:p>
  </w:footnote>
  <w:footnote w:id="12">
    <w:p w14:paraId="3D1BC57D" w14:textId="044F68B4" w:rsidR="0096248E" w:rsidRDefault="0096248E">
      <w:pPr>
        <w:pStyle w:val="FootnoteText"/>
      </w:pPr>
      <w:r>
        <w:rPr>
          <w:rStyle w:val="FootnoteReference"/>
        </w:rPr>
        <w:footnoteRef/>
      </w:r>
      <w:r>
        <w:t xml:space="preserve"> </w:t>
      </w:r>
      <w:r>
        <w:fldChar w:fldCharType="begin"/>
      </w:r>
      <w:r w:rsidR="00780BDF">
        <w:instrText xml:space="preserve"> ADDIN EN.CITE &lt;EndNote&gt;&lt;Cite&gt;&lt;Author&gt;Greene&lt;/Author&gt;&lt;Year&gt;2018&lt;/Year&gt;&lt;RecNum&gt;375&lt;/RecNum&gt;&lt;DisplayText&gt;Liz Greene, &lt;style face="italic"&gt;Jung&amp;apos;s Studies in Astrology : Prophecy, Magic, and the Qualities of Time&lt;/style&gt;, 1st ed. (Routledge, 2018).&lt;/DisplayText&gt;&lt;record&gt;&lt;rec-number&gt;375&lt;/rec-number&gt;&lt;foreign-keys&gt;&lt;key app="EN" db-id="05f0xvf2wzrttxeraz8vwx210p5pt9wvtv0d" timestamp="1646671406" guid="29988560-e6d1-448d-b986-c920b84b6ce6"&gt;375&lt;/key&gt;&lt;/foreign-keys&gt;&lt;ref-type name="Book"&gt;6&lt;/ref-type&gt;&lt;contributors&gt;&lt;authors&gt;&lt;author&gt;Greene, Liz&lt;/author&gt;&lt;/authors&gt;&lt;/contributors&gt;&lt;titles&gt;&lt;title&gt;Jung&amp;apos;s Studies in Astrology : Prophecy, Magic, and the Qualities of Time&lt;/title&gt;&lt;/titles&gt;&lt;edition&gt;1st&lt;/edition&gt;&lt;dates&gt;&lt;year&gt;2018&lt;/year&gt;&lt;/dates&gt;&lt;publisher&gt;Routledge&lt;/publisher&gt;&lt;isbn&gt;9781351972864 EPUB&amp;#xD;1351972863 EPUB&lt;/isbn&gt;&lt;call-num&gt;British Library HMNTS DRT ELD.DS.450080&lt;/call-num&gt;&lt;urls&gt;&lt;/urls&gt;&lt;/record&gt;&lt;/Cite&gt;&lt;/EndNote&gt;</w:instrText>
      </w:r>
      <w:r>
        <w:fldChar w:fldCharType="separate"/>
      </w:r>
      <w:r w:rsidR="00780BDF">
        <w:rPr>
          <w:noProof/>
        </w:rPr>
        <w:t xml:space="preserve">Liz Greene, </w:t>
      </w:r>
      <w:r w:rsidR="00780BDF" w:rsidRPr="00780BDF">
        <w:rPr>
          <w:i/>
          <w:noProof/>
        </w:rPr>
        <w:t>Jung's Studies in Astrology : Prophecy, Magic, and the Qualities of Time</w:t>
      </w:r>
      <w:r w:rsidR="00780BDF">
        <w:rPr>
          <w:noProof/>
        </w:rPr>
        <w:t>, 1st ed. (Routledge, 2018).</w:t>
      </w:r>
      <w:r>
        <w:fldChar w:fldCharType="end"/>
      </w:r>
      <w:r>
        <w:t>p.39.</w:t>
      </w:r>
    </w:p>
  </w:footnote>
  <w:footnote w:id="13">
    <w:p w14:paraId="41D4A8A6" w14:textId="6C4728B0" w:rsidR="0096248E" w:rsidRDefault="0096248E">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96248E">
        <w:rPr>
          <w:i/>
          <w:noProof/>
        </w:rPr>
        <w:t>The inner planets : building blocks of personal reality</w:t>
      </w:r>
      <w:r>
        <w:rPr>
          <w:noProof/>
        </w:rPr>
        <w:t>.</w:t>
      </w:r>
      <w:r>
        <w:fldChar w:fldCharType="end"/>
      </w:r>
      <w:r>
        <w:t>p.viii.</w:t>
      </w:r>
    </w:p>
  </w:footnote>
  <w:footnote w:id="14">
    <w:p w14:paraId="780697F0" w14:textId="3EA61CD7" w:rsidR="00611A50" w:rsidRDefault="00611A50">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611A50">
        <w:rPr>
          <w:i/>
          <w:noProof/>
        </w:rPr>
        <w:t>The inner planets : building blocks of personal reality</w:t>
      </w:r>
      <w:r>
        <w:rPr>
          <w:noProof/>
        </w:rPr>
        <w:t>.</w:t>
      </w:r>
      <w:r>
        <w:fldChar w:fldCharType="end"/>
      </w:r>
      <w:r>
        <w:t>p.vii.</w:t>
      </w:r>
    </w:p>
  </w:footnote>
  <w:footnote w:id="15">
    <w:p w14:paraId="616A7B0E" w14:textId="2C84EC8E" w:rsidR="00217694" w:rsidRDefault="00217694">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Robbins, &lt;style face="italic"&gt;Tetrabiblos&lt;/style&gt;.&lt;/DisplayText&gt;&lt;record&gt;&lt;rec-number&gt;355&lt;/rec-number&gt;&lt;foreign-keys&gt;&lt;key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Robbins, </w:t>
      </w:r>
      <w:r w:rsidRPr="00217694">
        <w:rPr>
          <w:i/>
          <w:noProof/>
        </w:rPr>
        <w:t>Tetrabiblos</w:t>
      </w:r>
      <w:r>
        <w:rPr>
          <w:noProof/>
        </w:rPr>
        <w:t>.</w:t>
      </w:r>
      <w:r>
        <w:fldChar w:fldCharType="end"/>
      </w:r>
      <w:r>
        <w:t>p.359.</w:t>
      </w:r>
    </w:p>
  </w:footnote>
  <w:footnote w:id="16">
    <w:p w14:paraId="04A9CD81" w14:textId="2CC2D1DB" w:rsidR="00C8537E" w:rsidRDefault="00C8537E">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Robbins, &lt;style face="italic"&gt;Tetrabiblos&lt;/style&gt;.&lt;/DisplayText&gt;&lt;record&gt;&lt;rec-number&gt;355&lt;/rec-number&gt;&lt;foreign-keys&gt;&lt;key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Robbins, </w:t>
      </w:r>
      <w:r w:rsidRPr="00C8537E">
        <w:rPr>
          <w:i/>
          <w:noProof/>
        </w:rPr>
        <w:t>Tetrabiblos</w:t>
      </w:r>
      <w:r>
        <w:rPr>
          <w:noProof/>
        </w:rPr>
        <w:t>.</w:t>
      </w:r>
      <w:r>
        <w:fldChar w:fldCharType="end"/>
      </w:r>
      <w:r>
        <w:t>p.39.</w:t>
      </w:r>
    </w:p>
  </w:footnote>
  <w:footnote w:id="17">
    <w:p w14:paraId="1756B94B" w14:textId="7755683D" w:rsidR="00AF42EC" w:rsidRDefault="00AF42EC">
      <w:pPr>
        <w:pStyle w:val="FootnoteText"/>
      </w:pPr>
      <w:r>
        <w:rPr>
          <w:rStyle w:val="FootnoteReference"/>
        </w:rPr>
        <w:footnoteRef/>
      </w:r>
      <w:r>
        <w:t xml:space="preserve"> </w:t>
      </w:r>
      <w:r>
        <w:fldChar w:fldCharType="begin"/>
      </w:r>
      <w:r>
        <w:instrText xml:space="preserve"> ADDIN EN.CITE &lt;EndNote&gt;&lt;Cite&gt;&lt;Author&gt;Komorowska&lt;/Author&gt;&lt;Year&gt;2007&lt;/Year&gt;&lt;RecNum&gt;366&lt;/RecNum&gt;&lt;DisplayText&gt;Joanna Komorowska, &amp;quot;Philosophy Among Astrologers,&amp;quot; &lt;style face="italic"&gt;Culture &amp;amp; Cosmos&lt;/style&gt; 11, no. 1 and 2 (2007).&lt;/DisplayText&gt;&lt;record&gt;&lt;rec-number&gt;366&lt;/rec-number&gt;&lt;foreign-keys&gt;&lt;key app="EN" db-id="05f0xvf2wzrttxeraz8vwx210p5pt9wvtv0d" timestamp="1645564590" guid="4e7f1c2a-c387-4e26-bcbc-8684d75f813e"&gt;366&lt;/key&gt;&lt;/foreign-keys&gt;&lt;ref-type name="Journal Article"&gt;17&lt;/ref-type&gt;&lt;contributors&gt;&lt;authors&gt;&lt;author&gt;Komorowska, Joanna&lt;/author&gt;&lt;/authors&gt;&lt;/contributors&gt;&lt;titles&gt;&lt;title&gt;Philosophy Among Astrologers&lt;/title&gt;&lt;secondary-title&gt;Culture &amp;amp; Cosmos&lt;/secondary-title&gt;&lt;/titles&gt;&lt;periodical&gt;&lt;full-title&gt;Culture &amp;amp; Cosmos&lt;/full-title&gt;&lt;/periodical&gt;&lt;pages&gt;69-86&lt;/pages&gt;&lt;volume&gt;11&lt;/volume&gt;&lt;number&gt;1 and 2&lt;/number&gt;&lt;dates&gt;&lt;year&gt;2007&lt;/year&gt;&lt;/dates&gt;&lt;urls&gt;&lt;/urls&gt;&lt;/record&gt;&lt;/Cite&gt;&lt;/EndNote&gt;</w:instrText>
      </w:r>
      <w:r>
        <w:fldChar w:fldCharType="separate"/>
      </w:r>
      <w:r>
        <w:rPr>
          <w:noProof/>
        </w:rPr>
        <w:t xml:space="preserve">Joanna Komorowska, "Philosophy Among Astrologers," </w:t>
      </w:r>
      <w:r w:rsidRPr="00AF42EC">
        <w:rPr>
          <w:i/>
          <w:noProof/>
        </w:rPr>
        <w:t>Culture &amp; Cosmos</w:t>
      </w:r>
      <w:r>
        <w:rPr>
          <w:noProof/>
        </w:rPr>
        <w:t xml:space="preserve"> 11, no. 1 and 2 (2007).</w:t>
      </w:r>
      <w:r>
        <w:fldChar w:fldCharType="end"/>
      </w:r>
      <w:r>
        <w:t>p.73.</w:t>
      </w:r>
    </w:p>
  </w:footnote>
  <w:footnote w:id="18">
    <w:p w14:paraId="6E1A012E" w14:textId="54E397FF" w:rsidR="00E24CB8" w:rsidRDefault="00E24CB8">
      <w:pPr>
        <w:pStyle w:val="FootnoteText"/>
      </w:pPr>
      <w:r>
        <w:rPr>
          <w:rStyle w:val="FootnoteReference"/>
        </w:rPr>
        <w:footnoteRef/>
      </w:r>
      <w:r>
        <w:t xml:space="preserve">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E24CB8">
        <w:rPr>
          <w:i/>
          <w:noProof/>
        </w:rPr>
        <w:t>Abu Ma'sar, the Great introduction to astrology : the Arabic original and English translation</w:t>
      </w:r>
      <w:r>
        <w:rPr>
          <w:noProof/>
        </w:rPr>
        <w:t>.</w:t>
      </w:r>
      <w:r>
        <w:fldChar w:fldCharType="end"/>
      </w:r>
      <w:r>
        <w:t>p.349.</w:t>
      </w:r>
    </w:p>
  </w:footnote>
  <w:footnote w:id="19">
    <w:p w14:paraId="7278E753" w14:textId="63DF7F72" w:rsidR="00B473CF" w:rsidRDefault="00B473CF">
      <w:pPr>
        <w:pStyle w:val="FootnoteText"/>
      </w:pPr>
      <w:r>
        <w:rPr>
          <w:rStyle w:val="FootnoteReference"/>
        </w:rPr>
        <w:footnoteRef/>
      </w:r>
      <w:r>
        <w:t xml:space="preserve">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B473CF">
        <w:rPr>
          <w:i/>
          <w:noProof/>
        </w:rPr>
        <w:t>Abu Ma'sar, the Great introduction to astrology : the Arabic original and English translation</w:t>
      </w:r>
      <w:r>
        <w:rPr>
          <w:noProof/>
        </w:rPr>
        <w:t>.</w:t>
      </w:r>
      <w:r>
        <w:fldChar w:fldCharType="end"/>
      </w:r>
      <w:r>
        <w:t>p.423.</w:t>
      </w:r>
    </w:p>
  </w:footnote>
  <w:footnote w:id="20">
    <w:p w14:paraId="62C0B648" w14:textId="0C65D635" w:rsidR="005F3ABF" w:rsidRDefault="005F3ABF">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5F3ABF">
        <w:rPr>
          <w:i/>
          <w:noProof/>
        </w:rPr>
        <w:t>The inner planets : building blocks of personal reality</w:t>
      </w:r>
      <w:r>
        <w:rPr>
          <w:noProof/>
        </w:rPr>
        <w:t>.</w:t>
      </w:r>
      <w:r>
        <w:fldChar w:fldCharType="end"/>
      </w:r>
      <w:r>
        <w:t>p.xx.</w:t>
      </w:r>
    </w:p>
  </w:footnote>
  <w:footnote w:id="21">
    <w:p w14:paraId="68B205BA" w14:textId="29C5BDE0" w:rsidR="0046465D" w:rsidRDefault="0046465D">
      <w:pPr>
        <w:pStyle w:val="FootnoteText"/>
      </w:pPr>
      <w:r>
        <w:rPr>
          <w:rStyle w:val="FootnoteReference"/>
        </w:rPr>
        <w:footnoteRef/>
      </w:r>
      <w:r>
        <w:t xml:space="preserve"> </w:t>
      </w:r>
      <w:r>
        <w:fldChar w:fldCharType="begin"/>
      </w:r>
      <w:r>
        <w:instrText xml:space="preserve"> ADDIN EN.CITE &lt;EndNote&gt;&lt;Cite&gt;&lt;Author&gt;Pingree&lt;/Author&gt;&lt;Year&gt;1997&lt;/Year&gt;&lt;RecNum&gt;351&lt;/RecNum&gt;&lt;DisplayText&gt;David Pingree, &lt;style face="italic"&gt;From astral omens to astrology : from Babylon to Bīkāner&lt;/style&gt;, Serie orientale Roma, (Roma: Istituto italiano per l&amp;apos;Africa et l&amp;apos;Oriente : Distributed by Herder, International Book Centre, 1997).&lt;/DisplayText&gt;&lt;record&gt;&lt;rec-number&gt;351&lt;/rec-number&gt;&lt;foreign-keys&gt;&lt;key app="EN" db-id="05f0xvf2wzrttxeraz8vwx210p5pt9wvtv0d" timestamp="1645047202" guid="ad41cd04-cdf1-412b-a161-7297fd9842bc"&gt;351&lt;/key&gt;&lt;/foreign-keys&gt;&lt;ref-type name="Book"&gt;6&lt;/ref-type&gt;&lt;contributors&gt;&lt;authors&gt;&lt;author&gt;Pingree, David&lt;/author&gt;&lt;/authors&gt;&lt;/contributors&gt;&lt;titles&gt;&lt;title&gt;From astral omens to astrology : from Babylon to Bīkāner&lt;/title&gt;&lt;secondary-title&gt;Serie orientale Roma&lt;/secondary-title&gt;&lt;/titles&gt;&lt;pages&gt;125 p.&lt;/pages&gt;&lt;number&gt;78&lt;/number&gt;&lt;keywords&gt;&lt;keyword&gt;Astrology History.&lt;/keyword&gt;&lt;keyword&gt;Divination History.&lt;/keyword&gt;&lt;/keywords&gt;&lt;dates&gt;&lt;year&gt;1997&lt;/year&gt;&lt;/dates&gt;&lt;pub-location&gt;Roma&lt;/pub-location&gt;&lt;publisher&gt;Istituto italiano per l&amp;apos;Africa et l&amp;apos;Oriente : Distributed by Herder, International Book Centre&lt;/publisher&gt;&lt;accession-num&gt;136204&lt;/accession-num&gt;&lt;call-num&gt;BF1671 .P56 1997&lt;/call-num&gt;&lt;urls&gt;&lt;/urls&gt;&lt;language&gt;English text; indexes in Akkadian, Arabic, Greek, Latin, Pahlavi, Persian, Sanskrit, and Sumerian.&lt;/language&gt;&lt;/record&gt;&lt;/Cite&gt;&lt;/EndNote&gt;</w:instrText>
      </w:r>
      <w:r>
        <w:fldChar w:fldCharType="separate"/>
      </w:r>
      <w:r>
        <w:rPr>
          <w:noProof/>
        </w:rPr>
        <w:t xml:space="preserve">David Pingree, </w:t>
      </w:r>
      <w:r w:rsidRPr="0046465D">
        <w:rPr>
          <w:i/>
          <w:noProof/>
        </w:rPr>
        <w:t>From astral omens to astrology : from Babylon to Bīkāner</w:t>
      </w:r>
      <w:r>
        <w:rPr>
          <w:noProof/>
        </w:rPr>
        <w:t>, Serie orientale Roma, (Roma: Istituto italiano per l'Africa et l'Oriente : Distributed by Herder, International Book Centre, 1997).</w:t>
      </w:r>
      <w:r>
        <w:fldChar w:fldCharType="end"/>
      </w:r>
      <w:r>
        <w:t>p.27.</w:t>
      </w:r>
    </w:p>
  </w:footnote>
  <w:footnote w:id="22">
    <w:p w14:paraId="0651CE49" w14:textId="33675CCA" w:rsidR="00704D9D" w:rsidRDefault="00704D9D">
      <w:pPr>
        <w:pStyle w:val="FootnoteText"/>
      </w:pPr>
      <w:r>
        <w:rPr>
          <w:rStyle w:val="FootnoteReference"/>
        </w:rPr>
        <w:footnoteRef/>
      </w:r>
      <w:r>
        <w:t xml:space="preserve"> </w:t>
      </w:r>
      <w:r>
        <w:fldChar w:fldCharType="begin"/>
      </w:r>
      <w:r>
        <w:instrText xml:space="preserve"> ADDIN EN.CITE &lt;EndNote&gt;&lt;Cite&gt;&lt;Author&gt;Bertman&lt;/Author&gt;&lt;Year&gt;2005&lt;/Year&gt;&lt;RecNum&gt;371&lt;/RecNum&gt;&lt;DisplayText&gt;Stephen Bertman, &lt;style face="italic"&gt;Handbook to life in ancient Mesopotamia&lt;/style&gt; (New York ; Oxford: Oxford University Press, 2005).&lt;/DisplayText&gt;&lt;record&gt;&lt;rec-number&gt;371&lt;/rec-number&gt;&lt;foreign-keys&gt;&lt;key app="EN" db-id="05f0xvf2wzrttxeraz8vwx210p5pt9wvtv0d" timestamp="1646258129" guid="56bd3a13-b89c-46e3-85bc-65a476c7ae68"&gt;371&lt;/key&gt;&lt;/foreign-keys&gt;&lt;ref-type name="Book"&gt;6&lt;/ref-type&gt;&lt;contributors&gt;&lt;authors&gt;&lt;author&gt;Bertman, Stephen&lt;/author&gt;&lt;/authors&gt;&lt;/contributors&gt;&lt;titles&gt;&lt;title&gt;Handbook to life in ancient Mesopotamia&lt;/title&gt;&lt;/titles&gt;&lt;keywords&gt;&lt;keyword&gt;Iraq Civilization To 634.&lt;/keyword&gt;&lt;/keywords&gt;&lt;dates&gt;&lt;year&gt;2005&lt;/year&gt;&lt;/dates&gt;&lt;pub-location&gt;New York ; Oxford&lt;/pub-location&gt;&lt;publisher&gt;Oxford University Press&lt;/publisher&gt;&lt;isbn&gt;9780195183641 (pbk.) : ¹11.99&amp;#xD;0195183649 (pbk.) : ¹11.99&lt;/isbn&gt;&lt;call-num&gt;935 22&amp;#xD;British Library HMNTS YC.2005.a.11366&lt;/call-num&gt;&lt;urls&gt;&lt;/urls&gt;&lt;/record&gt;&lt;/Cite&gt;&lt;/EndNote&gt;</w:instrText>
      </w:r>
      <w:r>
        <w:fldChar w:fldCharType="separate"/>
      </w:r>
      <w:r>
        <w:rPr>
          <w:noProof/>
        </w:rPr>
        <w:t xml:space="preserve">Stephen Bertman, </w:t>
      </w:r>
      <w:r w:rsidRPr="00704D9D">
        <w:rPr>
          <w:i/>
          <w:noProof/>
        </w:rPr>
        <w:t>Handbook to life in ancient Mesopotamia</w:t>
      </w:r>
      <w:r>
        <w:rPr>
          <w:noProof/>
        </w:rPr>
        <w:t xml:space="preserve"> (New York ; Oxford: Oxford University Press, 2005).</w:t>
      </w:r>
      <w:r>
        <w:fldChar w:fldCharType="end"/>
      </w:r>
      <w:r>
        <w:t>p.22.</w:t>
      </w:r>
    </w:p>
  </w:footnote>
  <w:footnote w:id="23">
    <w:p w14:paraId="2003C75D" w14:textId="0613DF93" w:rsidR="00D155BA" w:rsidRDefault="00D155BA">
      <w:pPr>
        <w:pStyle w:val="FootnoteText"/>
      </w:pPr>
      <w:r>
        <w:rPr>
          <w:rStyle w:val="FootnoteReference"/>
        </w:rPr>
        <w:footnoteRef/>
      </w:r>
      <w:r>
        <w:t xml:space="preserve">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D155BA">
        <w:rPr>
          <w:i/>
          <w:noProof/>
        </w:rPr>
        <w:t>Abu Ma'sar, the Great introduction to astrology : the Arabic original and English translation</w:t>
      </w:r>
      <w:r>
        <w:rPr>
          <w:noProof/>
        </w:rPr>
        <w:t>.</w:t>
      </w:r>
      <w:r>
        <w:fldChar w:fldCharType="end"/>
      </w:r>
      <w:r>
        <w:t>p.389.</w:t>
      </w:r>
    </w:p>
  </w:footnote>
  <w:footnote w:id="24">
    <w:p w14:paraId="5ACBBA9D" w14:textId="2EE465D7" w:rsidR="000F4507" w:rsidRDefault="000F4507">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0F4507">
        <w:rPr>
          <w:i/>
          <w:noProof/>
        </w:rPr>
        <w:t>The inner planets : building blocks of personal reality</w:t>
      </w:r>
      <w:r>
        <w:rPr>
          <w:noProof/>
        </w:rPr>
        <w:t>.</w:t>
      </w:r>
      <w:r>
        <w:fldChar w:fldCharType="end"/>
      </w:r>
      <w:r>
        <w:t>p.33.</w:t>
      </w:r>
    </w:p>
  </w:footnote>
  <w:footnote w:id="25">
    <w:p w14:paraId="17987AD9" w14:textId="6C41AF63" w:rsidR="00C3492F" w:rsidRDefault="00C3492F">
      <w:pPr>
        <w:pStyle w:val="FootnoteText"/>
      </w:pPr>
      <w:r>
        <w:rPr>
          <w:rStyle w:val="FootnoteReference"/>
        </w:rPr>
        <w:footnoteRef/>
      </w:r>
      <w:r>
        <w:t xml:space="preserve"> </w:t>
      </w:r>
      <w:r>
        <w:fldChar w:fldCharType="begin"/>
      </w:r>
      <w:r w:rsidR="00780BDF">
        <w:instrText xml:space="preserve"> ADDIN EN.CITE &lt;EndNote&gt;&lt;Cite&gt;&lt;Author&gt;Greene&lt;/Author&gt;&lt;Year&gt;2018&lt;/Year&gt;&lt;RecNum&gt;375&lt;/RecNum&gt;&lt;DisplayText&gt;Greene, &lt;style face="italic"&gt;Jung&amp;apos;s Studies in Astrology : Prophecy, Magic, and the Qualities of Time&lt;/style&gt;.&lt;/DisplayText&gt;&lt;record&gt;&lt;rec-number&gt;375&lt;/rec-number&gt;&lt;foreign-keys&gt;&lt;key app="EN" db-id="05f0xvf2wzrttxeraz8vwx210p5pt9wvtv0d" timestamp="1646671406" guid="29988560-e6d1-448d-b986-c920b84b6ce6"&gt;375&lt;/key&gt;&lt;/foreign-keys&gt;&lt;ref-type name="Book"&gt;6&lt;/ref-type&gt;&lt;contributors&gt;&lt;authors&gt;&lt;author&gt;Greene, Liz&lt;/author&gt;&lt;/authors&gt;&lt;/contributors&gt;&lt;titles&gt;&lt;title&gt;Jung&amp;apos;s Studies in Astrology : Prophecy, Magic, and the Qualities of Time&lt;/title&gt;&lt;/titles&gt;&lt;edition&gt;1st&lt;/edition&gt;&lt;dates&gt;&lt;year&gt;2018&lt;/year&gt;&lt;/dates&gt;&lt;publisher&gt;Routledge&lt;/publisher&gt;&lt;isbn&gt;9781351972864 EPUB&amp;#xD;1351972863 EPUB&lt;/isbn&gt;&lt;call-num&gt;British Library HMNTS DRT ELD.DS.450080&lt;/call-num&gt;&lt;urls&gt;&lt;/urls&gt;&lt;/record&gt;&lt;/Cite&gt;&lt;/EndNote&gt;</w:instrText>
      </w:r>
      <w:r>
        <w:fldChar w:fldCharType="separate"/>
      </w:r>
      <w:r w:rsidR="00780BDF">
        <w:rPr>
          <w:noProof/>
        </w:rPr>
        <w:t xml:space="preserve">Greene, </w:t>
      </w:r>
      <w:r w:rsidR="00780BDF" w:rsidRPr="00780BDF">
        <w:rPr>
          <w:i/>
          <w:noProof/>
        </w:rPr>
        <w:t>Jung's Studies in Astrology : Prophecy, Magic, and the Qualities of Time</w:t>
      </w:r>
      <w:r w:rsidR="00780BDF">
        <w:rPr>
          <w:noProof/>
        </w:rPr>
        <w:t>.</w:t>
      </w:r>
      <w:r>
        <w:fldChar w:fldCharType="end"/>
      </w:r>
      <w:r>
        <w:t>p.29.</w:t>
      </w:r>
    </w:p>
  </w:footnote>
  <w:footnote w:id="26">
    <w:p w14:paraId="02D5E06E" w14:textId="3D65295C" w:rsidR="00471D18" w:rsidRDefault="00471D18">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471D18">
        <w:rPr>
          <w:i/>
          <w:noProof/>
        </w:rPr>
        <w:t>The inner planets : building blocks of personal reality</w:t>
      </w:r>
      <w:r>
        <w:rPr>
          <w:noProof/>
        </w:rPr>
        <w:t>.</w:t>
      </w:r>
      <w:r>
        <w:fldChar w:fldCharType="end"/>
      </w:r>
      <w:r>
        <w:t xml:space="preserve">p.xvii.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471D18">
        <w:rPr>
          <w:i/>
          <w:noProof/>
        </w:rPr>
        <w:t>The inner planets : building blocks of personal reality</w:t>
      </w:r>
      <w:r>
        <w:rPr>
          <w:noProof/>
        </w:rPr>
        <w:t>.</w:t>
      </w:r>
      <w:r>
        <w:fldChar w:fldCharType="end"/>
      </w:r>
      <w:r>
        <w:t>p.6.</w:t>
      </w:r>
    </w:p>
  </w:footnote>
  <w:footnote w:id="27">
    <w:p w14:paraId="520640AD" w14:textId="3189EC1D" w:rsidR="00A21F1B" w:rsidRDefault="00A21F1B">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A21F1B">
        <w:rPr>
          <w:i/>
          <w:noProof/>
        </w:rPr>
        <w:t>The inner planets : building blocks of personal reality</w:t>
      </w:r>
      <w:r>
        <w:rPr>
          <w:noProof/>
        </w:rPr>
        <w:t>.</w:t>
      </w:r>
      <w:r>
        <w:fldChar w:fldCharType="end"/>
      </w:r>
      <w:r>
        <w:t>p.37.</w:t>
      </w:r>
    </w:p>
  </w:footnote>
  <w:footnote w:id="28">
    <w:p w14:paraId="1D98DC27" w14:textId="25DA6BC6" w:rsidR="002C16BD" w:rsidRDefault="002C16BD">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2C16BD">
        <w:rPr>
          <w:i/>
          <w:noProof/>
        </w:rPr>
        <w:t>The inner planets : building blocks of personal reality</w:t>
      </w:r>
      <w:r>
        <w:rPr>
          <w:noProof/>
        </w:rPr>
        <w:t>.</w:t>
      </w:r>
      <w:r>
        <w:fldChar w:fldCharType="end"/>
      </w:r>
      <w:r>
        <w:t>p.8.</w:t>
      </w:r>
    </w:p>
  </w:footnote>
  <w:footnote w:id="29">
    <w:p w14:paraId="230D43FC" w14:textId="23B3101E" w:rsidR="00AB7929" w:rsidRDefault="00AB7929">
      <w:pPr>
        <w:pStyle w:val="FootnoteText"/>
      </w:pPr>
      <w:r>
        <w:rPr>
          <w:rStyle w:val="FootnoteReference"/>
        </w:rPr>
        <w:footnoteRef/>
      </w:r>
      <w:r>
        <w:t xml:space="preserve"> </w:t>
      </w:r>
      <w:r>
        <w:fldChar w:fldCharType="begin"/>
      </w:r>
      <w:r>
        <w:instrText xml:space="preserve"> ADDIN EN.CITE &lt;EndNote&gt;&lt;Cite&gt;&lt;Author&gt;Campion&lt;/Author&gt;&lt;Year&gt;2008&lt;/Year&gt;&lt;RecNum&gt;380&lt;/RecNum&gt;&lt;DisplayText&gt;Nicholas Campion, &lt;style face="italic"&gt;The Dawn of Astrology: A Cultural History of Western Astrology&lt;/style&gt; (London; New York: Continuum, 2008).&lt;/DisplayText&gt;&lt;record&gt;&lt;rec-number&gt;380&lt;/rec-number&gt;&lt;foreign-keys&gt;&lt;key app="EN" db-id="05f0xvf2wzrttxeraz8vwx210p5pt9wvtv0d" timestamp="1647335204" guid="83e5a0af-bf7c-4d31-8422-ace4aee634eb"&gt;380&lt;/key&gt;&lt;/foreign-keys&gt;&lt;ref-type name="Book"&gt;6&lt;/ref-type&gt;&lt;contributors&gt;&lt;authors&gt;&lt;author&gt;Campion, Nicholas&lt;/author&gt;&lt;/authors&gt;&lt;/contributors&gt;&lt;titles&gt;&lt;title&gt;The Dawn of Astrology: A Cultural History of Western Astrology&lt;/title&gt;&lt;/titles&gt;&lt;dates&gt;&lt;year&gt;2008&lt;/year&gt;&lt;/dates&gt;&lt;pub-location&gt;London; New York&lt;/pub-location&gt;&lt;publisher&gt;Continuum&lt;/publisher&gt;&lt;isbn&gt;9781847252142 (v. 1 hbk)&amp;#xD;1847252141 (v. 1 hbk)&lt;/isbn&gt;&lt;urls&gt;&lt;/urls&gt;&lt;/record&gt;&lt;/Cite&gt;&lt;/EndNote&gt;</w:instrText>
      </w:r>
      <w:r>
        <w:fldChar w:fldCharType="separate"/>
      </w:r>
      <w:r>
        <w:rPr>
          <w:noProof/>
        </w:rPr>
        <w:t xml:space="preserve">Nicholas Campion, </w:t>
      </w:r>
      <w:r w:rsidRPr="00062B50">
        <w:rPr>
          <w:i/>
          <w:noProof/>
        </w:rPr>
        <w:t>The Dawn of Astrology: A Cultural History of Western Astrology</w:t>
      </w:r>
      <w:r>
        <w:rPr>
          <w:noProof/>
        </w:rPr>
        <w:t xml:space="preserve"> (London; New York: Continuum, 2008).</w:t>
      </w:r>
      <w:r>
        <w:fldChar w:fldCharType="end"/>
      </w:r>
      <w:r>
        <w:t>p.153.</w:t>
      </w:r>
    </w:p>
  </w:footnote>
  <w:footnote w:id="30">
    <w:p w14:paraId="2A7B4CDD" w14:textId="3B4C03F8" w:rsidR="00062B50" w:rsidRDefault="00062B50">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062B50">
        <w:rPr>
          <w:i/>
          <w:noProof/>
        </w:rPr>
        <w:t>The inner planets : building blocks of personal reality</w:t>
      </w:r>
      <w:r>
        <w:rPr>
          <w:noProof/>
        </w:rPr>
        <w:t>.</w:t>
      </w:r>
      <w:r>
        <w:fldChar w:fldCharType="end"/>
      </w:r>
      <w:r>
        <w:t>p.6.</w:t>
      </w:r>
    </w:p>
  </w:footnote>
  <w:footnote w:id="31">
    <w:p w14:paraId="5C53CE9A" w14:textId="1B09805C" w:rsidR="00215F03" w:rsidRDefault="00215F03">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215F03">
        <w:rPr>
          <w:i/>
          <w:noProof/>
        </w:rPr>
        <w:t>The inner planets : building blocks of personal reality</w:t>
      </w:r>
      <w:r>
        <w:rPr>
          <w:noProof/>
        </w:rPr>
        <w:t>.</w:t>
      </w:r>
      <w:r>
        <w:fldChar w:fldCharType="end"/>
      </w:r>
      <w:r>
        <w:t>p.xi.</w:t>
      </w:r>
    </w:p>
  </w:footnote>
  <w:footnote w:id="32">
    <w:p w14:paraId="1EDFA4B0" w14:textId="04E0DEA2" w:rsidR="00F02C81" w:rsidRDefault="00F02C81">
      <w:pPr>
        <w:pStyle w:val="FootnoteText"/>
      </w:pPr>
      <w:r>
        <w:rPr>
          <w:rStyle w:val="FootnoteReference"/>
        </w:rPr>
        <w:footnoteRef/>
      </w:r>
      <w:r>
        <w:t xml:space="preserve">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F02C81">
        <w:rPr>
          <w:i/>
          <w:noProof/>
        </w:rPr>
        <w:t>Abu Ma'sar, the Great introduction to astrology : the Arabic original and English translation</w:t>
      </w:r>
      <w:r>
        <w:rPr>
          <w:noProof/>
        </w:rPr>
        <w:t>.</w:t>
      </w:r>
      <w:r>
        <w:fldChar w:fldCharType="end"/>
      </w:r>
      <w:r>
        <w:t xml:space="preserve">p.53.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F02C81">
        <w:rPr>
          <w:i/>
          <w:noProof/>
        </w:rPr>
        <w:t>Abu Ma'sar, the Great introduction to astrology : the Arabic original and English translation</w:t>
      </w:r>
      <w:r>
        <w:rPr>
          <w:noProof/>
        </w:rPr>
        <w:t>.</w:t>
      </w:r>
      <w:r>
        <w:fldChar w:fldCharType="end"/>
      </w:r>
      <w:r>
        <w:t>p.55.</w:t>
      </w:r>
    </w:p>
  </w:footnote>
  <w:footnote w:id="33">
    <w:p w14:paraId="602420C0" w14:textId="026DABB0" w:rsidR="0008615F" w:rsidRDefault="0008615F">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08615F">
        <w:rPr>
          <w:i/>
          <w:noProof/>
        </w:rPr>
        <w:t>The inner planets : building blocks of personal reality</w:t>
      </w:r>
      <w:r>
        <w:rPr>
          <w:noProof/>
        </w:rPr>
        <w:t>.</w:t>
      </w:r>
      <w:r>
        <w:fldChar w:fldCharType="end"/>
      </w:r>
      <w:r>
        <w:t>p.6.</w:t>
      </w:r>
    </w:p>
  </w:footnote>
  <w:footnote w:id="34">
    <w:p w14:paraId="639453BF" w14:textId="073A92B6" w:rsidR="00B64DEE" w:rsidRDefault="00B64DEE">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B64DEE">
        <w:rPr>
          <w:i/>
          <w:noProof/>
        </w:rPr>
        <w:t>The inner planets : building blocks of personal reality</w:t>
      </w:r>
      <w:r>
        <w:rPr>
          <w:noProof/>
        </w:rPr>
        <w:t>.</w:t>
      </w:r>
      <w:r>
        <w:fldChar w:fldCharType="end"/>
      </w:r>
      <w:r>
        <w:t>p.xi.</w:t>
      </w:r>
    </w:p>
  </w:footnote>
  <w:footnote w:id="35">
    <w:p w14:paraId="1C130E68" w14:textId="7ADEB91C" w:rsidR="00A54341" w:rsidRDefault="00A54341">
      <w:pPr>
        <w:pStyle w:val="FootnoteText"/>
      </w:pPr>
      <w:r>
        <w:rPr>
          <w:rStyle w:val="FootnoteReference"/>
        </w:rPr>
        <w:footnoteRef/>
      </w:r>
      <w:r>
        <w:t xml:space="preserve">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A54341">
        <w:rPr>
          <w:i/>
          <w:noProof/>
        </w:rPr>
        <w:t>Abu Ma'sar, the Great introduction to astrology : the Arabic original and English translation</w:t>
      </w:r>
      <w:r>
        <w:rPr>
          <w:noProof/>
        </w:rPr>
        <w:t>.</w:t>
      </w:r>
      <w:r>
        <w:fldChar w:fldCharType="end"/>
      </w:r>
      <w:r>
        <w:t>p.427.</w:t>
      </w:r>
    </w:p>
  </w:footnote>
  <w:footnote w:id="36">
    <w:p w14:paraId="0F737797" w14:textId="121E0D2E" w:rsidR="009462C6" w:rsidRDefault="009462C6">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Robbins, &lt;style face="italic"&gt;Tetrabiblos&lt;/style&gt;.&lt;/DisplayText&gt;&lt;record&gt;&lt;rec-number&gt;355&lt;/rec-number&gt;&lt;foreign-keys&gt;&lt;key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Robbins, </w:t>
      </w:r>
      <w:r w:rsidRPr="009462C6">
        <w:rPr>
          <w:i/>
          <w:noProof/>
        </w:rPr>
        <w:t>Tetrabiblos</w:t>
      </w:r>
      <w:r>
        <w:rPr>
          <w:noProof/>
        </w:rPr>
        <w:t>.</w:t>
      </w:r>
      <w:r>
        <w:fldChar w:fldCharType="end"/>
      </w:r>
      <w:r>
        <w:t>p.41.</w:t>
      </w:r>
    </w:p>
  </w:footnote>
  <w:footnote w:id="37">
    <w:p w14:paraId="24A68C88" w14:textId="06E34FC7" w:rsidR="009462C6" w:rsidRDefault="009462C6">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9462C6">
        <w:rPr>
          <w:i/>
          <w:noProof/>
        </w:rPr>
        <w:t>The inner planets : building blocks of personal reality</w:t>
      </w:r>
      <w:r>
        <w:rPr>
          <w:noProof/>
        </w:rPr>
        <w:t>.</w:t>
      </w:r>
      <w:r>
        <w:fldChar w:fldCharType="end"/>
      </w:r>
      <w:r>
        <w:t>p.26.</w:t>
      </w:r>
    </w:p>
  </w:footnote>
  <w:footnote w:id="38">
    <w:p w14:paraId="2DC8C2B8" w14:textId="54040834" w:rsidR="004064B8" w:rsidRDefault="004064B8">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Robbins, &lt;style face="italic"&gt;Tetrabiblos&lt;/style&gt;.&lt;/DisplayText&gt;&lt;record&gt;&lt;rec-number&gt;355&lt;/rec-number&gt;&lt;foreign-keys&gt;&lt;key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Robbins, </w:t>
      </w:r>
      <w:r w:rsidRPr="004064B8">
        <w:rPr>
          <w:i/>
          <w:noProof/>
        </w:rPr>
        <w:t>Tetrabiblos</w:t>
      </w:r>
      <w:r>
        <w:rPr>
          <w:noProof/>
        </w:rPr>
        <w:t>.</w:t>
      </w:r>
      <w:r>
        <w:fldChar w:fldCharType="end"/>
      </w:r>
      <w:r>
        <w:t>p.41.</w:t>
      </w:r>
    </w:p>
  </w:footnote>
  <w:footnote w:id="39">
    <w:p w14:paraId="38662697" w14:textId="320206A3" w:rsidR="00996B53" w:rsidRDefault="00996B53">
      <w:pPr>
        <w:pStyle w:val="FootnoteText"/>
      </w:pPr>
      <w:r>
        <w:rPr>
          <w:rStyle w:val="FootnoteReference"/>
        </w:rPr>
        <w:footnoteRef/>
      </w:r>
      <w:r>
        <w:t xml:space="preserve"> </w:t>
      </w:r>
      <w:r>
        <w:fldChar w:fldCharType="begin"/>
      </w:r>
      <w:r>
        <w:instrText xml:space="preserve"> ADDIN EN.CITE &lt;EndNote&gt;&lt;Cite&gt;&lt;Author&gt;Ptolemy&lt;/Author&gt;&lt;Year&gt;1940&lt;/Year&gt;&lt;RecNum&gt;355&lt;/RecNum&gt;&lt;DisplayText&gt;Ptolemy and Robbins, &lt;style face="italic"&gt;Tetrabiblos&lt;/style&gt;.&lt;/DisplayText&gt;&lt;record&gt;&lt;rec-number&gt;355&lt;/rec-number&gt;&lt;foreign-keys&gt;&lt;key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name="Book"&gt;6&lt;/ref-type&gt;&lt;contributors&gt;&lt;authors&gt;&lt;author&gt;Ptolemy,&lt;/author&gt;&lt;author&gt;Robbins, Frank Egleston&lt;/author&gt;&lt;/authors&gt;&lt;/contributors&gt;&lt;titles&gt;&lt;title&gt;Tetrabiblos&lt;/title&gt;&lt;secondary-title&gt;The Loeb classical library&lt;/secondary-title&gt;&lt;/titles&gt;&lt;pages&gt;466 p.&lt;/pages&gt;&lt;keywords&gt;&lt;keyword&gt;Astrology Early works to 1800.&lt;/keyword&gt;&lt;/keywords&gt;&lt;dates&gt;&lt;year&gt;1940&lt;/year&gt;&lt;/dates&gt;&lt;publisher&gt;Harvard university press&lt;/publisher&gt;&lt;accession-num&gt;6912791&lt;/accession-num&gt;&lt;call-num&gt;PA3612 .M3 1904&lt;/call-num&gt;&lt;urls&gt;&lt;/urls&gt;&lt;/record&gt;&lt;/Cite&gt;&lt;/EndNote&gt;</w:instrText>
      </w:r>
      <w:r>
        <w:fldChar w:fldCharType="separate"/>
      </w:r>
      <w:r>
        <w:rPr>
          <w:noProof/>
        </w:rPr>
        <w:t xml:space="preserve">Ptolemy and Robbins, </w:t>
      </w:r>
      <w:r w:rsidRPr="00996B53">
        <w:rPr>
          <w:i/>
          <w:noProof/>
        </w:rPr>
        <w:t>Tetrabiblos</w:t>
      </w:r>
      <w:r>
        <w:rPr>
          <w:noProof/>
        </w:rPr>
        <w:t>.</w:t>
      </w:r>
      <w:r>
        <w:fldChar w:fldCharType="end"/>
      </w:r>
      <w:r>
        <w:t>p.39.</w:t>
      </w:r>
    </w:p>
  </w:footnote>
  <w:footnote w:id="40">
    <w:p w14:paraId="569FA1C1" w14:textId="6A3B986F" w:rsidR="00996B53" w:rsidRDefault="00996B53">
      <w:pPr>
        <w:pStyle w:val="FootnoteText"/>
      </w:pPr>
      <w:r>
        <w:rPr>
          <w:rStyle w:val="FootnoteReference"/>
        </w:rPr>
        <w:footnoteRef/>
      </w:r>
      <w:r>
        <w:t xml:space="preserve"> </w:t>
      </w:r>
      <w:r>
        <w:fldChar w:fldCharType="begin"/>
      </w:r>
      <w:r>
        <w:instrText xml:space="preserve"> ADDIN EN.CITE &lt;EndNote&gt;&lt;Cite&gt;&lt;Author&gt;Abū&lt;/Author&gt;&lt;Year&gt;2019&lt;/Year&gt;&lt;RecNum&gt;352&lt;/RecNum&gt;&lt;DisplayText&gt;Abū et al., &lt;style face="italic"&gt;Abu Ma&amp;apos;sar, the Great introduction to astrology : the Arabic original and English translation&lt;/style&gt;.&lt;/DisplayText&gt;&lt;record&gt;&lt;rec-number&gt;352&lt;/rec-number&gt;&lt;foreign-keys&gt;&lt;key app="EN" db-id="05f0xvf2wzrttxeraz8vwx210p5pt9wvtv0d" timestamp="1645129074" guid="e59f4207-310c-4a57-b355-d92098d93730"&gt;352&lt;/key&gt;&lt;/foreign-keys&gt;&lt;ref-type name="Electronic Book"&gt;44&lt;/ref-type&gt;&lt;contributors&gt;&lt;authors&gt;&lt;author&gt;Abū, Maʻshar&lt;/author&gt;&lt;author&gt;Yamamoto, Keiji&lt;/author&gt;&lt;author&gt;Burnett, Charles&lt;/author&gt;&lt;author&gt;Pingree, David&lt;/author&gt;&lt;author&gt;Abū, Maʻshar&lt;/author&gt;&lt;author&gt;Abū, Maʻshar&lt;/author&gt;&lt;author&gt;Abū, Maʻshar&lt;/author&gt;&lt;/authors&gt;&lt;/contributors&gt;&lt;titles&gt;&lt;title&gt;Abu Ma&amp;apos;sar, the Great introduction to astrology : the Arabic original and English translation&lt;/title&gt;&lt;secondary-title&gt;Islamic philosophy, theology and science Texts and studies volume 106&lt;/secondary-title&gt;&lt;/titles&gt;&lt;pages&gt;1 online resource&lt;/pages&gt;&lt;keywords&gt;&lt;keyword&gt;Astrology, Arab Early works to 1800.&lt;/keyword&gt;&lt;/keywords&gt;&lt;dates&gt;&lt;year&gt;2019&lt;/year&gt;&lt;/dates&gt;&lt;pub-location&gt;Leiden ; Boston&lt;/pub-location&gt;&lt;publisher&gt;Brill,&lt;/publisher&gt;&lt;isbn&gt;9789004381230 (e-book)&lt;/isbn&gt;&lt;accession-num&gt;20775935&lt;/accession-num&gt;&lt;call-num&gt;BF1714.A6&lt;/call-num&gt;&lt;urls&gt;&lt;/urls&gt;&lt;/record&gt;&lt;/Cite&gt;&lt;/EndNote&gt;</w:instrText>
      </w:r>
      <w:r>
        <w:fldChar w:fldCharType="separate"/>
      </w:r>
      <w:r>
        <w:rPr>
          <w:noProof/>
        </w:rPr>
        <w:t xml:space="preserve">Abū et al., </w:t>
      </w:r>
      <w:r w:rsidRPr="00996B53">
        <w:rPr>
          <w:i/>
          <w:noProof/>
        </w:rPr>
        <w:t>Abu Ma'sar, the Great introduction to astrology : the Arabic original and English translation</w:t>
      </w:r>
      <w:r>
        <w:rPr>
          <w:noProof/>
        </w:rPr>
        <w:t>.</w:t>
      </w:r>
      <w:r>
        <w:fldChar w:fldCharType="end"/>
      </w:r>
      <w:r>
        <w:t>p.389.</w:t>
      </w:r>
    </w:p>
  </w:footnote>
  <w:footnote w:id="41">
    <w:p w14:paraId="78EF0A81" w14:textId="024F2FC7" w:rsidR="004F7FAC" w:rsidRDefault="004F7FAC">
      <w:pPr>
        <w:pStyle w:val="FootnoteText"/>
      </w:pPr>
      <w:r>
        <w:rPr>
          <w:rStyle w:val="FootnoteReference"/>
        </w:rPr>
        <w:footnoteRef/>
      </w:r>
      <w:r>
        <w:t xml:space="preserve"> </w:t>
      </w:r>
      <w:r>
        <w:fldChar w:fldCharType="begin"/>
      </w:r>
      <w:r>
        <w:instrText xml:space="preserve"> ADDIN EN.CITE &lt;EndNote&gt;&lt;Cite&gt;&lt;Author&gt;Greene&lt;/Author&gt;&lt;Year&gt;1993&lt;/Year&gt;&lt;RecNum&gt;354&lt;/RecNum&gt;&lt;DisplayText&gt;Greene and Sasportas, &lt;style face="italic"&gt;The inner planets : building blocks of personal reality&lt;/style&gt;.&lt;/DisplayText&gt;&lt;record&gt;&lt;rec-number&gt;354&lt;/rec-number&gt;&lt;foreign-keys&gt;&lt;key app="EN" db-id="05f0xvf2wzrttxeraz8vwx210p5pt9wvtv0d" timestamp="1645300980" guid="3232f7a8-1d6e-4e77-8502-81682c7212d0"&gt;354&lt;/key&gt;&lt;/foreign-keys&gt;&lt;ref-type name="Book"&gt;6&lt;/ref-type&gt;&lt;contributors&gt;&lt;authors&gt;&lt;author&gt;Greene, Liz&lt;/author&gt;&lt;author&gt;Sasportas, Howard&lt;/author&gt;&lt;/authors&gt;&lt;/contributors&gt;&lt;titles&gt;&lt;title&gt;The inner planets : building blocks of personal reality&lt;/title&gt;&lt;secondary-title&gt;Seminars in psychological astrology&lt;/secondary-title&gt;&lt;/titles&gt;&lt;pages&gt;xx, 332 p.&lt;/pages&gt;&lt;number&gt;4&lt;/number&gt;&lt;keywords&gt;&lt;keyword&gt;Astrology.&lt;/keyword&gt;&lt;keyword&gt;Inner planets Miscellanea.&lt;/keyword&gt;&lt;keyword&gt;Individual differences Miscellanea.&lt;/keyword&gt;&lt;/keywords&gt;&lt;dates&gt;&lt;year&gt;1993&lt;/year&gt;&lt;/dates&gt;&lt;pub-location&gt;York Beach, Me.&lt;/pub-location&gt;&lt;publisher&gt;S. Weiser&lt;/publisher&gt;&lt;isbn&gt;0877287414 (pbk.)&lt;/isbn&gt;&lt;accession-num&gt;2961388&lt;/accession-num&gt;&lt;call-num&gt;BF1724 .G74 1993&lt;/call-num&gt;&lt;urls&gt;&lt;/urls&gt;&lt;/record&gt;&lt;/Cite&gt;&lt;/EndNote&gt;</w:instrText>
      </w:r>
      <w:r>
        <w:fldChar w:fldCharType="separate"/>
      </w:r>
      <w:r>
        <w:rPr>
          <w:noProof/>
        </w:rPr>
        <w:t xml:space="preserve">Greene and Sasportas, </w:t>
      </w:r>
      <w:r w:rsidRPr="004F7FAC">
        <w:rPr>
          <w:i/>
          <w:noProof/>
        </w:rPr>
        <w:t>The inner planets : building blocks of personal reality</w:t>
      </w:r>
      <w:r>
        <w:rPr>
          <w:noProof/>
        </w:rPr>
        <w:t>.</w:t>
      </w:r>
      <w:r>
        <w:fldChar w:fldCharType="end"/>
      </w:r>
      <w:r>
        <w:t>p.24.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0A800" w14:textId="2FC2176A" w:rsidR="00350D44" w:rsidRPr="00350D44" w:rsidRDefault="00350D44">
    <w:pPr>
      <w:pStyle w:val="Header"/>
      <w:rPr>
        <w:rFonts w:ascii="Arial" w:hAnsi="Arial" w:cs="Arial"/>
      </w:rPr>
    </w:pPr>
    <w:r w:rsidRPr="00350D44">
      <w:rPr>
        <w:rFonts w:ascii="Arial" w:hAnsi="Arial" w:cs="Arial"/>
      </w:rPr>
      <w:t xml:space="preserve">Wendy Fey HPCA7017 Essay 1                                                                </w:t>
    </w:r>
    <w:sdt>
      <w:sdtPr>
        <w:rPr>
          <w:rFonts w:ascii="Arial" w:hAnsi="Arial" w:cs="Arial"/>
        </w:rPr>
        <w:id w:val="98381352"/>
        <w:docPartObj>
          <w:docPartGallery w:val="Page Numbers (Top of Page)"/>
          <w:docPartUnique/>
        </w:docPartObj>
      </w:sdtPr>
      <w:sdtEndPr/>
      <w:sdtContent>
        <w:r w:rsidRPr="00350D44">
          <w:rPr>
            <w:rFonts w:ascii="Arial" w:hAnsi="Arial" w:cs="Arial"/>
          </w:rPr>
          <w:t xml:space="preserve">Page </w:t>
        </w:r>
        <w:r w:rsidRPr="00350D44">
          <w:rPr>
            <w:rFonts w:ascii="Arial" w:hAnsi="Arial" w:cs="Arial"/>
            <w:b/>
            <w:bCs/>
          </w:rPr>
          <w:fldChar w:fldCharType="begin"/>
        </w:r>
        <w:r w:rsidRPr="00350D44">
          <w:rPr>
            <w:rFonts w:ascii="Arial" w:hAnsi="Arial" w:cs="Arial"/>
            <w:b/>
            <w:bCs/>
          </w:rPr>
          <w:instrText xml:space="preserve"> PAGE </w:instrText>
        </w:r>
        <w:r w:rsidRPr="00350D44">
          <w:rPr>
            <w:rFonts w:ascii="Arial" w:hAnsi="Arial" w:cs="Arial"/>
            <w:b/>
            <w:bCs/>
          </w:rPr>
          <w:fldChar w:fldCharType="separate"/>
        </w:r>
        <w:r w:rsidRPr="00350D44">
          <w:rPr>
            <w:rFonts w:ascii="Arial" w:hAnsi="Arial" w:cs="Arial"/>
            <w:b/>
            <w:bCs/>
            <w:noProof/>
          </w:rPr>
          <w:t>2</w:t>
        </w:r>
        <w:r w:rsidRPr="00350D44">
          <w:rPr>
            <w:rFonts w:ascii="Arial" w:hAnsi="Arial" w:cs="Arial"/>
            <w:b/>
            <w:bCs/>
          </w:rPr>
          <w:fldChar w:fldCharType="end"/>
        </w:r>
        <w:r w:rsidRPr="00350D44">
          <w:rPr>
            <w:rFonts w:ascii="Arial" w:hAnsi="Arial" w:cs="Arial"/>
          </w:rPr>
          <w:t xml:space="preserve"> of </w:t>
        </w:r>
        <w:r w:rsidRPr="00350D44">
          <w:rPr>
            <w:rFonts w:ascii="Arial" w:hAnsi="Arial" w:cs="Arial"/>
            <w:b/>
            <w:bCs/>
          </w:rPr>
          <w:fldChar w:fldCharType="begin"/>
        </w:r>
        <w:r w:rsidRPr="00350D44">
          <w:rPr>
            <w:rFonts w:ascii="Arial" w:hAnsi="Arial" w:cs="Arial"/>
            <w:b/>
            <w:bCs/>
          </w:rPr>
          <w:instrText xml:space="preserve"> NUMPAGES  </w:instrText>
        </w:r>
        <w:r w:rsidRPr="00350D44">
          <w:rPr>
            <w:rFonts w:ascii="Arial" w:hAnsi="Arial" w:cs="Arial"/>
            <w:b/>
            <w:bCs/>
          </w:rPr>
          <w:fldChar w:fldCharType="separate"/>
        </w:r>
        <w:r w:rsidRPr="00350D44">
          <w:rPr>
            <w:rFonts w:ascii="Arial" w:hAnsi="Arial" w:cs="Arial"/>
            <w:b/>
            <w:bCs/>
            <w:noProof/>
          </w:rPr>
          <w:t>2</w:t>
        </w:r>
        <w:r w:rsidRPr="00350D44">
          <w:rPr>
            <w:rFonts w:ascii="Arial" w:hAnsi="Arial" w:cs="Arial"/>
            <w:b/>
            <w:bCs/>
          </w:rPr>
          <w:fldChar w:fldCharType="end"/>
        </w:r>
      </w:sdtContent>
    </w:sdt>
  </w:p>
  <w:p w14:paraId="497AF1CA" w14:textId="09DA5AF9" w:rsidR="00350D44" w:rsidRDefault="00350D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hicago 17th Footnote&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05f0xvf2wzrttxeraz8vwx210p5pt9wvtv0d&quot;&gt;My EndNote Library&lt;record-ids&gt;&lt;item&gt;351&lt;/item&gt;&lt;item&gt;352&lt;/item&gt;&lt;item&gt;354&lt;/item&gt;&lt;item&gt;355&lt;/item&gt;&lt;item&gt;360&lt;/item&gt;&lt;item&gt;362&lt;/item&gt;&lt;item&gt;364&lt;/item&gt;&lt;item&gt;366&lt;/item&gt;&lt;item&gt;367&lt;/item&gt;&lt;item&gt;371&lt;/item&gt;&lt;item&gt;375&lt;/item&gt;&lt;item&gt;380&lt;/item&gt;&lt;/record-ids&gt;&lt;/item&gt;&lt;/Libraries&gt;"/>
    <w:docVar w:name="EN.ReferenceGroups" w:val="&lt;reference-groups&gt;&lt;reference-group&gt;&lt;kind&gt;1&lt;/kind&gt;&lt;heading&gt;Primary Sources&lt;/heading&gt;&lt;alignment&gt;-1&lt;/alignment&gt;&lt;records&gt;&lt;record&gt;&lt;key app=&quot;EN&quot; db-id=&quot;05f0xvf2wzrttxeraz8vwx210p5pt9wvtv0d&quot;&gt;352&lt;/key&gt;&lt;/record&gt;&lt;record&gt;&lt;key app=&quot;EN&quot; db-id=&quot;05f0xvf2wzrttxeraz8vwx210p5pt9wvtv0d&quot;&gt;354&lt;/key&gt;&lt;/record&gt;&lt;record&gt;&lt;key app=&quot;EN&quot; db-id=&quot;05f0xvf2wzrttxeraz8vwx210p5pt9wvtv0d&quot;&gt;355&lt;/key&gt;&lt;/record&gt;&lt;/records&gt;&lt;/reference-group&gt;&lt;reference-group&gt;&lt;kind&gt;1&lt;/kind&gt;&lt;heading&gt;Secondary Sources&lt;/heading&gt;&lt;alignment&gt;-1&lt;/alignment&gt;&lt;records&gt;&lt;record&gt;&lt;key app=&quot;EN&quot; db-id=&quot;05f0xvf2wzrttxeraz8vwx210p5pt9wvtv0d&quot;&gt;371&lt;/key&gt;&lt;/record&gt;&lt;record&gt;&lt;key app=&quot;EN&quot; db-id=&quot;05f0xvf2wzrttxeraz8vwx210p5pt9wvtv0d&quot;&gt;362&lt;/key&gt;&lt;/record&gt;&lt;record&gt;&lt;key app=&quot;EN&quot; db-id=&quot;05f0xvf2wzrttxeraz8vwx210p5pt9wvtv0d&quot;&gt;360&lt;/key&gt;&lt;/record&gt;&lt;record&gt;&lt;key app=&quot;EN&quot; db-id=&quot;05f0xvf2wzrttxeraz8vwx210p5pt9wvtv0d&quot;&gt;380&lt;/key&gt;&lt;/record&gt;&lt;record&gt;&lt;key app=&quot;EN&quot; db-id=&quot;05f0xvf2wzrttxeraz8vwx210p5pt9wvtv0d&quot;&gt;367&lt;/key&gt;&lt;/record&gt;&lt;record&gt;&lt;key app=&quot;EN&quot; db-id=&quot;05f0xvf2wzrttxeraz8vwx210p5pt9wvtv0d&quot;&gt;375&lt;/key&gt;&lt;/record&gt;&lt;record&gt;&lt;key app=&quot;EN&quot; db-id=&quot;05f0xvf2wzrttxeraz8vwx210p5pt9wvtv0d&quot;&gt;366&lt;/key&gt;&lt;/record&gt;&lt;record&gt;&lt;key app=&quot;EN&quot; db-id=&quot;05f0xvf2wzrttxeraz8vwx210p5pt9wvtv0d&quot;&gt;364&lt;/key&gt;&lt;/record&gt;&lt;record&gt;&lt;key app=&quot;EN&quot; db-id=&quot;05f0xvf2wzrttxeraz8vwx210p5pt9wvtv0d&quot;&gt;351&lt;/key&gt;&lt;/record&gt;&lt;/records&gt;&lt;/reference-group&gt;&lt;/reference-groups&gt;"/>
  </w:docVars>
  <w:rsids>
    <w:rsidRoot w:val="00FA19A9"/>
    <w:rsid w:val="00062B50"/>
    <w:rsid w:val="00063F01"/>
    <w:rsid w:val="00067023"/>
    <w:rsid w:val="00071DDF"/>
    <w:rsid w:val="0008615F"/>
    <w:rsid w:val="00096F37"/>
    <w:rsid w:val="000A7C0A"/>
    <w:rsid w:val="000C6348"/>
    <w:rsid w:val="000F4507"/>
    <w:rsid w:val="00111D29"/>
    <w:rsid w:val="001222BC"/>
    <w:rsid w:val="00126BA3"/>
    <w:rsid w:val="001403C8"/>
    <w:rsid w:val="00170996"/>
    <w:rsid w:val="001D32B5"/>
    <w:rsid w:val="00215F03"/>
    <w:rsid w:val="00217694"/>
    <w:rsid w:val="002C16BD"/>
    <w:rsid w:val="002C7750"/>
    <w:rsid w:val="002E5B49"/>
    <w:rsid w:val="002E7C23"/>
    <w:rsid w:val="002F59EC"/>
    <w:rsid w:val="0033386E"/>
    <w:rsid w:val="00335B67"/>
    <w:rsid w:val="00350D44"/>
    <w:rsid w:val="003B07FB"/>
    <w:rsid w:val="003C17BE"/>
    <w:rsid w:val="004064B8"/>
    <w:rsid w:val="004307FD"/>
    <w:rsid w:val="004309A4"/>
    <w:rsid w:val="00450AE0"/>
    <w:rsid w:val="0046465D"/>
    <w:rsid w:val="00471D18"/>
    <w:rsid w:val="004805FB"/>
    <w:rsid w:val="004F7FAC"/>
    <w:rsid w:val="005059CC"/>
    <w:rsid w:val="00514EF0"/>
    <w:rsid w:val="00533FC6"/>
    <w:rsid w:val="005504B1"/>
    <w:rsid w:val="0055080C"/>
    <w:rsid w:val="00573CCE"/>
    <w:rsid w:val="005D7E03"/>
    <w:rsid w:val="005F3ABF"/>
    <w:rsid w:val="00611A50"/>
    <w:rsid w:val="00633E9C"/>
    <w:rsid w:val="006C1D61"/>
    <w:rsid w:val="006C4635"/>
    <w:rsid w:val="00704D9D"/>
    <w:rsid w:val="00780BDF"/>
    <w:rsid w:val="007C310B"/>
    <w:rsid w:val="008469E2"/>
    <w:rsid w:val="00850493"/>
    <w:rsid w:val="00874E1D"/>
    <w:rsid w:val="008A4330"/>
    <w:rsid w:val="008A736C"/>
    <w:rsid w:val="008D4ED1"/>
    <w:rsid w:val="008F3820"/>
    <w:rsid w:val="009462C6"/>
    <w:rsid w:val="0096248E"/>
    <w:rsid w:val="00985C4D"/>
    <w:rsid w:val="00996B53"/>
    <w:rsid w:val="009A60AE"/>
    <w:rsid w:val="009C1BE1"/>
    <w:rsid w:val="009F122E"/>
    <w:rsid w:val="009F250C"/>
    <w:rsid w:val="00A21F1B"/>
    <w:rsid w:val="00A54341"/>
    <w:rsid w:val="00A85E3E"/>
    <w:rsid w:val="00AB7929"/>
    <w:rsid w:val="00AD56FB"/>
    <w:rsid w:val="00AF42EC"/>
    <w:rsid w:val="00B04D0C"/>
    <w:rsid w:val="00B067AC"/>
    <w:rsid w:val="00B15F8E"/>
    <w:rsid w:val="00B473CF"/>
    <w:rsid w:val="00B64DEE"/>
    <w:rsid w:val="00B95276"/>
    <w:rsid w:val="00BB3F72"/>
    <w:rsid w:val="00C3492F"/>
    <w:rsid w:val="00C850A2"/>
    <w:rsid w:val="00C8537E"/>
    <w:rsid w:val="00C85FC3"/>
    <w:rsid w:val="00CB5651"/>
    <w:rsid w:val="00D155BA"/>
    <w:rsid w:val="00D25202"/>
    <w:rsid w:val="00D51E9C"/>
    <w:rsid w:val="00D63623"/>
    <w:rsid w:val="00DA33AA"/>
    <w:rsid w:val="00E24CB8"/>
    <w:rsid w:val="00EF6BD4"/>
    <w:rsid w:val="00F02C81"/>
    <w:rsid w:val="00F130FE"/>
    <w:rsid w:val="00F136A2"/>
    <w:rsid w:val="00F43747"/>
    <w:rsid w:val="00F71E5C"/>
    <w:rsid w:val="00FA028B"/>
    <w:rsid w:val="00FA19A9"/>
    <w:rsid w:val="00FB7C03"/>
    <w:rsid w:val="00FC64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70D4BA"/>
  <w15:chartTrackingRefBased/>
  <w15:docId w15:val="{D3AABE72-AE89-4C6E-AA5E-063CFD8DC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D44"/>
    <w:pPr>
      <w:spacing w:after="0" w:line="240" w:lineRule="auto"/>
    </w:pPr>
    <w:rPr>
      <w:rFonts w:ascii="Times New Roman" w:eastAsia="SimSun" w:hAnsi="Times New Roman" w:cs="Times New Roman"/>
      <w:sz w:val="24"/>
      <w:szCs w:val="24"/>
      <w:lang w:val="en-GB" w:eastAsia="zh-CN"/>
    </w:rPr>
  </w:style>
  <w:style w:type="paragraph" w:styleId="Heading3">
    <w:name w:val="heading 3"/>
    <w:basedOn w:val="Normal"/>
    <w:link w:val="Heading3Char"/>
    <w:qFormat/>
    <w:rsid w:val="00350D44"/>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50D44"/>
    <w:rPr>
      <w:rFonts w:ascii="Tahoma" w:eastAsia="SimSun" w:hAnsi="Tahoma" w:cs="Tahoma"/>
      <w:b/>
      <w:bCs/>
      <w:sz w:val="20"/>
      <w:szCs w:val="20"/>
      <w:lang w:val="en-GB" w:eastAsia="zh-CN"/>
    </w:rPr>
  </w:style>
  <w:style w:type="paragraph" w:styleId="NormalWeb">
    <w:name w:val="Normal (Web)"/>
    <w:basedOn w:val="Normal"/>
    <w:link w:val="NormalWebChar"/>
    <w:rsid w:val="00350D44"/>
    <w:pPr>
      <w:spacing w:before="100" w:beforeAutospacing="1" w:after="100" w:afterAutospacing="1"/>
    </w:pPr>
    <w:rPr>
      <w:rFonts w:ascii="Georgia" w:hAnsi="Georgia"/>
      <w:color w:val="000000"/>
      <w:sz w:val="21"/>
      <w:szCs w:val="21"/>
    </w:rPr>
  </w:style>
  <w:style w:type="character" w:customStyle="1" w:styleId="NormalWebChar">
    <w:name w:val="Normal (Web) Char"/>
    <w:link w:val="NormalWeb"/>
    <w:rsid w:val="00350D44"/>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350D44"/>
    <w:pPr>
      <w:tabs>
        <w:tab w:val="center" w:pos="4680"/>
        <w:tab w:val="right" w:pos="9360"/>
      </w:tabs>
    </w:pPr>
  </w:style>
  <w:style w:type="character" w:customStyle="1" w:styleId="HeaderChar">
    <w:name w:val="Header Char"/>
    <w:basedOn w:val="DefaultParagraphFont"/>
    <w:link w:val="Header"/>
    <w:uiPriority w:val="99"/>
    <w:rsid w:val="00350D44"/>
    <w:rPr>
      <w:rFonts w:ascii="Times New Roman" w:eastAsia="SimSun" w:hAnsi="Times New Roman" w:cs="Times New Roman"/>
      <w:sz w:val="24"/>
      <w:szCs w:val="24"/>
      <w:lang w:val="en-GB" w:eastAsia="zh-CN"/>
    </w:rPr>
  </w:style>
  <w:style w:type="paragraph" w:styleId="Footer">
    <w:name w:val="footer"/>
    <w:basedOn w:val="Normal"/>
    <w:link w:val="FooterChar"/>
    <w:uiPriority w:val="99"/>
    <w:unhideWhenUsed/>
    <w:rsid w:val="00350D44"/>
    <w:pPr>
      <w:tabs>
        <w:tab w:val="center" w:pos="4680"/>
        <w:tab w:val="right" w:pos="9360"/>
      </w:tabs>
    </w:pPr>
  </w:style>
  <w:style w:type="character" w:customStyle="1" w:styleId="FooterChar">
    <w:name w:val="Footer Char"/>
    <w:basedOn w:val="DefaultParagraphFont"/>
    <w:link w:val="Footer"/>
    <w:uiPriority w:val="99"/>
    <w:rsid w:val="00350D44"/>
    <w:rPr>
      <w:rFonts w:ascii="Times New Roman" w:eastAsia="SimSun" w:hAnsi="Times New Roman" w:cs="Times New Roman"/>
      <w:sz w:val="24"/>
      <w:szCs w:val="24"/>
      <w:lang w:val="en-GB" w:eastAsia="zh-CN"/>
    </w:rPr>
  </w:style>
  <w:style w:type="paragraph" w:styleId="FootnoteText">
    <w:name w:val="footnote text"/>
    <w:basedOn w:val="Normal"/>
    <w:link w:val="FootnoteTextChar"/>
    <w:rsid w:val="00170996"/>
    <w:rPr>
      <w:sz w:val="20"/>
      <w:szCs w:val="20"/>
    </w:rPr>
  </w:style>
  <w:style w:type="character" w:customStyle="1" w:styleId="FootnoteTextChar">
    <w:name w:val="Footnote Text Char"/>
    <w:basedOn w:val="DefaultParagraphFont"/>
    <w:link w:val="FootnoteText"/>
    <w:rsid w:val="00170996"/>
    <w:rPr>
      <w:rFonts w:ascii="Times New Roman" w:eastAsia="SimSun" w:hAnsi="Times New Roman" w:cs="Times New Roman"/>
      <w:sz w:val="20"/>
      <w:szCs w:val="20"/>
      <w:lang w:val="en-GB" w:eastAsia="zh-CN"/>
    </w:rPr>
  </w:style>
  <w:style w:type="character" w:styleId="FootnoteReference">
    <w:name w:val="footnote reference"/>
    <w:uiPriority w:val="99"/>
    <w:rsid w:val="00170996"/>
    <w:rPr>
      <w:vertAlign w:val="superscript"/>
    </w:rPr>
  </w:style>
  <w:style w:type="paragraph" w:customStyle="1" w:styleId="EndNoteBibliographyTitle">
    <w:name w:val="EndNote Bibliography Title"/>
    <w:basedOn w:val="Normal"/>
    <w:link w:val="EndNoteBibliographyTitleChar"/>
    <w:rsid w:val="00AD56FB"/>
    <w:pPr>
      <w:jc w:val="center"/>
    </w:pPr>
    <w:rPr>
      <w:noProof/>
    </w:rPr>
  </w:style>
  <w:style w:type="character" w:customStyle="1" w:styleId="EndNoteBibliographyTitleChar">
    <w:name w:val="EndNote Bibliography Title Char"/>
    <w:basedOn w:val="FootnoteTextChar"/>
    <w:link w:val="EndNoteBibliographyTitle"/>
    <w:rsid w:val="00AD56FB"/>
    <w:rPr>
      <w:rFonts w:ascii="Times New Roman" w:eastAsia="SimSun" w:hAnsi="Times New Roman" w:cs="Times New Roman"/>
      <w:noProof/>
      <w:sz w:val="24"/>
      <w:szCs w:val="24"/>
      <w:lang w:val="en-GB" w:eastAsia="zh-CN"/>
    </w:rPr>
  </w:style>
  <w:style w:type="paragraph" w:customStyle="1" w:styleId="EndNoteBibliography">
    <w:name w:val="EndNote Bibliography"/>
    <w:basedOn w:val="Normal"/>
    <w:link w:val="EndNoteBibliographyChar"/>
    <w:rsid w:val="00AD56FB"/>
    <w:rPr>
      <w:noProof/>
    </w:rPr>
  </w:style>
  <w:style w:type="character" w:customStyle="1" w:styleId="EndNoteBibliographyChar">
    <w:name w:val="EndNote Bibliography Char"/>
    <w:basedOn w:val="FootnoteTextChar"/>
    <w:link w:val="EndNoteBibliography"/>
    <w:rsid w:val="00AD56FB"/>
    <w:rPr>
      <w:rFonts w:ascii="Times New Roman" w:eastAsia="SimSun" w:hAnsi="Times New Roman" w:cs="Times New Roman"/>
      <w:noProof/>
      <w:sz w:val="24"/>
      <w:szCs w:val="24"/>
      <w:lang w:val="en-GB" w:eastAsia="zh-CN"/>
    </w:rPr>
  </w:style>
  <w:style w:type="paragraph" w:customStyle="1" w:styleId="EndNoteCategoryHeading">
    <w:name w:val="EndNote Category Heading"/>
    <w:basedOn w:val="Normal"/>
    <w:link w:val="EndNoteCategoryHeadingChar"/>
    <w:rsid w:val="00EF6BD4"/>
    <w:pPr>
      <w:spacing w:before="120" w:after="120"/>
    </w:pPr>
    <w:rPr>
      <w:b/>
      <w:noProof/>
    </w:rPr>
  </w:style>
  <w:style w:type="character" w:customStyle="1" w:styleId="EndNoteCategoryHeadingChar">
    <w:name w:val="EndNote Category Heading Char"/>
    <w:basedOn w:val="DefaultParagraphFont"/>
    <w:link w:val="EndNoteCategoryHeading"/>
    <w:rsid w:val="00EF6BD4"/>
    <w:rPr>
      <w:rFonts w:ascii="Times New Roman" w:eastAsia="SimSun" w:hAnsi="Times New Roman" w:cs="Times New Roman"/>
      <w:b/>
      <w:noProof/>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C6F7B-8424-47E1-A1EC-E8DB53FEF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11</Pages>
  <Words>3431</Words>
  <Characters>19562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Fey</dc:creator>
  <cp:keywords/>
  <dc:description/>
  <cp:lastModifiedBy>Wendy Fey</cp:lastModifiedBy>
  <cp:revision>43</cp:revision>
  <dcterms:created xsi:type="dcterms:W3CDTF">2022-03-16T09:14:00Z</dcterms:created>
  <dcterms:modified xsi:type="dcterms:W3CDTF">2022-03-17T09:05:00Z</dcterms:modified>
</cp:coreProperties>
</file>