
<file path=[Content_Types].xml><?xml version="1.0" encoding="utf-8"?>
<Types xmlns="http://schemas.openxmlformats.org/package/2006/content-types">
  <Default ContentType="image/jpeg" Extension="jpg"/>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keepNext w:val="0"/>
        <w:keepLines w:val="0"/>
        <w:pageBreakBefore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jc w:val="left"/>
      </w:pPr>
      <w:r w:rsidDel="00000000" w:rsidR="00000000" w:rsidRPr="00000000">
        <w:pict>
          <v:shapetype id="_x0000_t75" coordsize="21600,21600" filled="f" stroked="f" o:spt="75.0" o:preferrelative="t" path="m@4@5l@4@11@9@11@9@5xe">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connecttype="rect" o:extrusionok="f" gradientshapeok="t"/>
            <o:lock v:ext="edit" aspectratio="t"/>
          </v:shapetype>
        </w:pict>
      </w:r>
    </w:p>
    <w:p w:rsidR="00000000" w:rsidDel="00000000" w:rsidP="00000000" w:rsidRDefault="00000000" w:rsidRPr="00000000" w14:paraId="00000002">
      <w:pPr>
        <w:spacing w:line="360" w:lineRule="auto"/>
        <w:jc w:val="left"/>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3">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4">
      <w:pPr>
        <w:spacing w:line="360" w:lineRule="auto"/>
        <w:jc w:val="left"/>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05">
      <w:pPr>
        <w:spacing w:line="240" w:lineRule="auto"/>
        <w:jc w:val="center"/>
        <w:rPr>
          <w:b w:val="1"/>
          <w:bCs w:val="1"/>
          <w:i w:val="1"/>
          <w:iCs w:val="1"/>
          <w:sz w:val="32"/>
          <w:szCs w:val="32"/>
        </w:rPr>
      </w:pPr>
      <w:r w:rsidDel="00000000" w:rsidR="00000000" w:rsidRPr="00000000">
        <w:rPr>
          <w:rtl w:val="0"/>
        </w:rPr>
      </w:r>
    </w:p>
    <w:tbl>
      <w:tblPr>
        <w:tblStyle w:val="Table1"/>
        <w:tblW w:w="9922.0" w:type="dxa"/>
        <w:jc w:val="left"/>
        <w:tblInd w:w="392.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000"/>
      </w:tblPr>
      <w:tblGrid>
        <w:gridCol w:w="2093"/>
        <w:gridCol w:w="3322"/>
        <w:gridCol w:w="1559"/>
        <w:gridCol w:w="2948"/>
        <w:tblGridChange w:id="0">
          <w:tblGrid>
            <w:gridCol w:w="2093"/>
            <w:gridCol w:w="3322"/>
            <w:gridCol w:w="1559"/>
            <w:gridCol w:w="2948"/>
          </w:tblGrid>
        </w:tblGridChange>
      </w:tblGrid>
      <w:tr>
        <w:trPr>
          <w:cantSplit w:val="0"/>
          <w:tblHeader w:val="0"/>
        </w:trPr>
        <w:tc>
          <w:tcPr>
            <w:shd w:fill="d9d9d9" w:val="clear"/>
          </w:tcPr>
          <w:p w:rsidR="00000000" w:rsidDel="00000000" w:rsidP="00000000" w:rsidRDefault="00000000" w:rsidRPr="00000000" w14:paraId="00000006">
            <w:pPr>
              <w:spacing w:after="120" w:before="120" w:line="240" w:lineRule="auto"/>
              <w:jc w:val="both"/>
              <w:rPr>
                <w:b w:val="1"/>
                <w:bCs w:val="1"/>
              </w:rPr>
            </w:pPr>
            <w:r w:rsidDel="00000000" w:rsidR="00000000" w:rsidRPr="00000000">
              <w:rPr>
                <w:b w:val="1"/>
                <w:bCs w:val="1"/>
                <w:rtl w:val="0"/>
              </w:rPr>
              <w:t xml:space="preserve">Student name:</w:t>
            </w:r>
          </w:p>
        </w:tc>
        <w:tc>
          <w:tcPr/>
          <w:p w:rsidR="00000000" w:rsidDel="00000000" w:rsidP="00000000" w:rsidRDefault="00000000" w:rsidRPr="00000000" w14:paraId="00000007">
            <w:pPr>
              <w:spacing w:after="120" w:before="120" w:line="240" w:lineRule="auto"/>
              <w:jc w:val="both"/>
              <w:rPr>
                <w:b w:val="1"/>
                <w:bCs w:val="1"/>
              </w:rPr>
            </w:pPr>
            <w:r w:rsidDel="00000000" w:rsidR="00000000" w:rsidRPr="00000000">
              <w:rPr>
                <w:b w:val="1"/>
                <w:bCs w:val="1"/>
                <w:rtl w:val="0"/>
              </w:rPr>
              <w:t xml:space="preserve">  Nazmul Karim Nasim   </w:t>
            </w:r>
          </w:p>
        </w:tc>
        <w:tc>
          <w:tcPr>
            <w:shd w:fill="d9d9d9" w:val="clear"/>
          </w:tcPr>
          <w:p w:rsidR="00000000" w:rsidDel="00000000" w:rsidP="00000000" w:rsidRDefault="00000000" w:rsidRPr="00000000" w14:paraId="00000008">
            <w:pPr>
              <w:spacing w:after="120" w:before="120" w:line="240" w:lineRule="auto"/>
              <w:jc w:val="both"/>
              <w:rPr>
                <w:b w:val="1"/>
                <w:bCs w:val="1"/>
              </w:rPr>
            </w:pPr>
            <w:r w:rsidDel="00000000" w:rsidR="00000000" w:rsidRPr="00000000">
              <w:rPr>
                <w:b w:val="1"/>
                <w:bCs w:val="1"/>
                <w:rtl w:val="0"/>
              </w:rPr>
              <w:t xml:space="preserve">Student ID number:</w:t>
            </w:r>
          </w:p>
        </w:tc>
        <w:tc>
          <w:tcPr/>
          <w:p w:rsidR="00000000" w:rsidDel="00000000" w:rsidP="00000000" w:rsidRDefault="00000000" w:rsidRPr="00000000" w14:paraId="00000009">
            <w:pPr>
              <w:spacing w:after="120" w:before="120" w:line="240" w:lineRule="auto"/>
              <w:jc w:val="both"/>
              <w:rPr>
                <w:b w:val="1"/>
                <w:bCs w:val="1"/>
              </w:rPr>
            </w:pPr>
            <w:r w:rsidDel="00000000" w:rsidR="00000000" w:rsidRPr="00000000">
              <w:rPr>
                <w:b w:val="1"/>
                <w:bCs w:val="1"/>
                <w:rtl w:val="0"/>
              </w:rPr>
              <w:t xml:space="preserve">2411078</w:t>
            </w:r>
          </w:p>
        </w:tc>
      </w:tr>
      <w:tr>
        <w:trPr>
          <w:cantSplit w:val="0"/>
          <w:tblHeader w:val="0"/>
        </w:trPr>
        <w:tc>
          <w:tcPr>
            <w:shd w:fill="d9d9d9" w:val="clear"/>
          </w:tcPr>
          <w:p w:rsidR="00000000" w:rsidDel="00000000" w:rsidP="00000000" w:rsidRDefault="00000000" w:rsidRPr="00000000" w14:paraId="0000000A">
            <w:pPr>
              <w:spacing w:after="120" w:before="120" w:line="240" w:lineRule="auto"/>
              <w:jc w:val="both"/>
              <w:rPr>
                <w:b w:val="1"/>
                <w:bCs w:val="1"/>
              </w:rPr>
            </w:pPr>
            <w:r w:rsidDel="00000000" w:rsidR="00000000" w:rsidRPr="00000000">
              <w:rPr>
                <w:b w:val="1"/>
                <w:bCs w:val="1"/>
                <w:rtl w:val="0"/>
              </w:rPr>
              <w:t xml:space="preserve">Programme:</w:t>
            </w:r>
          </w:p>
        </w:tc>
        <w:tc>
          <w:tcPr>
            <w:gridSpan w:val="3"/>
            <w:vAlign w:val="center"/>
          </w:tcPr>
          <w:p w:rsidR="00000000" w:rsidDel="00000000" w:rsidP="00000000" w:rsidRDefault="00000000" w:rsidRPr="00000000" w14:paraId="0000000B">
            <w:pPr>
              <w:spacing w:after="120" w:before="120" w:line="240" w:lineRule="auto"/>
              <w:jc w:val="both"/>
              <w:rPr>
                <w:b w:val="1"/>
                <w:bCs w:val="1"/>
              </w:rPr>
            </w:pPr>
            <w:r w:rsidDel="00000000" w:rsidR="00000000" w:rsidRPr="00000000">
              <w:rPr>
                <w:b w:val="1"/>
                <w:bCs w:val="1"/>
                <w:rtl w:val="0"/>
              </w:rPr>
              <w:t xml:space="preserve">BA (Hons) Leadership and Management Skills in the Workplace </w:t>
            </w:r>
          </w:p>
        </w:tc>
      </w:tr>
      <w:tr>
        <w:trPr>
          <w:cantSplit w:val="0"/>
          <w:tblHeader w:val="0"/>
        </w:trPr>
        <w:tc>
          <w:tcPr>
            <w:shd w:fill="d9d9d9" w:val="clear"/>
          </w:tcPr>
          <w:p w:rsidR="00000000" w:rsidDel="00000000" w:rsidP="00000000" w:rsidRDefault="00000000" w:rsidRPr="00000000" w14:paraId="0000000E">
            <w:pPr>
              <w:spacing w:after="120" w:before="120" w:line="240" w:lineRule="auto"/>
              <w:jc w:val="both"/>
              <w:rPr>
                <w:b w:val="1"/>
                <w:bCs w:val="1"/>
              </w:rPr>
            </w:pPr>
            <w:r w:rsidDel="00000000" w:rsidR="00000000" w:rsidRPr="00000000">
              <w:rPr>
                <w:b w:val="1"/>
                <w:bCs w:val="1"/>
                <w:rtl w:val="0"/>
              </w:rPr>
              <w:t xml:space="preserve">Module:</w:t>
            </w:r>
          </w:p>
        </w:tc>
        <w:tc>
          <w:tcPr>
            <w:gridSpan w:val="3"/>
            <w:vAlign w:val="center"/>
          </w:tcPr>
          <w:p w:rsidR="00000000" w:rsidDel="00000000" w:rsidP="00000000" w:rsidRDefault="00000000" w:rsidRPr="00000000" w14:paraId="0000000F">
            <w:pPr>
              <w:spacing w:after="120" w:before="120" w:line="240" w:lineRule="auto"/>
              <w:jc w:val="both"/>
              <w:rPr>
                <w:b w:val="1"/>
                <w:bCs w:val="1"/>
              </w:rPr>
            </w:pPr>
            <w:r w:rsidDel="00000000" w:rsidR="00000000" w:rsidRPr="00000000">
              <w:rPr>
                <w:b w:val="1"/>
                <w:bCs w:val="1"/>
                <w:rtl w:val="0"/>
              </w:rPr>
              <w:t xml:space="preserve">Project Management  </w:t>
            </w:r>
          </w:p>
        </w:tc>
      </w:tr>
      <w:tr>
        <w:trPr>
          <w:cantSplit w:val="0"/>
          <w:tblHeader w:val="0"/>
        </w:trPr>
        <w:tc>
          <w:tcPr>
            <w:shd w:fill="d9d9d9" w:val="clear"/>
          </w:tcPr>
          <w:p w:rsidR="00000000" w:rsidDel="00000000" w:rsidP="00000000" w:rsidRDefault="00000000" w:rsidRPr="00000000" w14:paraId="00000012">
            <w:pPr>
              <w:spacing w:after="120" w:before="120" w:line="240" w:lineRule="auto"/>
              <w:jc w:val="both"/>
              <w:rPr>
                <w:b w:val="1"/>
                <w:bCs w:val="1"/>
              </w:rPr>
            </w:pPr>
            <w:r w:rsidDel="00000000" w:rsidR="00000000" w:rsidRPr="00000000">
              <w:rPr>
                <w:b w:val="1"/>
                <w:bCs w:val="1"/>
                <w:rtl w:val="0"/>
              </w:rPr>
              <w:t xml:space="preserve">Module code:</w:t>
            </w:r>
          </w:p>
        </w:tc>
        <w:tc>
          <w:tcPr/>
          <w:p w:rsidR="00000000" w:rsidDel="00000000" w:rsidP="00000000" w:rsidRDefault="00000000" w:rsidRPr="00000000" w14:paraId="00000013">
            <w:pPr>
              <w:spacing w:after="120" w:before="120" w:line="240" w:lineRule="auto"/>
              <w:jc w:val="both"/>
              <w:rPr>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LCLM5003</w:t>
            </w:r>
            <w:r w:rsidDel="00000000" w:rsidR="00000000" w:rsidRPr="00000000">
              <w:rPr>
                <w:sz w:val="24"/>
                <w:szCs w:val="24"/>
                <w:rtl w:val="0"/>
              </w:rPr>
              <w:t xml:space="preserve"> </w:t>
            </w:r>
            <w:r w:rsidDel="00000000" w:rsidR="00000000" w:rsidRPr="00000000">
              <w:rPr>
                <w:rtl w:val="0"/>
              </w:rPr>
            </w:r>
          </w:p>
        </w:tc>
        <w:tc>
          <w:tcPr>
            <w:shd w:fill="d9d9d9" w:val="clear"/>
          </w:tcPr>
          <w:p w:rsidR="00000000" w:rsidDel="00000000" w:rsidP="00000000" w:rsidRDefault="00000000" w:rsidRPr="00000000" w14:paraId="00000014">
            <w:pPr>
              <w:pStyle w:val="Heading2"/>
              <w:keepLines w:val="0"/>
              <w:spacing w:line="240" w:lineRule="auto"/>
              <w:rPr>
                <w:rFonts w:ascii="Arial" w:cs="Arial" w:eastAsia="Arial" w:hAnsi="Arial"/>
                <w:sz w:val="22"/>
                <w:szCs w:val="22"/>
              </w:rPr>
            </w:pPr>
            <w:bookmarkStart w:colFirst="0" w:colLast="0" w:name="_heading=h.44t4su3ae1lr" w:id="0"/>
            <w:bookmarkEnd w:id="0"/>
            <w:r w:rsidDel="00000000" w:rsidR="00000000" w:rsidRPr="00000000">
              <w:rPr>
                <w:sz w:val="24"/>
                <w:szCs w:val="24"/>
                <w:rtl w:val="0"/>
              </w:rPr>
              <w:t xml:space="preserve">Contribution to Overall Module Assessment (%):</w:t>
            </w:r>
            <w:r w:rsidDel="00000000" w:rsidR="00000000" w:rsidRPr="00000000">
              <w:rPr>
                <w:rtl w:val="0"/>
              </w:rPr>
            </w:r>
          </w:p>
        </w:tc>
        <w:tc>
          <w:tcPr/>
          <w:p w:rsidR="00000000" w:rsidDel="00000000" w:rsidP="00000000" w:rsidRDefault="00000000" w:rsidRPr="00000000" w14:paraId="00000015">
            <w:pPr>
              <w:spacing w:after="120" w:before="120" w:line="240" w:lineRule="auto"/>
              <w:jc w:val="both"/>
              <w:rPr>
                <w:b w:val="1"/>
                <w:bCs w:val="1"/>
              </w:rPr>
            </w:pPr>
            <w:r w:rsidDel="00000000" w:rsidR="00000000" w:rsidRPr="00000000">
              <w:rPr>
                <w:b w:val="1"/>
                <w:bCs w:val="1"/>
                <w:rtl w:val="0"/>
              </w:rPr>
              <w:t xml:space="preserve">100%</w:t>
            </w:r>
          </w:p>
        </w:tc>
      </w:tr>
      <w:tr>
        <w:trPr>
          <w:cantSplit w:val="0"/>
          <w:tblHeader w:val="0"/>
        </w:trPr>
        <w:tc>
          <w:tcPr>
            <w:shd w:fill="d9d9d9" w:val="clear"/>
          </w:tcPr>
          <w:p w:rsidR="00000000" w:rsidDel="00000000" w:rsidP="00000000" w:rsidRDefault="00000000" w:rsidRPr="00000000" w14:paraId="00000016">
            <w:pPr>
              <w:spacing w:after="120" w:before="120" w:line="240" w:lineRule="auto"/>
              <w:jc w:val="both"/>
              <w:rPr/>
            </w:pPr>
            <w:r w:rsidDel="00000000" w:rsidR="00000000" w:rsidRPr="00000000">
              <w:rPr>
                <w:b w:val="1"/>
                <w:bCs w:val="1"/>
                <w:rtl w:val="0"/>
              </w:rPr>
              <w:t xml:space="preserve"> Module Leaders:</w:t>
            </w:r>
            <w:r w:rsidDel="00000000" w:rsidR="00000000" w:rsidRPr="00000000">
              <w:rPr>
                <w:rtl w:val="0"/>
              </w:rPr>
            </w:r>
          </w:p>
        </w:tc>
        <w:tc>
          <w:tcPr>
            <w:vAlign w:val="center"/>
          </w:tcPr>
          <w:p w:rsidR="00000000" w:rsidDel="00000000" w:rsidP="00000000" w:rsidRDefault="00000000" w:rsidRPr="00000000" w14:paraId="00000017">
            <w:pPr>
              <w:spacing w:after="120" w:before="120" w:line="240" w:lineRule="auto"/>
              <w:jc w:val="both"/>
              <w:rPr>
                <w:b w:val="1"/>
                <w:bCs w:val="1"/>
              </w:rPr>
            </w:pPr>
            <w:r w:rsidDel="00000000" w:rsidR="00000000" w:rsidRPr="00000000">
              <w:rPr>
                <w:b w:val="1"/>
                <w:bCs w:val="1"/>
                <w:rtl w:val="0"/>
              </w:rPr>
              <w:t xml:space="preserve">Rexon Nting</w:t>
            </w:r>
          </w:p>
          <w:p w:rsidR="00000000" w:rsidDel="00000000" w:rsidP="00000000" w:rsidRDefault="00000000" w:rsidRPr="00000000" w14:paraId="00000018">
            <w:pPr>
              <w:spacing w:after="120" w:before="120" w:line="240" w:lineRule="auto"/>
              <w:jc w:val="both"/>
              <w:rPr>
                <w:b w:val="1"/>
                <w:bCs w:val="1"/>
              </w:rPr>
            </w:pPr>
            <w:r w:rsidDel="00000000" w:rsidR="00000000" w:rsidRPr="00000000">
              <w:rPr>
                <w:b w:val="1"/>
                <w:bCs w:val="1"/>
                <w:rtl w:val="0"/>
              </w:rPr>
              <w:t xml:space="preserve">Doreen Nyaa Amundam</w:t>
            </w:r>
          </w:p>
          <w:p w:rsidR="00000000" w:rsidDel="00000000" w:rsidP="00000000" w:rsidRDefault="00000000" w:rsidRPr="00000000" w14:paraId="00000019">
            <w:pPr>
              <w:spacing w:after="120" w:before="120" w:line="240" w:lineRule="auto"/>
              <w:jc w:val="both"/>
              <w:rPr/>
            </w:pPr>
            <w:r w:rsidDel="00000000" w:rsidR="00000000" w:rsidRPr="00000000">
              <w:rPr>
                <w:rtl w:val="0"/>
              </w:rPr>
            </w:r>
          </w:p>
        </w:tc>
        <w:tc>
          <w:tcPr>
            <w:shd w:fill="d9d9d9" w:val="clear"/>
            <w:vAlign w:val="center"/>
          </w:tcPr>
          <w:p w:rsidR="00000000" w:rsidDel="00000000" w:rsidP="00000000" w:rsidRDefault="00000000" w:rsidRPr="00000000" w14:paraId="0000001A">
            <w:pPr>
              <w:spacing w:after="120" w:before="120" w:line="240" w:lineRule="auto"/>
              <w:jc w:val="both"/>
              <w:rPr/>
            </w:pPr>
            <w:r w:rsidDel="00000000" w:rsidR="00000000" w:rsidRPr="00000000">
              <w:rPr>
                <w:b w:val="1"/>
                <w:bCs w:val="1"/>
                <w:rtl w:val="0"/>
              </w:rPr>
              <w:t xml:space="preserve">Internal Verifier:</w:t>
            </w:r>
            <w:r w:rsidDel="00000000" w:rsidR="00000000" w:rsidRPr="00000000">
              <w:rPr>
                <w:rtl w:val="0"/>
              </w:rPr>
            </w:r>
          </w:p>
        </w:tc>
        <w:tc>
          <w:tcPr>
            <w:vAlign w:val="center"/>
          </w:tcPr>
          <w:p w:rsidR="00000000" w:rsidDel="00000000" w:rsidP="00000000" w:rsidRDefault="00000000" w:rsidRPr="00000000" w14:paraId="0000001B">
            <w:pPr>
              <w:spacing w:after="120" w:before="120" w:line="240" w:lineRule="auto"/>
              <w:jc w:val="both"/>
              <w:rPr>
                <w:b w:val="1"/>
                <w:bCs w:val="1"/>
              </w:rPr>
            </w:pPr>
            <w:r w:rsidDel="00000000" w:rsidR="00000000" w:rsidRPr="00000000">
              <w:rPr>
                <w:b w:val="1"/>
                <w:bCs w:val="1"/>
                <w:rtl w:val="0"/>
              </w:rPr>
              <w:t xml:space="preserve">Md Kalam</w:t>
            </w:r>
          </w:p>
          <w:p w:rsidR="00000000" w:rsidDel="00000000" w:rsidP="00000000" w:rsidRDefault="00000000" w:rsidRPr="00000000" w14:paraId="0000001C">
            <w:pPr>
              <w:spacing w:after="120" w:before="120" w:line="240" w:lineRule="auto"/>
              <w:jc w:val="both"/>
              <w:rPr/>
            </w:pPr>
            <w:r w:rsidDel="00000000" w:rsidR="00000000" w:rsidRPr="00000000">
              <w:rPr>
                <w:b w:val="1"/>
                <w:bCs w:val="1"/>
                <w:rtl w:val="0"/>
              </w:rPr>
              <w:t xml:space="preserve">Samuel Ofori</w:t>
            </w:r>
            <w:r w:rsidDel="00000000" w:rsidR="00000000" w:rsidRPr="00000000">
              <w:rPr>
                <w:rtl w:val="0"/>
              </w:rPr>
            </w:r>
          </w:p>
        </w:tc>
      </w:tr>
      <w:tr>
        <w:trPr>
          <w:cantSplit w:val="0"/>
          <w:tblHeader w:val="0"/>
        </w:trPr>
        <w:tc>
          <w:tcPr>
            <w:shd w:fill="d9d9d9" w:val="clear"/>
          </w:tcPr>
          <w:p w:rsidR="00000000" w:rsidDel="00000000" w:rsidP="00000000" w:rsidRDefault="00000000" w:rsidRPr="00000000" w14:paraId="0000001D">
            <w:pPr>
              <w:spacing w:after="120" w:before="120" w:line="240" w:lineRule="auto"/>
              <w:jc w:val="both"/>
              <w:rPr>
                <w:b w:val="1"/>
                <w:bCs w:val="1"/>
              </w:rPr>
            </w:pPr>
            <w:r w:rsidDel="00000000" w:rsidR="00000000" w:rsidRPr="00000000">
              <w:rPr>
                <w:b w:val="1"/>
                <w:bCs w:val="1"/>
                <w:rtl w:val="0"/>
              </w:rPr>
              <w:t xml:space="preserve">Assignment Title:</w:t>
            </w:r>
          </w:p>
        </w:tc>
        <w:tc>
          <w:tcPr/>
          <w:p w:rsidR="00000000" w:rsidDel="00000000" w:rsidP="00000000" w:rsidRDefault="00000000" w:rsidRPr="00000000" w14:paraId="0000001E">
            <w:pPr>
              <w:spacing w:after="120" w:before="120" w:line="240" w:lineRule="auto"/>
              <w:jc w:val="both"/>
              <w:rPr>
                <w:b w:val="1"/>
                <w:bCs w:val="1"/>
                <w:sz w:val="24"/>
                <w:szCs w:val="24"/>
              </w:rPr>
            </w:pPr>
            <w:r w:rsidDel="00000000" w:rsidR="00000000" w:rsidRPr="00000000">
              <w:rPr>
                <w:sz w:val="24"/>
                <w:szCs w:val="24"/>
                <w:rtl w:val="0"/>
              </w:rPr>
              <w:t xml:space="preserve">A Project portfolio.</w:t>
            </w:r>
            <w:r w:rsidDel="00000000" w:rsidR="00000000" w:rsidRPr="00000000">
              <w:rPr>
                <w:rtl w:val="0"/>
              </w:rPr>
            </w:r>
          </w:p>
        </w:tc>
        <w:tc>
          <w:tcPr>
            <w:shd w:fill="d9d9d9" w:val="clear"/>
          </w:tcPr>
          <w:p w:rsidR="00000000" w:rsidDel="00000000" w:rsidP="00000000" w:rsidRDefault="00000000" w:rsidRPr="00000000" w14:paraId="0000001F">
            <w:pPr>
              <w:spacing w:after="120" w:before="120" w:line="240" w:lineRule="auto"/>
              <w:jc w:val="both"/>
              <w:rPr>
                <w:b w:val="1"/>
                <w:bCs w:val="1"/>
              </w:rPr>
            </w:pPr>
            <w:r w:rsidDel="00000000" w:rsidR="00000000" w:rsidRPr="00000000">
              <w:rPr>
                <w:b w:val="1"/>
                <w:bCs w:val="1"/>
                <w:rtl w:val="0"/>
              </w:rPr>
              <w:t xml:space="preserve">Word count or equivalent. </w:t>
            </w:r>
          </w:p>
        </w:tc>
        <w:tc>
          <w:tcPr/>
          <w:p w:rsidR="00000000" w:rsidDel="00000000" w:rsidP="00000000" w:rsidRDefault="00000000" w:rsidRPr="00000000" w14:paraId="00000020">
            <w:pPr>
              <w:spacing w:after="120" w:before="120" w:line="240" w:lineRule="auto"/>
              <w:jc w:val="both"/>
              <w:rPr/>
            </w:pPr>
            <w:r w:rsidDel="00000000" w:rsidR="00000000" w:rsidRPr="00000000">
              <w:rPr>
                <w:rtl w:val="0"/>
              </w:rPr>
              <w:t xml:space="preserve">Part A (Poster): Equivalent of 500 words</w:t>
            </w:r>
          </w:p>
          <w:p w:rsidR="00000000" w:rsidDel="00000000" w:rsidP="00000000" w:rsidRDefault="00000000" w:rsidRPr="00000000" w14:paraId="00000021">
            <w:pPr>
              <w:spacing w:after="120" w:before="120" w:line="240" w:lineRule="auto"/>
              <w:jc w:val="both"/>
              <w:rPr/>
            </w:pPr>
            <w:r w:rsidDel="00000000" w:rsidR="00000000" w:rsidRPr="00000000">
              <w:rPr>
                <w:rtl w:val="0"/>
              </w:rPr>
            </w:r>
          </w:p>
          <w:p w:rsidR="00000000" w:rsidDel="00000000" w:rsidP="00000000" w:rsidRDefault="00000000" w:rsidRPr="00000000" w14:paraId="00000022">
            <w:pPr>
              <w:spacing w:after="120" w:before="120" w:line="240" w:lineRule="auto"/>
              <w:jc w:val="both"/>
              <w:rPr/>
            </w:pPr>
            <w:r w:rsidDel="00000000" w:rsidR="00000000" w:rsidRPr="00000000">
              <w:rPr>
                <w:rtl w:val="0"/>
              </w:rPr>
              <w:t xml:space="preserve">Part B (Reflection on Feedback): 500 words (10%+/-)</w:t>
            </w:r>
          </w:p>
          <w:p w:rsidR="00000000" w:rsidDel="00000000" w:rsidP="00000000" w:rsidRDefault="00000000" w:rsidRPr="00000000" w14:paraId="00000023">
            <w:pPr>
              <w:spacing w:after="120" w:before="120" w:line="240" w:lineRule="auto"/>
              <w:jc w:val="both"/>
              <w:rPr/>
            </w:pPr>
            <w:r w:rsidDel="00000000" w:rsidR="00000000" w:rsidRPr="00000000">
              <w:rPr>
                <w:rtl w:val="0"/>
              </w:rPr>
            </w:r>
          </w:p>
          <w:p w:rsidR="00000000" w:rsidDel="00000000" w:rsidP="00000000" w:rsidRDefault="00000000" w:rsidRPr="00000000" w14:paraId="00000024">
            <w:pPr>
              <w:spacing w:after="120" w:before="120" w:line="240" w:lineRule="auto"/>
              <w:jc w:val="both"/>
              <w:rPr/>
            </w:pPr>
            <w:r w:rsidDel="00000000" w:rsidR="00000000" w:rsidRPr="00000000">
              <w:rPr>
                <w:rtl w:val="0"/>
              </w:rPr>
              <w:t xml:space="preserve">Part C (project management plan): 2500 words (10%+/-)</w:t>
            </w:r>
          </w:p>
        </w:tc>
      </w:tr>
    </w:tbl>
    <w:p w:rsidR="00000000" w:rsidDel="00000000" w:rsidP="00000000" w:rsidRDefault="00000000" w:rsidRPr="00000000" w14:paraId="00000025">
      <w:pPr>
        <w:spacing w:line="240" w:lineRule="auto"/>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26">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27">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28">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29">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2A">
      <w:pPr>
        <w:spacing w:line="360" w:lineRule="auto"/>
        <w:jc w:val="center"/>
        <w:rPr>
          <w:rFonts w:ascii="Times New Roman" w:cs="Times New Roman" w:eastAsia="Times New Roman" w:hAnsi="Times New Roman"/>
          <w:b w:val="1"/>
          <w:bCs w:val="1"/>
          <w:sz w:val="32"/>
          <w:szCs w:val="32"/>
        </w:rPr>
      </w:pPr>
      <w:r w:rsidDel="00000000" w:rsidR="00000000" w:rsidRPr="00000000">
        <w:rPr>
          <w:rtl w:val="0"/>
        </w:rPr>
      </w:r>
    </w:p>
    <w:p w:rsidR="00000000" w:rsidDel="00000000" w:rsidP="00000000" w:rsidRDefault="00000000" w:rsidRPr="00000000" w14:paraId="0000002B">
      <w:pPr>
        <w:spacing w:line="36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A Project portfolio.</w:t>
      </w:r>
    </w:p>
    <w:p w:rsidR="00000000" w:rsidDel="00000000" w:rsidP="00000000" w:rsidRDefault="00000000" w:rsidRPr="00000000" w14:paraId="0000002C">
      <w:pPr>
        <w:spacing w:line="36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2D">
      <w:pPr>
        <w:spacing w:line="360" w:lineRule="auto"/>
        <w:jc w:val="center"/>
        <w:rPr>
          <w:rFonts w:ascii="Times New Roman" w:cs="Times New Roman" w:eastAsia="Times New Roman" w:hAnsi="Times New Roman"/>
          <w:b w:val="1"/>
          <w:bCs w:val="1"/>
          <w:sz w:val="28"/>
          <w:szCs w:val="28"/>
        </w:rPr>
      </w:pPr>
      <w:r w:rsidDel="00000000" w:rsidR="00000000" w:rsidRPr="00000000">
        <w:rPr>
          <w:rtl w:val="0"/>
        </w:rPr>
      </w:r>
    </w:p>
    <w:p w:rsidR="00000000" w:rsidDel="00000000" w:rsidP="00000000" w:rsidRDefault="00000000" w:rsidRPr="00000000" w14:paraId="0000002E">
      <w:pPr>
        <w:spacing w:line="36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Executive Summary</w:t>
      </w:r>
    </w:p>
    <w:p w:rsidR="00000000" w:rsidDel="00000000" w:rsidP="00000000" w:rsidRDefault="00000000" w:rsidRPr="00000000" w14:paraId="0000002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Massive flooding of the A449 strategic highway area between Worcester and Kidderminster will occur in July 2025. Pavement deficiency, bridge instability and lack of drainage capacity disrupted transport connectivity and access of emergency response as well as the economic activity in the region. The area needs to be reconstructed immediately, but it should be done with climate resiliency to diminish vulnerability in the future.</w:t>
      </w:r>
    </w:p>
    <w:p w:rsidR="00000000" w:rsidDel="00000000" w:rsidP="00000000" w:rsidRDefault="00000000" w:rsidRPr="00000000" w14:paraId="0000003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Project Management Plan suggests a guided and authority-based reconstruction of 4.2 kilometres of highway and strengthening of two bridges in a period of twelve months and a budget of £18.5 million. It does adopt a hybrid methodological approach that is used to integrate the PRINCE2 stage-gated governance, Waterfall engineering implementation, and the PMBOK-aligned risk management processes. This combined system is required to maintain accountability, construction control in a sequence, and control over uncertainty in a systematic manner.</w:t>
      </w:r>
    </w:p>
    <w:p w:rsidR="00000000" w:rsidDel="00000000" w:rsidP="00000000" w:rsidRDefault="00000000" w:rsidRPr="00000000" w14:paraId="000000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scope of the project is centred on restoration and enhancement of resilience without involving expansion to avoid scope swelling. Disciplined execution is facilitated by critical path scheduling, analysis, assessment of power, interest in stakeholders, systematic allocation of resources, and quantitative risks. High-risk factors such as a reoccurrence of severe weather, cost increase, and disrupting the supply chain are curbed using contingency planning and contractual protection.</w:t>
      </w:r>
    </w:p>
    <w:p w:rsidR="00000000" w:rsidDel="00000000" w:rsidP="00000000" w:rsidRDefault="00000000" w:rsidRPr="00000000" w14:paraId="000000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Effective delivery will result in restoring connectivity, enhancing flood resistance by forty per cent, and reinforcing people in infrastructure governance without deviating from costs and time.</w:t>
      </w:r>
      <w:r w:rsidDel="00000000" w:rsidR="00000000" w:rsidRPr="00000000">
        <w:br w:type="page"/>
      </w:r>
      <w:r w:rsidDel="00000000" w:rsidR="00000000" w:rsidRPr="00000000">
        <w:rPr>
          <w:rtl w:val="0"/>
        </w:rPr>
      </w:r>
    </w:p>
    <w:p w:rsidR="00000000" w:rsidDel="00000000" w:rsidP="00000000" w:rsidRDefault="00000000" w:rsidRPr="00000000" w14:paraId="0000003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5">
      <w:pPr>
        <w:spacing w:line="360" w:lineRule="auto"/>
        <w:jc w:val="center"/>
        <w:rPr>
          <w:rFonts w:ascii="Times New Roman" w:cs="Times New Roman" w:eastAsia="Times New Roman" w:hAnsi="Times New Roman"/>
          <w:b w:val="1"/>
          <w:bCs w:val="1"/>
          <w:sz w:val="28"/>
          <w:szCs w:val="28"/>
        </w:rPr>
      </w:pPr>
      <w:r w:rsidDel="00000000" w:rsidR="00000000" w:rsidRPr="00000000">
        <w:rPr>
          <w:rFonts w:ascii="Times New Roman" w:cs="Times New Roman" w:eastAsia="Times New Roman" w:hAnsi="Times New Roman"/>
          <w:b w:val="1"/>
          <w:bCs w:val="1"/>
          <w:sz w:val="28"/>
          <w:szCs w:val="28"/>
          <w:rtl w:val="0"/>
        </w:rPr>
        <w:t xml:space="preserve">Table of contents</w:t>
      </w:r>
    </w:p>
    <w:sdt>
      <w:sdtPr>
        <w:id w:val="797552034"/>
        <w:docPartObj>
          <w:docPartGallery w:val="Table of Contents"/>
          <w:docPartUnique w:val="1"/>
        </w:docPartObj>
      </w:sdtPr>
      <w:sdtContent>
        <w:p w:rsidR="00000000" w:rsidDel="00000000" w:rsidP="00000000" w:rsidRDefault="00000000" w:rsidRPr="00000000" w14:paraId="0000003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fldChar w:fldCharType="begin"/>
            <w:instrText xml:space="preserve"> TOC \h \u \z \t "Heading 1,1,Heading 2,2,Heading 3,3,Heading 4,4,Heading 5,5,Heading 6,6,"</w:instrText>
            <w:fldChar w:fldCharType="separate"/>
          </w:r>
          <w:hyperlink w:anchor="_heading=h.y3pttialz5v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PART A - POSTER of the project proposal</w:t>
              <w:tab/>
              <w:t xml:space="preserve">3</w:t>
            </w:r>
          </w:hyperlink>
          <w:r w:rsidDel="00000000" w:rsidR="00000000" w:rsidRPr="00000000">
            <w:rPr>
              <w:rtl w:val="0"/>
            </w:rPr>
          </w:r>
        </w:p>
        <w:p w:rsidR="00000000" w:rsidDel="00000000" w:rsidP="00000000" w:rsidRDefault="00000000" w:rsidRPr="00000000" w14:paraId="0000003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uvol28cgun9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PART B: Reflection on the Types of Feedback Received</w:t>
              <w:tab/>
            </w:r>
          </w:hyperlink>
          <w:r w:rsidDel="00000000" w:rsidR="00000000" w:rsidRPr="00000000">
            <w:rPr>
              <w:rFonts w:ascii="Times New Roman" w:cs="Times New Roman" w:eastAsia="Times New Roman" w:hAnsi="Times New Roman"/>
              <w:sz w:val="24"/>
              <w:szCs w:val="24"/>
              <w:rtl w:val="0"/>
            </w:rPr>
            <w:t xml:space="preserve">5</w:t>
          </w: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z2n9vt4m68ax">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PART C: Project Management Plan</w:t>
              <w:tab/>
            </w:r>
          </w:hyperlink>
          <w:r w:rsidDel="00000000" w:rsidR="00000000" w:rsidRPr="00000000">
            <w:rPr>
              <w:rFonts w:ascii="Times New Roman" w:cs="Times New Roman" w:eastAsia="Times New Roman" w:hAnsi="Times New Roman"/>
              <w:sz w:val="24"/>
              <w:szCs w:val="24"/>
              <w:rtl w:val="0"/>
            </w:rPr>
            <w:t xml:space="preserve">7</w:t>
          </w:r>
          <w:r w:rsidDel="00000000" w:rsidR="00000000" w:rsidRPr="00000000">
            <w:rPr>
              <w:rtl w:val="0"/>
            </w:rPr>
          </w:r>
        </w:p>
        <w:p w:rsidR="00000000" w:rsidDel="00000000" w:rsidP="00000000" w:rsidRDefault="00000000" w:rsidRPr="00000000" w14:paraId="0000003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qczze9xq2reb">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Introduction</w:t>
              <w:tab/>
            </w:r>
          </w:hyperlink>
          <w:r w:rsidDel="00000000" w:rsidR="00000000" w:rsidRPr="00000000">
            <w:rPr>
              <w:rFonts w:ascii="Times New Roman" w:cs="Times New Roman" w:eastAsia="Times New Roman" w:hAnsi="Times New Roman"/>
              <w:sz w:val="24"/>
              <w:szCs w:val="24"/>
              <w:rtl w:val="0"/>
            </w:rPr>
            <w:t xml:space="preserve">7</w:t>
          </w:r>
          <w:r w:rsidDel="00000000" w:rsidR="00000000" w:rsidRPr="00000000">
            <w:rPr>
              <w:rtl w:val="0"/>
            </w:rPr>
          </w:r>
        </w:p>
        <w:p w:rsidR="00000000" w:rsidDel="00000000" w:rsidP="00000000" w:rsidRDefault="00000000" w:rsidRPr="00000000" w14:paraId="0000003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8dmoqmgv85m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Project Description and Strategic Justification</w:t>
              <w:tab/>
            </w:r>
          </w:hyperlink>
          <w:r w:rsidDel="00000000" w:rsidR="00000000" w:rsidRPr="00000000">
            <w:rPr>
              <w:rFonts w:ascii="Times New Roman" w:cs="Times New Roman" w:eastAsia="Times New Roman" w:hAnsi="Times New Roman"/>
              <w:sz w:val="24"/>
              <w:szCs w:val="24"/>
              <w:rtl w:val="0"/>
            </w:rPr>
            <w:t xml:space="preserve">7</w:t>
          </w:r>
          <w:r w:rsidDel="00000000" w:rsidR="00000000" w:rsidRPr="00000000">
            <w:rPr>
              <w:rtl w:val="0"/>
            </w:rPr>
          </w:r>
        </w:p>
        <w:p w:rsidR="00000000" w:rsidDel="00000000" w:rsidP="00000000" w:rsidRDefault="00000000" w:rsidRPr="00000000" w14:paraId="0000003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s0h1ucj4kb5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Methodological Framework</w:t>
              <w:tab/>
            </w:r>
          </w:hyperlink>
          <w:r w:rsidDel="00000000" w:rsidR="00000000" w:rsidRPr="00000000">
            <w:rPr>
              <w:rFonts w:ascii="Times New Roman" w:cs="Times New Roman" w:eastAsia="Times New Roman" w:hAnsi="Times New Roman"/>
              <w:sz w:val="24"/>
              <w:szCs w:val="24"/>
              <w:rtl w:val="0"/>
            </w:rPr>
            <w:t xml:space="preserve">8</w:t>
          </w:r>
          <w:r w:rsidDel="00000000" w:rsidR="00000000" w:rsidRPr="00000000">
            <w:rPr>
              <w:rtl w:val="0"/>
            </w:rPr>
          </w:r>
        </w:p>
        <w:p w:rsidR="00000000" w:rsidDel="00000000" w:rsidP="00000000" w:rsidRDefault="00000000" w:rsidRPr="00000000" w14:paraId="0000003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wpadoxjksgh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Definition and control of Scope</w:t>
              <w:tab/>
            </w:r>
          </w:hyperlink>
          <w:r w:rsidDel="00000000" w:rsidR="00000000" w:rsidRPr="00000000">
            <w:rPr>
              <w:rFonts w:ascii="Times New Roman" w:cs="Times New Roman" w:eastAsia="Times New Roman" w:hAnsi="Times New Roman"/>
              <w:sz w:val="24"/>
              <w:szCs w:val="24"/>
              <w:rtl w:val="0"/>
            </w:rPr>
            <w:t xml:space="preserve">9</w:t>
          </w:r>
          <w:r w:rsidDel="00000000" w:rsidR="00000000" w:rsidRPr="00000000">
            <w:rPr>
              <w:rtl w:val="0"/>
            </w:rPr>
          </w:r>
        </w:p>
        <w:p w:rsidR="00000000" w:rsidDel="00000000" w:rsidP="00000000" w:rsidRDefault="00000000" w:rsidRPr="00000000" w14:paraId="0000003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6kg4agdnifm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Success Metrics</w:t>
              <w:tab/>
              <w:t xml:space="preserve">1</w:t>
            </w:r>
          </w:hyperlink>
          <w:r w:rsidDel="00000000" w:rsidR="00000000" w:rsidRPr="00000000">
            <w:rPr>
              <w:rFonts w:ascii="Times New Roman" w:cs="Times New Roman" w:eastAsia="Times New Roman" w:hAnsi="Times New Roman"/>
              <w:sz w:val="24"/>
              <w:szCs w:val="24"/>
              <w:rtl w:val="0"/>
            </w:rPr>
            <w:t xml:space="preserve">0</w:t>
          </w:r>
          <w:r w:rsidDel="00000000" w:rsidR="00000000" w:rsidRPr="00000000">
            <w:rPr>
              <w:rtl w:val="0"/>
            </w:rPr>
          </w:r>
        </w:p>
        <w:p w:rsidR="00000000" w:rsidDel="00000000" w:rsidP="00000000" w:rsidRDefault="00000000" w:rsidRPr="00000000" w14:paraId="0000003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d7gbaptwr81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Quad Chart</w:t>
              <w:tab/>
              <w:t xml:space="preserve">1</w:t>
            </w:r>
          </w:hyperlink>
          <w:r w:rsidDel="00000000" w:rsidR="00000000" w:rsidRPr="00000000">
            <w:rPr>
              <w:rFonts w:ascii="Times New Roman" w:cs="Times New Roman" w:eastAsia="Times New Roman" w:hAnsi="Times New Roman"/>
              <w:sz w:val="24"/>
              <w:szCs w:val="24"/>
              <w:rtl w:val="0"/>
            </w:rPr>
            <w:t xml:space="preserve">1</w:t>
          </w:r>
          <w:r w:rsidDel="00000000" w:rsidR="00000000" w:rsidRPr="00000000">
            <w:rPr>
              <w:rtl w:val="0"/>
            </w:rPr>
          </w:r>
        </w:p>
        <w:p w:rsidR="00000000" w:rsidDel="00000000" w:rsidP="00000000" w:rsidRDefault="00000000" w:rsidRPr="00000000" w14:paraId="0000003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ssmt3r78svx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Work Breakdown Structure (WBS)</w:t>
              <w:tab/>
              <w:t xml:space="preserve">1</w:t>
            </w:r>
          </w:hyperlink>
          <w:r w:rsidDel="00000000" w:rsidR="00000000" w:rsidRPr="00000000">
            <w:rPr>
              <w:rFonts w:ascii="Times New Roman" w:cs="Times New Roman" w:eastAsia="Times New Roman" w:hAnsi="Times New Roman"/>
              <w:sz w:val="24"/>
              <w:szCs w:val="24"/>
              <w:rtl w:val="0"/>
            </w:rPr>
            <w:t xml:space="preserve">2</w:t>
          </w:r>
          <w:r w:rsidDel="00000000" w:rsidR="00000000" w:rsidRPr="00000000">
            <w:rPr>
              <w:rtl w:val="0"/>
            </w:rPr>
          </w:r>
        </w:p>
        <w:p w:rsidR="00000000" w:rsidDel="00000000" w:rsidP="00000000" w:rsidRDefault="00000000" w:rsidRPr="00000000" w14:paraId="0000004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zbfyav6bl5nv">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Scheduling and Critical Path Analysis</w:t>
              <w:tab/>
              <w:t xml:space="preserve">1</w:t>
            </w:r>
          </w:hyperlink>
          <w:r w:rsidDel="00000000" w:rsidR="00000000" w:rsidRPr="00000000">
            <w:rPr>
              <w:rFonts w:ascii="Times New Roman" w:cs="Times New Roman" w:eastAsia="Times New Roman" w:hAnsi="Times New Roman"/>
              <w:sz w:val="24"/>
              <w:szCs w:val="24"/>
              <w:rtl w:val="0"/>
            </w:rPr>
            <w:t xml:space="preserve">3</w:t>
          </w:r>
          <w:r w:rsidDel="00000000" w:rsidR="00000000" w:rsidRPr="00000000">
            <w:rPr>
              <w:rtl w:val="0"/>
            </w:rPr>
          </w:r>
        </w:p>
        <w:p w:rsidR="00000000" w:rsidDel="00000000" w:rsidP="00000000" w:rsidRDefault="00000000" w:rsidRPr="00000000" w14:paraId="0000004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69bnfk99weq5">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Stakeholder Governance and Engagement</w:t>
              <w:tab/>
              <w:t xml:space="preserve">1</w:t>
            </w:r>
          </w:hyperlink>
          <w:r w:rsidDel="00000000" w:rsidR="00000000" w:rsidRPr="00000000">
            <w:rPr>
              <w:rFonts w:ascii="Times New Roman" w:cs="Times New Roman" w:eastAsia="Times New Roman" w:hAnsi="Times New Roman"/>
              <w:sz w:val="24"/>
              <w:szCs w:val="24"/>
              <w:rtl w:val="0"/>
            </w:rPr>
            <w:t xml:space="preserve">4</w:t>
          </w:r>
          <w:r w:rsidDel="00000000" w:rsidR="00000000" w:rsidRPr="00000000">
            <w:rPr>
              <w:rtl w:val="0"/>
            </w:rPr>
          </w:r>
        </w:p>
        <w:p w:rsidR="00000000" w:rsidDel="00000000" w:rsidP="00000000" w:rsidRDefault="00000000" w:rsidRPr="00000000" w14:paraId="0000004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m9deg8101bqa">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Resource Allocation Strategy</w:t>
              <w:tab/>
              <w:t xml:space="preserve">1</w:t>
            </w:r>
          </w:hyperlink>
          <w:r w:rsidDel="00000000" w:rsidR="00000000" w:rsidRPr="00000000">
            <w:rPr>
              <w:rFonts w:ascii="Times New Roman" w:cs="Times New Roman" w:eastAsia="Times New Roman" w:hAnsi="Times New Roman"/>
              <w:sz w:val="24"/>
              <w:szCs w:val="24"/>
              <w:rtl w:val="0"/>
            </w:rPr>
            <w:t xml:space="preserve">5</w:t>
          </w:r>
          <w:r w:rsidDel="00000000" w:rsidR="00000000" w:rsidRPr="00000000">
            <w:rPr>
              <w:rtl w:val="0"/>
            </w:rPr>
          </w:r>
        </w:p>
        <w:p w:rsidR="00000000" w:rsidDel="00000000" w:rsidP="00000000" w:rsidRDefault="00000000" w:rsidRPr="00000000" w14:paraId="0000004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fonwav6beqb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Risk Analysis and Uncertainty Management</w:t>
              <w:tab/>
              <w:t xml:space="preserve">1</w:t>
            </w:r>
          </w:hyperlink>
          <w:r w:rsidDel="00000000" w:rsidR="00000000" w:rsidRPr="00000000">
            <w:rPr>
              <w:rFonts w:ascii="Times New Roman" w:cs="Times New Roman" w:eastAsia="Times New Roman" w:hAnsi="Times New Roman"/>
              <w:sz w:val="24"/>
              <w:szCs w:val="24"/>
              <w:rtl w:val="0"/>
            </w:rPr>
            <w:t xml:space="preserve">8</w:t>
          </w:r>
          <w:r w:rsidDel="00000000" w:rsidR="00000000" w:rsidRPr="00000000">
            <w:rPr>
              <w:rtl w:val="0"/>
            </w:rPr>
          </w:r>
        </w:p>
        <w:p w:rsidR="00000000" w:rsidDel="00000000" w:rsidP="00000000" w:rsidRDefault="00000000" w:rsidRPr="00000000" w14:paraId="0000004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xdk7auip23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Governance, Control and Ethical Oversight</w:t>
              <w:tab/>
            </w:r>
          </w:hyperlink>
          <w:r w:rsidDel="00000000" w:rsidR="00000000" w:rsidRPr="00000000">
            <w:rPr>
              <w:rFonts w:ascii="Times New Roman" w:cs="Times New Roman" w:eastAsia="Times New Roman" w:hAnsi="Times New Roman"/>
              <w:sz w:val="24"/>
              <w:szCs w:val="24"/>
              <w:rtl w:val="0"/>
            </w:rPr>
            <w:t xml:space="preserve">19</w:t>
          </w:r>
          <w:r w:rsidDel="00000000" w:rsidR="00000000" w:rsidRPr="00000000">
            <w:rPr>
              <w:rtl w:val="0"/>
            </w:rPr>
          </w:r>
        </w:p>
        <w:p w:rsidR="00000000" w:rsidDel="00000000" w:rsidP="00000000" w:rsidRDefault="00000000" w:rsidRPr="00000000" w14:paraId="0000004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udcokd8il6u7">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Limitations in the methodology and Wider Horizons</w:t>
              <w:tab/>
            </w:r>
          </w:hyperlink>
          <w:r w:rsidDel="00000000" w:rsidR="00000000" w:rsidRPr="00000000">
            <w:fldChar w:fldCharType="begin"/>
            <w:instrText xml:space="preserve"> PAGEREF _heading=h.udcokd8il6u7 \h </w:instrText>
            <w:fldChar w:fldCharType="separate"/>
          </w:r>
          <w:r w:rsidDel="00000000" w:rsidR="00000000" w:rsidRPr="00000000">
            <w:rPr>
              <w:rFonts w:ascii="Times New Roman" w:cs="Times New Roman" w:eastAsia="Times New Roman" w:hAnsi="Times New Roman"/>
              <w:sz w:val="24"/>
              <w:szCs w:val="24"/>
              <w:rtl w:val="0"/>
            </w:rPr>
            <w:t xml:space="preserve">1</w:t>
          </w:r>
          <w:r w:rsidDel="00000000" w:rsidR="00000000" w:rsidRPr="00000000">
            <w:fldChar w:fldCharType="end"/>
          </w:r>
          <w:r w:rsidDel="00000000" w:rsidR="00000000" w:rsidRPr="00000000">
            <w:rPr>
              <w:rFonts w:ascii="Times New Roman" w:cs="Times New Roman" w:eastAsia="Times New Roman" w:hAnsi="Times New Roman"/>
              <w:sz w:val="24"/>
              <w:szCs w:val="24"/>
              <w:rtl w:val="0"/>
            </w:rPr>
            <w:t xml:space="preserve">9</w:t>
          </w:r>
          <w:r w:rsidDel="00000000" w:rsidR="00000000" w:rsidRPr="00000000">
            <w:rPr>
              <w:rtl w:val="0"/>
            </w:rPr>
          </w:r>
        </w:p>
        <w:p w:rsidR="00000000" w:rsidDel="00000000" w:rsidP="00000000" w:rsidRDefault="00000000" w:rsidRPr="00000000" w14:paraId="0000004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22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1orqce8yrcgc">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Conclusion</w:t>
              <w:tab/>
            </w:r>
          </w:hyperlink>
          <w:r w:rsidDel="00000000" w:rsidR="00000000" w:rsidRPr="00000000">
            <w:rPr>
              <w:rFonts w:ascii="Times New Roman" w:cs="Times New Roman" w:eastAsia="Times New Roman" w:hAnsi="Times New Roman"/>
              <w:sz w:val="24"/>
              <w:szCs w:val="24"/>
              <w:rtl w:val="0"/>
            </w:rPr>
            <w:t xml:space="preserve">19</w:t>
          </w:r>
          <w:r w:rsidDel="00000000" w:rsidR="00000000" w:rsidRPr="00000000">
            <w:rPr>
              <w:rtl w:val="0"/>
            </w:rPr>
          </w:r>
        </w:p>
        <w:p w:rsidR="00000000" w:rsidDel="00000000" w:rsidP="00000000" w:rsidRDefault="00000000" w:rsidRPr="00000000" w14:paraId="0000004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hyperlink w:anchor="_heading=h.klmf28j9jihz">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References</w:t>
              <w:tab/>
              <w:t xml:space="preserve">2</w:t>
            </w:r>
          </w:hyperlink>
          <w:r w:rsidDel="00000000" w:rsidR="00000000" w:rsidRPr="00000000">
            <w:rPr>
              <w:rFonts w:ascii="Times New Roman" w:cs="Times New Roman" w:eastAsia="Times New Roman" w:hAnsi="Times New Roman"/>
              <w:sz w:val="24"/>
              <w:szCs w:val="24"/>
              <w:rtl w:val="0"/>
            </w:rPr>
            <w:t xml:space="preserve">0</w:t>
          </w:r>
          <w:r w:rsidDel="00000000" w:rsidR="00000000" w:rsidRPr="00000000">
            <w:rPr>
              <w:rtl w:val="0"/>
            </w:rPr>
          </w:r>
        </w:p>
        <w:p w:rsidR="00000000" w:rsidDel="00000000" w:rsidP="00000000" w:rsidRDefault="00000000" w:rsidRPr="00000000" w14:paraId="0000004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350"/>
            </w:tabs>
            <w:spacing w:after="100" w:before="0" w:line="36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49">
          <w:pPr>
            <w:widowControl w:val="0"/>
            <w:tabs>
              <w:tab w:val="right" w:leader="none" w:pos="9360"/>
            </w:tabs>
            <w:spacing w:before="60" w:line="360" w:lineRule="auto"/>
            <w:jc w:val="both"/>
            <w:rPr>
              <w:rFonts w:ascii="Times New Roman" w:cs="Times New Roman" w:eastAsia="Times New Roman" w:hAnsi="Times New Roman"/>
              <w:color w:val="000000"/>
              <w:sz w:val="24"/>
              <w:szCs w:val="24"/>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4A">
      <w:pPr>
        <w:pStyle w:val="Heading1"/>
        <w:spacing w:line="360" w:lineRule="auto"/>
        <w:jc w:val="both"/>
        <w:rPr/>
      </w:pPr>
      <w:r w:rsidDel="00000000" w:rsidR="00000000" w:rsidRPr="00000000">
        <w:rPr>
          <w:rtl w:val="0"/>
        </w:rPr>
      </w:r>
    </w:p>
    <w:p w:rsidR="00000000" w:rsidDel="00000000" w:rsidP="00000000" w:rsidRDefault="00000000" w:rsidRPr="00000000" w14:paraId="0000004B">
      <w:pPr>
        <w:pStyle w:val="Heading1"/>
        <w:spacing w:line="360" w:lineRule="auto"/>
        <w:jc w:val="both"/>
        <w:rPr/>
      </w:pPr>
      <w:bookmarkStart w:colFirst="0" w:colLast="0" w:name="_heading=h.83nmqf1emk96" w:id="1"/>
      <w:bookmarkEnd w:id="1"/>
      <w:r w:rsidDel="00000000" w:rsidR="00000000" w:rsidRPr="00000000">
        <w:rPr>
          <w:rtl w:val="0"/>
        </w:rPr>
      </w:r>
    </w:p>
    <w:p w:rsidR="00000000" w:rsidDel="00000000" w:rsidP="00000000" w:rsidRDefault="00000000" w:rsidRPr="00000000" w14:paraId="0000004C">
      <w:pPr>
        <w:pStyle w:val="Heading1"/>
        <w:spacing w:line="360" w:lineRule="auto"/>
        <w:jc w:val="both"/>
        <w:rPr/>
      </w:pPr>
      <w:bookmarkStart w:colFirst="0" w:colLast="0" w:name="_heading=h.hvbj5c5lf3ti" w:id="2"/>
      <w:bookmarkEnd w:id="2"/>
      <w:r w:rsidDel="00000000" w:rsidR="00000000" w:rsidRPr="00000000">
        <w:rPr>
          <w:rtl w:val="0"/>
        </w:rPr>
      </w:r>
    </w:p>
    <w:p w:rsidR="00000000" w:rsidDel="00000000" w:rsidP="00000000" w:rsidRDefault="00000000" w:rsidRPr="00000000" w14:paraId="0000004D">
      <w:pPr>
        <w:pStyle w:val="Heading1"/>
        <w:spacing w:line="360" w:lineRule="auto"/>
        <w:jc w:val="both"/>
        <w:rPr/>
      </w:pPr>
      <w:bookmarkStart w:colFirst="0" w:colLast="0" w:name="_heading=h.h0euqp2d1oom" w:id="3"/>
      <w:bookmarkEnd w:id="3"/>
      <w:r w:rsidDel="00000000" w:rsidR="00000000" w:rsidRPr="00000000">
        <w:rPr>
          <w:rtl w:val="0"/>
        </w:rPr>
      </w:r>
    </w:p>
    <w:p w:rsidR="00000000" w:rsidDel="00000000" w:rsidP="00000000" w:rsidRDefault="00000000" w:rsidRPr="00000000" w14:paraId="0000004E">
      <w:pPr>
        <w:pStyle w:val="Heading1"/>
        <w:spacing w:line="360" w:lineRule="auto"/>
        <w:jc w:val="both"/>
        <w:rPr/>
      </w:pPr>
      <w:bookmarkStart w:colFirst="0" w:colLast="0" w:name="_heading=h.cly3c23vebu5" w:id="4"/>
      <w:bookmarkEnd w:id="4"/>
      <w:r w:rsidDel="00000000" w:rsidR="00000000" w:rsidRPr="00000000">
        <w:rPr>
          <w:rtl w:val="0"/>
        </w:rPr>
      </w:r>
    </w:p>
    <w:p w:rsidR="00000000" w:rsidDel="00000000" w:rsidP="00000000" w:rsidRDefault="00000000" w:rsidRPr="00000000" w14:paraId="0000004F">
      <w:pPr>
        <w:pStyle w:val="Heading1"/>
        <w:spacing w:line="360" w:lineRule="auto"/>
        <w:jc w:val="both"/>
        <w:rPr/>
      </w:pPr>
      <w:bookmarkStart w:colFirst="0" w:colLast="0" w:name="_heading=h.n4w4s3p0drup" w:id="5"/>
      <w:bookmarkEnd w:id="5"/>
      <w:r w:rsidDel="00000000" w:rsidR="00000000" w:rsidRPr="00000000">
        <w:rPr>
          <w:rtl w:val="0"/>
        </w:rPr>
      </w:r>
    </w:p>
    <w:p w:rsidR="00000000" w:rsidDel="00000000" w:rsidP="00000000" w:rsidRDefault="00000000" w:rsidRPr="00000000" w14:paraId="00000050">
      <w:pPr>
        <w:pStyle w:val="Heading1"/>
        <w:spacing w:line="360" w:lineRule="auto"/>
        <w:jc w:val="both"/>
        <w:rPr/>
      </w:pPr>
      <w:bookmarkStart w:colFirst="0" w:colLast="0" w:name="_heading=h.8x0i1w73t2cw" w:id="6"/>
      <w:bookmarkEnd w:id="6"/>
      <w:r w:rsidDel="00000000" w:rsidR="00000000" w:rsidRPr="00000000">
        <w:rPr>
          <w:rtl w:val="0"/>
        </w:rPr>
      </w:r>
    </w:p>
    <w:p w:rsidR="00000000" w:rsidDel="00000000" w:rsidP="00000000" w:rsidRDefault="00000000" w:rsidRPr="00000000" w14:paraId="00000051">
      <w:pPr>
        <w:pStyle w:val="Heading1"/>
        <w:spacing w:line="360" w:lineRule="auto"/>
        <w:jc w:val="both"/>
        <w:rPr/>
      </w:pPr>
      <w:bookmarkStart w:colFirst="0" w:colLast="0" w:name="_heading=h.6mvrgpksorox" w:id="7"/>
      <w:bookmarkEnd w:id="7"/>
      <w:r w:rsidDel="00000000" w:rsidR="00000000" w:rsidRPr="00000000">
        <w:rPr>
          <w:rtl w:val="0"/>
        </w:rPr>
      </w:r>
    </w:p>
    <w:p w:rsidR="00000000" w:rsidDel="00000000" w:rsidP="00000000" w:rsidRDefault="00000000" w:rsidRPr="00000000" w14:paraId="00000052">
      <w:pPr>
        <w:pStyle w:val="Heading1"/>
        <w:spacing w:line="360" w:lineRule="auto"/>
        <w:jc w:val="both"/>
        <w:rPr/>
      </w:pPr>
      <w:bookmarkStart w:colFirst="0" w:colLast="0" w:name="_heading=h.iff0emgribg3" w:id="8"/>
      <w:bookmarkEnd w:id="8"/>
      <w:r w:rsidDel="00000000" w:rsidR="00000000" w:rsidRPr="00000000">
        <w:rPr>
          <w:rtl w:val="0"/>
        </w:rPr>
      </w:r>
    </w:p>
    <w:p w:rsidR="00000000" w:rsidDel="00000000" w:rsidP="00000000" w:rsidRDefault="00000000" w:rsidRPr="00000000" w14:paraId="00000053">
      <w:pPr>
        <w:pStyle w:val="Heading1"/>
        <w:spacing w:line="360" w:lineRule="auto"/>
        <w:jc w:val="both"/>
        <w:rPr/>
      </w:pPr>
      <w:bookmarkStart w:colFirst="0" w:colLast="0" w:name="_heading=h.y3pttialz5vp" w:id="9"/>
      <w:bookmarkEnd w:id="9"/>
      <w:r w:rsidDel="00000000" w:rsidR="00000000" w:rsidRPr="00000000">
        <w:rPr>
          <w:rtl w:val="0"/>
        </w:rPr>
        <w:t xml:space="preserve">                    PART A - POSTER of the project proposal</w:t>
      </w:r>
    </w:p>
    <w:p w:rsidR="00000000" w:rsidDel="00000000" w:rsidP="00000000" w:rsidRDefault="00000000" w:rsidRPr="00000000" w14:paraId="00000054">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5">
      <w:pPr>
        <w:rPr>
          <w:rFonts w:ascii="Times New Roman" w:cs="Times New Roman" w:eastAsia="Times New Roman" w:hAnsi="Times New Roman"/>
          <w:b w:val="1"/>
          <w:bCs w:val="1"/>
          <w:sz w:val="28"/>
          <w:szCs w:val="28"/>
        </w:rPr>
      </w:pPr>
      <w:bookmarkStart w:colFirst="0" w:colLast="0" w:name="_heading=h.uvol28cgun95" w:id="10"/>
      <w:bookmarkEnd w:id="10"/>
      <w:r w:rsidDel="00000000" w:rsidR="00000000" w:rsidRPr="00000000">
        <w:rPr>
          <w:rFonts w:ascii="Times New Roman" w:cs="Times New Roman" w:eastAsia="Times New Roman" w:hAnsi="Times New Roman"/>
          <w:b w:val="1"/>
          <w:bCs w:val="1"/>
          <w:sz w:val="28"/>
          <w:szCs w:val="28"/>
        </w:rPr>
        <w:drawing>
          <wp:inline distB="114300" distT="114300" distL="114300" distR="114300">
            <wp:extent cx="5943600" cy="7929563"/>
            <wp:effectExtent b="0" l="0" r="0" t="0"/>
            <wp:docPr id="7" name="image5.jpg"/>
            <a:graphic>
              <a:graphicData uri="http://schemas.openxmlformats.org/drawingml/2006/picture">
                <pic:pic>
                  <pic:nvPicPr>
                    <pic:cNvPr id="0" name="image5.jpg"/>
                    <pic:cNvPicPr preferRelativeResize="0"/>
                  </pic:nvPicPr>
                  <pic:blipFill>
                    <a:blip r:embed="rId7"/>
                    <a:srcRect b="0" l="0" r="0" t="0"/>
                    <a:stretch>
                      <a:fillRect/>
                    </a:stretch>
                  </pic:blipFill>
                  <pic:spPr>
                    <a:xfrm>
                      <a:off x="0" y="0"/>
                      <a:ext cx="5943600" cy="7929563"/>
                    </a:xfrm>
                    <a:prstGeom prst="rect"/>
                    <a:ln/>
                  </pic:spPr>
                </pic:pic>
              </a:graphicData>
            </a:graphic>
          </wp:inline>
        </w:drawing>
      </w:r>
      <w:r w:rsidDel="00000000" w:rsidR="00000000" w:rsidRPr="00000000">
        <w:rPr>
          <w:rtl w:val="0"/>
        </w:rPr>
      </w:r>
    </w:p>
    <w:p w:rsidR="00000000" w:rsidDel="00000000" w:rsidP="00000000" w:rsidRDefault="00000000" w:rsidRPr="00000000" w14:paraId="00000056">
      <w:pPr>
        <w:pStyle w:val="Heading1"/>
        <w:spacing w:line="360" w:lineRule="auto"/>
        <w:jc w:val="both"/>
        <w:rPr/>
      </w:pPr>
      <w:r w:rsidDel="00000000" w:rsidR="00000000" w:rsidRPr="00000000">
        <w:rPr>
          <w:rtl w:val="0"/>
        </w:rPr>
      </w:r>
    </w:p>
    <w:p w:rsidR="00000000" w:rsidDel="00000000" w:rsidP="00000000" w:rsidRDefault="00000000" w:rsidRPr="00000000" w14:paraId="00000057">
      <w:pPr>
        <w:pStyle w:val="Heading1"/>
        <w:spacing w:line="360" w:lineRule="auto"/>
        <w:jc w:val="both"/>
        <w:rPr>
          <w:sz w:val="24"/>
          <w:szCs w:val="24"/>
        </w:rPr>
      </w:pPr>
      <w:r w:rsidDel="00000000" w:rsidR="00000000" w:rsidRPr="00000000">
        <w:rPr>
          <w:rtl w:val="0"/>
        </w:rPr>
        <w:t xml:space="preserve">PART B: Reflection on the Types of Feedback Received</w:t>
      </w:r>
      <w:r w:rsidDel="00000000" w:rsidR="00000000" w:rsidRPr="00000000">
        <w:rPr>
          <w:rtl w:val="0"/>
        </w:rPr>
      </w:r>
    </w:p>
    <w:p w:rsidR="00000000" w:rsidDel="00000000" w:rsidP="00000000" w:rsidRDefault="00000000" w:rsidRPr="00000000" w14:paraId="0000005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Formative feedback has been made available through the poster presentation given to the tutor and others. The comments were based on clarity of justification, the depth of methods used, prioritisation of the stakeholders, and quantification of risk. The remarks were positive and in tandem with the level 5 performance assessment criteria.</w:t>
      </w:r>
    </w:p>
    <w:p w:rsidR="00000000" w:rsidDel="00000000" w:rsidP="00000000" w:rsidRDefault="00000000" w:rsidRPr="00000000" w14:paraId="0000005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clearness of the project rationale was ranked as one of the strengths. The problem statement appropriately connected the effect of floods to economic destabilisation and vulnerability of the infrastructure. The goals are more specific and measurable. The sequence is arranged in a logical way. The quad chart was visually presented and professionally arranged. It was noted during the feedback that the proposal reflected good knowledge of structured project planning tools. The stakeholder matrix was also very well-received since it used the framework of power and interest used by Mendelow in an applicable manner. This applied practical theory and not description.</w:t>
      </w:r>
    </w:p>
    <w:p w:rsidR="00000000" w:rsidDel="00000000" w:rsidP="00000000" w:rsidRDefault="00000000" w:rsidRPr="00000000" w14:paraId="0000005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Nevertheless, the tutor pointed out the areas where improvement can be made. To begin with,the poster should look more like a poster. It had no pictures and had too many texts so my new poster was done in accordance with the feedback. It needed a greater academic foundation. The mentioned poster implied the use of project management tools but did not explicitly associate these tools with particular methodology, e.g., PRINCE2, PMBOK, or present-day resilience planning sources. As a way of safeguarding this, the final project plan will incorporate academic literature to support the decision on a governance framework and risk management strategy. The resilience of infrastructures and governance of projects within the public sector will be presented based on academic literature to enhance theoretical support.</w:t>
      </w:r>
    </w:p>
    <w:p w:rsidR="00000000" w:rsidDel="00000000" w:rsidP="00000000" w:rsidRDefault="00000000" w:rsidRPr="00000000" w14:paraId="0000005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Second, the risk section that was highlighted in the feedback was a section that needed to be analysed in greater depth. Risks have been presented in a readable list, but probability, impact and mitigation measures were not measured. The completed project management plan will hence incorporate a tabulated risk register, risk scoring/risk prioritisation. This will be evidenced of critical appraisal as opposed to account listing. An even more critical discussion of the problem of uncertainty in post-disaster settings will be provided in order to demonstrate consciousness of the limits of knowledge </w:t>
      </w:r>
      <w:r w:rsidDel="00000000" w:rsidR="00000000" w:rsidRPr="00000000">
        <w:rPr>
          <w:rFonts w:ascii="Times New Roman" w:cs="Times New Roman" w:eastAsia="Times New Roman" w:hAnsi="Times New Roman"/>
          <w:color w:val="ee0000"/>
          <w:sz w:val="24"/>
          <w:szCs w:val="24"/>
          <w:rtl w:val="0"/>
        </w:rPr>
        <w:t xml:space="preserve">(Buijlayyil </w:t>
      </w:r>
      <w:r w:rsidDel="00000000" w:rsidR="00000000" w:rsidRPr="00000000">
        <w:rPr>
          <w:rFonts w:ascii="Times New Roman" w:cs="Times New Roman" w:eastAsia="Times New Roman" w:hAnsi="Times New Roman"/>
          <w:i w:val="1"/>
          <w:iCs w:val="1"/>
          <w:color w:val="ee0000"/>
          <w:sz w:val="24"/>
          <w:szCs w:val="24"/>
          <w:rtl w:val="0"/>
        </w:rPr>
        <w:t xml:space="preserve">et al.</w:t>
      </w:r>
      <w:r w:rsidDel="00000000" w:rsidR="00000000" w:rsidRPr="00000000">
        <w:rPr>
          <w:rFonts w:ascii="Times New Roman" w:cs="Times New Roman" w:eastAsia="Times New Roman" w:hAnsi="Times New Roman"/>
          <w:color w:val="ee0000"/>
          <w:sz w:val="24"/>
          <w:szCs w:val="24"/>
          <w:rtl w:val="0"/>
        </w:rPr>
        <w:t xml:space="preserve"> 2025).</w:t>
      </w:r>
      <w:r w:rsidDel="00000000" w:rsidR="00000000" w:rsidRPr="00000000">
        <w:rPr>
          <w:rtl w:val="0"/>
        </w:rPr>
      </w:r>
    </w:p>
    <w:p w:rsidR="00000000" w:rsidDel="00000000" w:rsidP="00000000" w:rsidRDefault="00000000" w:rsidRPr="00000000" w14:paraId="0000005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Third, a more elaborate plan on how to engage the stakeholders was needed. Even though the mapping of stakeholders was made properly, the mechanisms of communication were not established. This will be reflected in the final report, which will contain a stakeholder engagement </w:t>
      </w:r>
    </w:p>
    <w:p w:rsidR="00000000" w:rsidDel="00000000" w:rsidP="00000000" w:rsidRDefault="00000000" w:rsidRPr="00000000" w14:paraId="0000005D">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E">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plan that will specify frequency and channels of communication and division of responsibility. This will show the practice of professional project governance.</w:t>
      </w:r>
    </w:p>
    <w:p w:rsidR="00000000" w:rsidDel="00000000" w:rsidP="00000000" w:rsidRDefault="00000000" w:rsidRPr="00000000" w14:paraId="0000006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suggestion, which was made by peer feedback, was the need to explain why a hybrid methodology was chosen. The poster referred to PRINCE2 governance and the waterfall implementation but failed to provide a critical comparison of the alternative methods of Agile or pure PMBOK. The ultimate plan would consider methodological appropriateness according to the nature of the infrastructure projects, regulation, and risk. This will show the intellectual and intellectual ability by way of comparison and justification.</w:t>
      </w:r>
    </w:p>
    <w:p w:rsidR="00000000" w:rsidDel="00000000" w:rsidP="00000000" w:rsidRDefault="00000000" w:rsidRPr="00000000" w14:paraId="0000006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other recommendation was on sustainability consideration. Although the objective of flood resilience was mentioned, the environmental compliance was not described in detail. The submitted final report will adopt sustainable drainage systems (SuDS) standards and environmentally impact less mitigation measures. This will enhance experience and modernity.</w:t>
      </w:r>
    </w:p>
    <w:p w:rsidR="00000000" w:rsidDel="00000000" w:rsidP="00000000" w:rsidRDefault="00000000" w:rsidRPr="00000000" w14:paraId="0000006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the whole, the feedback process showed the necessity to stop structured presentation and shift to critical discussion and support of the evidence </w:t>
      </w:r>
      <w:r w:rsidDel="00000000" w:rsidR="00000000" w:rsidRPr="00000000">
        <w:rPr>
          <w:rFonts w:ascii="Times New Roman" w:cs="Times New Roman" w:eastAsia="Times New Roman" w:hAnsi="Times New Roman"/>
          <w:color w:val="ee0000"/>
          <w:sz w:val="24"/>
          <w:szCs w:val="24"/>
          <w:rtl w:val="0"/>
        </w:rPr>
        <w:t xml:space="preserve">(Bruen </w:t>
      </w:r>
      <w:r w:rsidDel="00000000" w:rsidR="00000000" w:rsidRPr="00000000">
        <w:rPr>
          <w:rFonts w:ascii="Times New Roman" w:cs="Times New Roman" w:eastAsia="Times New Roman" w:hAnsi="Times New Roman"/>
          <w:i w:val="1"/>
          <w:iCs w:val="1"/>
          <w:color w:val="ee0000"/>
          <w:sz w:val="24"/>
          <w:szCs w:val="24"/>
          <w:rtl w:val="0"/>
        </w:rPr>
        <w:t xml:space="preserve">et al.</w:t>
      </w:r>
      <w:r w:rsidDel="00000000" w:rsidR="00000000" w:rsidRPr="00000000">
        <w:rPr>
          <w:rFonts w:ascii="Times New Roman" w:cs="Times New Roman" w:eastAsia="Times New Roman" w:hAnsi="Times New Roman"/>
          <w:color w:val="ee0000"/>
          <w:sz w:val="24"/>
          <w:szCs w:val="24"/>
          <w:rtl w:val="0"/>
        </w:rPr>
        <w:t xml:space="preserve"> 2025). </w:t>
      </w:r>
      <w:r w:rsidDel="00000000" w:rsidR="00000000" w:rsidRPr="00000000">
        <w:rPr>
          <w:rFonts w:ascii="Times New Roman" w:cs="Times New Roman" w:eastAsia="Times New Roman" w:hAnsi="Times New Roman"/>
          <w:sz w:val="24"/>
          <w:szCs w:val="24"/>
          <w:rtl w:val="0"/>
        </w:rPr>
        <w:t xml:space="preserve">The end product project management plan will hence increase theoretical involvement, enhance critical thinking and incorporate quantifiable control systems. All these will improve the academic rigour, the expression of higher-order thinking, and the work matching the level of distinction in reading, application of the knowledge, and thinking, as well as professional communication.</w:t>
      </w:r>
    </w:p>
    <w:p w:rsidR="00000000" w:rsidDel="00000000" w:rsidP="00000000" w:rsidRDefault="00000000" w:rsidRPr="00000000" w14:paraId="0000006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4">
      <w:pPr>
        <w:rPr>
          <w:rFonts w:ascii="Times New Roman" w:cs="Times New Roman" w:eastAsia="Times New Roman" w:hAnsi="Times New Roman"/>
          <w:b w:val="1"/>
          <w:bCs w:val="1"/>
          <w:sz w:val="28"/>
          <w:szCs w:val="28"/>
        </w:rPr>
      </w:pPr>
      <w:bookmarkStart w:colFirst="0" w:colLast="0" w:name="_heading=h.z2n9vt4m68ax" w:id="11"/>
      <w:bookmarkEnd w:id="11"/>
      <w:r w:rsidDel="00000000" w:rsidR="00000000" w:rsidRPr="00000000">
        <w:br w:type="page"/>
      </w:r>
      <w:r w:rsidDel="00000000" w:rsidR="00000000" w:rsidRPr="00000000">
        <w:rPr>
          <w:rtl w:val="0"/>
        </w:rPr>
      </w:r>
    </w:p>
    <w:p w:rsidR="00000000" w:rsidDel="00000000" w:rsidP="00000000" w:rsidRDefault="00000000" w:rsidRPr="00000000" w14:paraId="00000065">
      <w:pPr>
        <w:pStyle w:val="Heading1"/>
        <w:spacing w:line="360" w:lineRule="auto"/>
        <w:jc w:val="both"/>
        <w:rPr/>
      </w:pPr>
      <w:r w:rsidDel="00000000" w:rsidR="00000000" w:rsidRPr="00000000">
        <w:rPr>
          <w:rtl w:val="0"/>
        </w:rPr>
      </w:r>
    </w:p>
    <w:p w:rsidR="00000000" w:rsidDel="00000000" w:rsidP="00000000" w:rsidRDefault="00000000" w:rsidRPr="00000000" w14:paraId="00000066">
      <w:pPr>
        <w:pStyle w:val="Heading1"/>
        <w:spacing w:line="360" w:lineRule="auto"/>
        <w:jc w:val="both"/>
        <w:rPr/>
      </w:pPr>
      <w:r w:rsidDel="00000000" w:rsidR="00000000" w:rsidRPr="00000000">
        <w:rPr>
          <w:rtl w:val="0"/>
        </w:rPr>
        <w:t xml:space="preserve">PART C: Project Management Plan</w:t>
      </w:r>
    </w:p>
    <w:p w:rsidR="00000000" w:rsidDel="00000000" w:rsidP="00000000" w:rsidRDefault="00000000" w:rsidRPr="00000000" w14:paraId="00000067">
      <w:pPr>
        <w:spacing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Reconstruction of the A449 Strategic Highway Corridor that is climate resilient</w:t>
      </w:r>
    </w:p>
    <w:p w:rsidR="00000000" w:rsidDel="00000000" w:rsidP="00000000" w:rsidRDefault="00000000" w:rsidRPr="00000000" w14:paraId="00000068">
      <w:pPr>
        <w:pStyle w:val="Heading2"/>
        <w:rPr/>
      </w:pPr>
      <w:bookmarkStart w:colFirst="0" w:colLast="0" w:name="_heading=h.qczze9xq2reb" w:id="12"/>
      <w:bookmarkEnd w:id="12"/>
      <w:r w:rsidDel="00000000" w:rsidR="00000000" w:rsidRPr="00000000">
        <w:rPr>
          <w:rtl w:val="0"/>
        </w:rPr>
        <w:t xml:space="preserve">Introduction</w:t>
      </w:r>
    </w:p>
    <w:p w:rsidR="00000000" w:rsidDel="00000000" w:rsidP="00000000" w:rsidRDefault="00000000" w:rsidRPr="00000000" w14:paraId="0000006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critical infrastructure is becoming more exposed through extreme weather on a daily basis in the UK due to climate change (gov.uk, 2025). Scientific evidence proves that the drastic level of rainfall is increasing. Hydrological pressure is also especially susceptible to transport infrastructure. The water eroding the roads, rupturing drains and destabilizing bridges substructures leads to the destruction of roads and drainage systems. Failure of infrastructure interferes with mobility. It further disrupts the regional economic activity and response to emergencies.</w:t>
      </w:r>
    </w:p>
    <w:p w:rsidR="00000000" w:rsidDel="00000000" w:rsidP="00000000" w:rsidRDefault="00000000" w:rsidRPr="00000000" w14:paraId="0000006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 July 2025, the West Midlands theatre flooding badly affected one section of the A449 road, between Worcester and Kidderminster (BBC, 2025). The failure of the structural pavement was a </w:t>
      </w:r>
    </w:p>
    <w:p w:rsidR="00000000" w:rsidDel="00000000" w:rsidP="00000000" w:rsidRDefault="00000000" w:rsidRPr="00000000" w14:paraId="0000006B">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C">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result of the saturation of the underlying soil. There was scouring of bridge foundations. Peak discharge showed poor drainage capacity. The corridor was proclaimed to be unsafe. Traffic was diverted. The local distribution chains were disrupted. There was an increase in emergency access time.</w:t>
      </w:r>
    </w:p>
    <w:p w:rsidR="00000000" w:rsidDel="00000000" w:rsidP="00000000" w:rsidRDefault="00000000" w:rsidRPr="00000000" w14:paraId="0000006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 need to reconstruct. Nevertheless, it is not sufficient to restore. There should be a re-establishment of infrastructure that has a higher resilience capacity. Rebuilding to take place after the disaster should lessen the susceptibility of the future and not repeat the past compromises.</w:t>
      </w:r>
    </w:p>
    <w:p w:rsidR="00000000" w:rsidDel="00000000" w:rsidP="00000000" w:rsidRDefault="00000000" w:rsidRPr="00000000" w14:paraId="0000006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Post-disaster project management should be based on organised government and adaptive risk consciousness (‌David</w:t>
      </w:r>
      <w:r w:rsidDel="00000000" w:rsidR="00000000" w:rsidRPr="00000000">
        <w:rPr>
          <w:rFonts w:ascii="Times New Roman" w:cs="Times New Roman" w:eastAsia="Times New Roman" w:hAnsi="Times New Roman"/>
          <w:i w:val="1"/>
          <w:iCs w:val="1"/>
          <w:sz w:val="24"/>
          <w:szCs w:val="24"/>
          <w:rtl w:val="0"/>
        </w:rPr>
        <w:t xml:space="preserve"> et al. </w:t>
      </w:r>
      <w:r w:rsidDel="00000000" w:rsidR="00000000" w:rsidRPr="00000000">
        <w:rPr>
          <w:rFonts w:ascii="Times New Roman" w:cs="Times New Roman" w:eastAsia="Times New Roman" w:hAnsi="Times New Roman"/>
          <w:sz w:val="24"/>
          <w:szCs w:val="24"/>
          <w:rtl w:val="0"/>
        </w:rPr>
        <w:t xml:space="preserve">2025). Uncertainty levels are high. The pressure of the stakeholders is great. Openness to the global citizenry is eminent. In this report, a comprehensive Project Management Plan is reported. The plan incorporates formal control measures, resilience planning and accountability by the stakeholders. The existing methodologies are not applied in such a way that they are critical and not mechanical.</w:t>
      </w:r>
    </w:p>
    <w:p w:rsidR="00000000" w:rsidDel="00000000" w:rsidP="00000000" w:rsidRDefault="00000000" w:rsidRPr="00000000" w14:paraId="00000070">
      <w:pPr>
        <w:pStyle w:val="Heading2"/>
        <w:rPr/>
      </w:pPr>
      <w:bookmarkStart w:colFirst="0" w:colLast="0" w:name="_heading=h.8dmoqmgv85ma" w:id="13"/>
      <w:bookmarkEnd w:id="13"/>
      <w:r w:rsidDel="00000000" w:rsidR="00000000" w:rsidRPr="00000000">
        <w:rPr>
          <w:rtl w:val="0"/>
        </w:rPr>
        <w:t xml:space="preserve">Project Description and Strategic Justification</w:t>
      </w:r>
    </w:p>
    <w:p w:rsidR="00000000" w:rsidDel="00000000" w:rsidP="00000000" w:rsidRDefault="00000000" w:rsidRPr="00000000" w14:paraId="0000007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project entails the reconstruction of 4.2 kilometres of highway and the strengthening of two bridge structures. Installation of an upgraded drainage system that would have above 40 % of the </w:t>
      </w:r>
    </w:p>
    <w:p w:rsidR="00000000" w:rsidDel="00000000" w:rsidP="00000000" w:rsidRDefault="00000000" w:rsidRPr="00000000" w14:paraId="0000007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hydraulic capacity of pre-floods. Construction is not the only point of the project. It incorporates the concept of resilience engineering. Hydraulic modelling instructs the drainage design. Bridge reinforcement recognises increased values of peak flow (‌Davi</w:t>
      </w:r>
      <w:r w:rsidDel="00000000" w:rsidR="00000000" w:rsidRPr="00000000">
        <w:rPr>
          <w:rFonts w:ascii="Times New Roman" w:cs="Times New Roman" w:eastAsia="Times New Roman" w:hAnsi="Times New Roman"/>
          <w:i w:val="1"/>
          <w:iCs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2025).</w:t>
      </w:r>
    </w:p>
    <w:p w:rsidR="00000000" w:rsidDel="00000000" w:rsidP="00000000" w:rsidRDefault="00000000" w:rsidRPr="00000000" w14:paraId="0000007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infrastructure restoration helps to:</w:t>
      </w:r>
    </w:p>
    <w:p w:rsidR="00000000" w:rsidDel="00000000" w:rsidP="00000000" w:rsidRDefault="00000000" w:rsidRPr="00000000" w14:paraId="00000076">
      <w:pPr>
        <w:numPr>
          <w:ilvl w:val="0"/>
          <w:numId w:val="15"/>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Economic stabilisation</w:t>
      </w:r>
    </w:p>
    <w:p w:rsidR="00000000" w:rsidDel="00000000" w:rsidP="00000000" w:rsidRDefault="00000000" w:rsidRPr="00000000" w14:paraId="00000077">
      <w:pPr>
        <w:numPr>
          <w:ilvl w:val="0"/>
          <w:numId w:val="15"/>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Accessibility to emergency responders.</w:t>
      </w:r>
    </w:p>
    <w:p w:rsidR="00000000" w:rsidDel="00000000" w:rsidP="00000000" w:rsidRDefault="00000000" w:rsidRPr="00000000" w14:paraId="00000078">
      <w:pPr>
        <w:numPr>
          <w:ilvl w:val="0"/>
          <w:numId w:val="15"/>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Social trust in governance.</w:t>
      </w:r>
    </w:p>
    <w:p w:rsidR="00000000" w:rsidDel="00000000" w:rsidP="00000000" w:rsidRDefault="00000000" w:rsidRPr="00000000" w14:paraId="0000007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transport corridors facilitate trade in the region. The long-term shutdown negatively affects local revenue. Small and medium enterprises are impacted by supply chain disruption. Restoration shortens the time of economic shock.</w:t>
      </w:r>
    </w:p>
    <w:p w:rsidR="00000000" w:rsidDel="00000000" w:rsidP="00000000" w:rsidRDefault="00000000" w:rsidRPr="00000000" w14:paraId="0000007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Smooth access to roads is necessary in cases of emergency services (Galve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Too slow a response exposes risk during a crisis to come. This vulnerability is decreased by enhanced resiliency.</w:t>
      </w:r>
    </w:p>
    <w:p w:rsidR="00000000" w:rsidDel="00000000" w:rsidP="00000000" w:rsidRDefault="00000000" w:rsidRPr="00000000" w14:paraId="0000007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infrastructure development by the government is not the same as in the case of the private sector. Cost and time measurement are not the only performance measures. It is also necessary to have social endorsement and openness (‌Griffin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The design of governance becomes theoretically important. Failure hurts the institutional trust.</w:t>
      </w:r>
    </w:p>
    <w:p w:rsidR="00000000" w:rsidDel="00000000" w:rsidP="00000000" w:rsidRDefault="00000000" w:rsidRPr="00000000" w14:paraId="0000007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proposal would be consistent with long-term resiliency in the region. In the long run, long-term sustainability is aided by short-term reconstruction.</w:t>
      </w:r>
    </w:p>
    <w:p w:rsidR="00000000" w:rsidDel="00000000" w:rsidP="00000000" w:rsidRDefault="00000000" w:rsidRPr="00000000" w14:paraId="0000007D">
      <w:pPr>
        <w:pStyle w:val="Heading2"/>
        <w:rPr/>
      </w:pPr>
      <w:bookmarkStart w:colFirst="0" w:colLast="0" w:name="_heading=h.s0h1ucj4kb5t" w:id="14"/>
      <w:bookmarkEnd w:id="14"/>
      <w:r w:rsidDel="00000000" w:rsidR="00000000" w:rsidRPr="00000000">
        <w:rPr>
          <w:rtl w:val="0"/>
        </w:rPr>
        <w:t xml:space="preserve">Methodological Framework</w:t>
      </w:r>
    </w:p>
    <w:p w:rsidR="00000000" w:rsidDel="00000000" w:rsidP="00000000" w:rsidRDefault="00000000" w:rsidRPr="00000000" w14:paraId="0000007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hybrid approach is adopted:</w:t>
      </w:r>
    </w:p>
    <w:p w:rsidR="00000000" w:rsidDel="00000000" w:rsidP="00000000" w:rsidRDefault="00000000" w:rsidRPr="00000000" w14:paraId="0000007F">
      <w:pPr>
        <w:numPr>
          <w:ilvl w:val="0"/>
          <w:numId w:val="10"/>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PRINCE2 is a form of governance structure.</w:t>
      </w:r>
    </w:p>
    <w:p w:rsidR="00000000" w:rsidDel="00000000" w:rsidP="00000000" w:rsidRDefault="00000000" w:rsidRPr="00000000" w14:paraId="00000080">
      <w:pPr>
        <w:numPr>
          <w:ilvl w:val="0"/>
          <w:numId w:val="10"/>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Engineering model of executing the waterfall.</w:t>
      </w:r>
    </w:p>
    <w:p w:rsidR="00000000" w:rsidDel="00000000" w:rsidP="00000000" w:rsidRDefault="00000000" w:rsidRPr="00000000" w14:paraId="00000081">
      <w:pPr>
        <w:numPr>
          <w:ilvl w:val="0"/>
          <w:numId w:val="10"/>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Risk management processes in PMBOK.</w:t>
      </w:r>
    </w:p>
    <w:p w:rsidR="00000000" w:rsidDel="00000000" w:rsidP="00000000" w:rsidRDefault="00000000" w:rsidRPr="00000000" w14:paraId="0000008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Choosing a methodology is relative. There is no single model that should discuss the post-disaster infrastructural complexity.</w:t>
      </w:r>
    </w:p>
    <w:p w:rsidR="00000000" w:rsidDel="00000000" w:rsidP="00000000" w:rsidRDefault="00000000" w:rsidRPr="00000000" w14:paraId="0000008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PRINCE2 Justification</w:t>
      </w:r>
      <w:r w:rsidDel="00000000" w:rsidR="00000000" w:rsidRPr="00000000">
        <w:rPr>
          <w:rtl w:val="0"/>
        </w:rPr>
      </w:r>
    </w:p>
    <w:p w:rsidR="00000000" w:rsidDel="00000000" w:rsidP="00000000" w:rsidRDefault="00000000" w:rsidRPr="00000000" w14:paraId="0000008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PRINCE2 focuses on the use of stage gates, roles, documented business cases and tolerance control (Harake, 2025). Accountability in the public-sector necessitates formal report systems. Stage </w:t>
      </w:r>
    </w:p>
    <w:p w:rsidR="00000000" w:rsidDel="00000000" w:rsidP="00000000" w:rsidRDefault="00000000" w:rsidRPr="00000000" w14:paraId="00000085">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6">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boundaries enable a structured review to go on with the resource commitment before it goes further.</w:t>
      </w:r>
    </w:p>
    <w:p w:rsidR="00000000" w:rsidDel="00000000" w:rsidP="00000000" w:rsidRDefault="00000000" w:rsidRPr="00000000" w14:paraId="0000008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PRINCE2 has various responsibilities. Strategic alignment is under the jurisdiction of the Project Board. Operation execution is controlled by the Project Manager. The role clarity minimises the ambiguity of governance.</w:t>
      </w:r>
    </w:p>
    <w:p w:rsidR="00000000" w:rsidDel="00000000" w:rsidP="00000000" w:rsidRDefault="00000000" w:rsidRPr="00000000" w14:paraId="0000008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Strict stage gating can, however, limit leeway in an environment that is changing at an alarming rate (Iovane, 2025). High documentation can result in a delay in decision-making. Hence, there is a need to apply it proportionately. The governance should facilitate delivering, as opposed to limiting delivery.</w:t>
      </w:r>
    </w:p>
    <w:p w:rsidR="00000000" w:rsidDel="00000000" w:rsidP="00000000" w:rsidRDefault="00000000" w:rsidRPr="00000000" w14:paraId="0000008A">
      <w:pPr>
        <w:spacing w:line="360"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Rationale of waterfall execution</w:t>
      </w:r>
    </w:p>
    <w:p w:rsidR="00000000" w:rsidDel="00000000" w:rsidP="00000000" w:rsidRDefault="00000000" w:rsidRPr="00000000" w14:paraId="0000008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construction of civil engineering is based on the dependency of physical sequencing (‌Zhang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Resurfacing follows the installation of drainage. Before final surfacing, sub-base stabilisation has to take place. Structural completion must be done prior to load testing, particularly in the reinforcement of bridges.</w:t>
      </w:r>
    </w:p>
    <w:p w:rsidR="00000000" w:rsidDel="00000000" w:rsidP="00000000" w:rsidRDefault="00000000" w:rsidRPr="00000000" w14:paraId="0000008C">
      <w:pPr>
        <w:numPr>
          <w:ilvl w:val="0"/>
          <w:numId w:val="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Agile methodology focuses on iterative development. This strategy is applicable in software environments but not in deterministic engineering deliverables (Petrin </w:t>
      </w:r>
      <w:r w:rsidDel="00000000" w:rsidR="00000000" w:rsidRPr="00000000">
        <w:rPr>
          <w:rFonts w:ascii="Times New Roman" w:cs="Times New Roman" w:eastAsia="Times New Roman" w:hAnsi="Times New Roman"/>
          <w:i w:val="1"/>
          <w:iCs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2025). Physical construction involves high cost and risk in terms of safety.</w:t>
      </w:r>
    </w:p>
    <w:p w:rsidR="00000000" w:rsidDel="00000000" w:rsidP="00000000" w:rsidRDefault="00000000" w:rsidRPr="00000000" w14:paraId="0000008D">
      <w:pPr>
        <w:numPr>
          <w:ilvl w:val="0"/>
          <w:numId w:val="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Waterfall implementation gives the order of sequence. Nevertheless, hard sequencing may cause latency in case mistakes are made at an initial stage of the sequencing. This risk is minimised through quality assurance in exhibiting the design.</w:t>
      </w:r>
    </w:p>
    <w:p w:rsidR="00000000" w:rsidDel="00000000" w:rsidP="00000000" w:rsidRDefault="00000000" w:rsidRPr="00000000" w14:paraId="0000008E">
      <w:pPr>
        <w:spacing w:line="360"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PMBOK Risk Integration</w:t>
      </w:r>
    </w:p>
    <w:p w:rsidR="00000000" w:rsidDel="00000000" w:rsidP="00000000" w:rsidRDefault="00000000" w:rsidRPr="00000000" w14:paraId="0000008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PMBOK offers premeditated classification of risks, qualitative evaluation, quantitative rating, preparation of responses, and supervision (‌Barghi and Shadrokh sikari, 2020). Uncertainty after a disaster makes it volatile. Supply chains are unstable. The climate conditions are unpredictable.</w:t>
      </w:r>
    </w:p>
    <w:p w:rsidR="00000000" w:rsidDel="00000000" w:rsidP="00000000" w:rsidRDefault="00000000" w:rsidRPr="00000000" w14:paraId="0000009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Elaborate risk register enhances transparency. Prioritisation of risk enhances decisions. Risk tools, however, are unable to eradicate uncertainty. They minimise exposure and fail to ensure predictability.</w:t>
      </w:r>
    </w:p>
    <w:p w:rsidR="00000000" w:rsidDel="00000000" w:rsidP="00000000" w:rsidRDefault="00000000" w:rsidRPr="00000000" w14:paraId="0000009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mixture indicates that there is a synthesis of approaches, and not a lone-framework dependency. The hybrid model concerns the middle ground between control and practicality </w:t>
      </w:r>
    </w:p>
    <w:p w:rsidR="00000000" w:rsidDel="00000000" w:rsidP="00000000" w:rsidRDefault="00000000" w:rsidRPr="00000000" w14:paraId="00000092">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3">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(Garcia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2025). Awareness level of integration can add to the workload of the administration. The discipline of governance should therefore not be too bureaucratic.</w:t>
      </w:r>
    </w:p>
    <w:p w:rsidR="00000000" w:rsidDel="00000000" w:rsidP="00000000" w:rsidRDefault="00000000" w:rsidRPr="00000000" w14:paraId="00000095">
      <w:pPr>
        <w:pStyle w:val="Heading2"/>
        <w:rPr>
          <w:sz w:val="24"/>
          <w:szCs w:val="24"/>
        </w:rPr>
      </w:pPr>
      <w:bookmarkStart w:colFirst="0" w:colLast="0" w:name="_heading=h.wpadoxjksghe" w:id="15"/>
      <w:bookmarkEnd w:id="15"/>
      <w:r w:rsidDel="00000000" w:rsidR="00000000" w:rsidRPr="00000000">
        <w:rPr>
          <w:rtl w:val="0"/>
        </w:rPr>
        <w:t xml:space="preserve">Definition and control of Scope</w:t>
      </w:r>
      <w:r w:rsidDel="00000000" w:rsidR="00000000" w:rsidRPr="00000000">
        <w:rPr>
          <w:rtl w:val="0"/>
        </w:rPr>
      </w:r>
    </w:p>
    <w:p w:rsidR="00000000" w:rsidDel="00000000" w:rsidP="00000000" w:rsidRDefault="00000000" w:rsidRPr="00000000" w14:paraId="0000009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clarity of the scope safeguards cost integrity and inflation of political scope (Kiettikunwong and Sangsarapun, 2025). The pressures made by the post-disaster environment normally drive a need to expand the projects beyond what is necessary in the first place.</w:t>
      </w:r>
    </w:p>
    <w:p w:rsidR="00000000" w:rsidDel="00000000" w:rsidP="00000000" w:rsidRDefault="00000000" w:rsidRPr="00000000" w14:paraId="00000097">
      <w:pPr>
        <w:spacing w:line="360" w:lineRule="auto"/>
        <w:jc w:val="both"/>
        <w:rPr>
          <w:rFonts w:ascii="Times New Roman" w:cs="Times New Roman" w:eastAsia="Times New Roman" w:hAnsi="Times New Roman"/>
          <w:b w:val="1"/>
          <w:bCs w:val="1"/>
          <w:i w:val="1"/>
          <w:iCs w:val="1"/>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In-Scope</w:t>
      </w:r>
    </w:p>
    <w:p w:rsidR="00000000" w:rsidDel="00000000" w:rsidP="00000000" w:rsidRDefault="00000000" w:rsidRPr="00000000" w14:paraId="00000098">
      <w:pPr>
        <w:numPr>
          <w:ilvl w:val="0"/>
          <w:numId w:val="1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Geotechnical evaluation, Structural evaluation, and Structural along with geotechnical evaluation.</w:t>
      </w:r>
    </w:p>
    <w:p w:rsidR="00000000" w:rsidDel="00000000" w:rsidP="00000000" w:rsidRDefault="00000000" w:rsidRPr="00000000" w14:paraId="00000099">
      <w:pPr>
        <w:numPr>
          <w:ilvl w:val="0"/>
          <w:numId w:val="1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Redesign of drainage on hydraulic modelling.</w:t>
      </w:r>
    </w:p>
    <w:p w:rsidR="00000000" w:rsidDel="00000000" w:rsidP="00000000" w:rsidRDefault="00000000" w:rsidRPr="00000000" w14:paraId="0000009A">
      <w:pPr>
        <w:numPr>
          <w:ilvl w:val="0"/>
          <w:numId w:val="1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4.2 km carriageway reconstruction.</w:t>
      </w:r>
    </w:p>
    <w:p w:rsidR="00000000" w:rsidDel="00000000" w:rsidP="00000000" w:rsidRDefault="00000000" w:rsidRPr="00000000" w14:paraId="0000009B">
      <w:pPr>
        <w:numPr>
          <w:ilvl w:val="0"/>
          <w:numId w:val="1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Bridge reinforcement</w:t>
      </w:r>
    </w:p>
    <w:p w:rsidR="00000000" w:rsidDel="00000000" w:rsidP="00000000" w:rsidRDefault="00000000" w:rsidRPr="00000000" w14:paraId="0000009C">
      <w:pPr>
        <w:numPr>
          <w:ilvl w:val="0"/>
          <w:numId w:val="1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Safety certification</w:t>
      </w:r>
    </w:p>
    <w:p w:rsidR="00000000" w:rsidDel="00000000" w:rsidP="00000000" w:rsidRDefault="00000000" w:rsidRPr="00000000" w14:paraId="0000009D">
      <w:pPr>
        <w:numPr>
          <w:ilvl w:val="0"/>
          <w:numId w:val="13"/>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various deliverables are associated with the direct restoration of resilience.</w:t>
      </w:r>
    </w:p>
    <w:p w:rsidR="00000000" w:rsidDel="00000000" w:rsidP="00000000" w:rsidRDefault="00000000" w:rsidRPr="00000000" w14:paraId="0000009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i w:val="1"/>
          <w:iCs w:val="1"/>
          <w:sz w:val="24"/>
          <w:szCs w:val="24"/>
          <w:rtl w:val="0"/>
        </w:rPr>
        <w:t xml:space="preserve">Out-of-Scope</w:t>
      </w:r>
      <w:r w:rsidDel="00000000" w:rsidR="00000000" w:rsidRPr="00000000">
        <w:rPr>
          <w:rtl w:val="0"/>
        </w:rPr>
      </w:r>
    </w:p>
    <w:p w:rsidR="00000000" w:rsidDel="00000000" w:rsidP="00000000" w:rsidRDefault="00000000" w:rsidRPr="00000000" w14:paraId="0000009F">
      <w:pPr>
        <w:numPr>
          <w:ilvl w:val="0"/>
          <w:numId w:val="1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Capacity expansion</w:t>
      </w:r>
    </w:p>
    <w:p w:rsidR="00000000" w:rsidDel="00000000" w:rsidP="00000000" w:rsidRDefault="00000000" w:rsidRPr="00000000" w14:paraId="000000A0">
      <w:pPr>
        <w:numPr>
          <w:ilvl w:val="0"/>
          <w:numId w:val="1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Urban regeneration</w:t>
      </w:r>
    </w:p>
    <w:p w:rsidR="00000000" w:rsidDel="00000000" w:rsidP="00000000" w:rsidRDefault="00000000" w:rsidRPr="00000000" w14:paraId="000000A1">
      <w:pPr>
        <w:numPr>
          <w:ilvl w:val="0"/>
          <w:numId w:val="1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New corridor development</w:t>
      </w:r>
    </w:p>
    <w:p w:rsidR="00000000" w:rsidDel="00000000" w:rsidP="00000000" w:rsidRDefault="00000000" w:rsidRPr="00000000" w14:paraId="000000A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pressures of the world to rebuild better are typical in the context of recovery. Expansion, however, comes with complexity and timeline risk. It is not expanded so as to maintain feasibility with the schedule. This is an expression of scope discipline.</w:t>
      </w:r>
    </w:p>
    <w:p w:rsidR="00000000" w:rsidDel="00000000" w:rsidP="00000000" w:rsidRDefault="00000000" w:rsidRPr="00000000" w14:paraId="000000A3">
      <w:pPr>
        <w:pStyle w:val="Heading2"/>
        <w:rPr>
          <w:sz w:val="24"/>
          <w:szCs w:val="24"/>
        </w:rPr>
      </w:pPr>
      <w:bookmarkStart w:colFirst="0" w:colLast="0" w:name="_heading=h.6kg4agdnifmr" w:id="16"/>
      <w:bookmarkEnd w:id="16"/>
      <w:r w:rsidDel="00000000" w:rsidR="00000000" w:rsidRPr="00000000">
        <w:rPr>
          <w:rtl w:val="0"/>
        </w:rPr>
        <w:t xml:space="preserve">Success Metrics</w:t>
      </w:r>
      <w:r w:rsidDel="00000000" w:rsidR="00000000" w:rsidRPr="00000000">
        <w:rPr>
          <w:rtl w:val="0"/>
        </w:rPr>
      </w:r>
    </w:p>
    <w:p w:rsidR="00000000" w:rsidDel="00000000" w:rsidP="00000000" w:rsidRDefault="00000000" w:rsidRPr="00000000" w14:paraId="000000A4">
      <w:pPr>
        <w:numPr>
          <w:ilvl w:val="0"/>
          <w:numId w:val="1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Completion within 12 months</w:t>
      </w:r>
    </w:p>
    <w:p w:rsidR="00000000" w:rsidDel="00000000" w:rsidP="00000000" w:rsidRDefault="00000000" w:rsidRPr="00000000" w14:paraId="000000A5">
      <w:pPr>
        <w:numPr>
          <w:ilvl w:val="0"/>
          <w:numId w:val="1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Budget adherence ±10%</w:t>
      </w:r>
    </w:p>
    <w:p w:rsidR="00000000" w:rsidDel="00000000" w:rsidP="00000000" w:rsidRDefault="00000000" w:rsidRPr="00000000" w14:paraId="000000A6">
      <w:pPr>
        <w:numPr>
          <w:ilvl w:val="0"/>
          <w:numId w:val="1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40% drainage capacity increase</w:t>
      </w:r>
    </w:p>
    <w:p w:rsidR="00000000" w:rsidDel="00000000" w:rsidP="00000000" w:rsidRDefault="00000000" w:rsidRPr="00000000" w14:paraId="000000A7">
      <w:pPr>
        <w:numPr>
          <w:ilvl w:val="0"/>
          <w:numId w:val="1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None of the critical safety incidents.</w:t>
      </w:r>
    </w:p>
    <w:p w:rsidR="00000000" w:rsidDel="00000000" w:rsidP="00000000" w:rsidRDefault="00000000" w:rsidRPr="00000000" w14:paraId="000000A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conventional project management has been oriented on time, cost, and quality (‌Adebayo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In this project, the performance measurement is extended to resilience capacity. The enhancement of resilience is being considered as an output. Redesign of the scope has to be </w:t>
      </w:r>
    </w:p>
    <w:p w:rsidR="00000000" w:rsidDel="00000000" w:rsidP="00000000" w:rsidRDefault="00000000" w:rsidRPr="00000000" w14:paraId="000000A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B">
      <w:pPr>
        <w:spacing w:line="360" w:lineRule="auto"/>
        <w:jc w:val="both"/>
        <w:rPr>
          <w:rFonts w:ascii="Times New Roman" w:cs="Times New Roman" w:eastAsia="Times New Roman" w:hAnsi="Times New Roman"/>
          <w:sz w:val="24"/>
          <w:szCs w:val="24"/>
        </w:rPr>
      </w:pPr>
      <w:bookmarkStart w:colFirst="0" w:colLast="0" w:name="_heading=h.hm0yel53owbi" w:id="17"/>
      <w:bookmarkEnd w:id="17"/>
      <w:r w:rsidDel="00000000" w:rsidR="00000000" w:rsidRPr="00000000">
        <w:rPr>
          <w:rFonts w:ascii="Times New Roman" w:cs="Times New Roman" w:eastAsia="Times New Roman" w:hAnsi="Times New Roman"/>
          <w:sz w:val="24"/>
          <w:szCs w:val="24"/>
          <w:rtl w:val="0"/>
        </w:rPr>
        <w:t xml:space="preserve">approved. Change control adheres to the PRINCE2 tolerance. Variation is not allowed out of control.</w:t>
      </w:r>
    </w:p>
    <w:p w:rsidR="00000000" w:rsidDel="00000000" w:rsidP="00000000" w:rsidRDefault="00000000" w:rsidRPr="00000000" w14:paraId="000000AC">
      <w:pPr>
        <w:pStyle w:val="Heading2"/>
        <w:rPr/>
      </w:pPr>
      <w:bookmarkStart w:colFirst="0" w:colLast="0" w:name="_heading=h.d7gbaptwr81q" w:id="18"/>
      <w:bookmarkEnd w:id="18"/>
      <w:r w:rsidDel="00000000" w:rsidR="00000000" w:rsidRPr="00000000">
        <w:rPr>
          <w:rtl w:val="0"/>
        </w:rPr>
        <w:t xml:space="preserve">Quad Chart</w:t>
      </w:r>
    </w:p>
    <w:p w:rsidR="00000000" w:rsidDel="00000000" w:rsidP="00000000" w:rsidRDefault="00000000" w:rsidRPr="00000000" w14:paraId="000000A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4300538" cy="3590925"/>
            <wp:effectExtent b="25400" l="25400" r="25400" t="25400"/>
            <wp:docPr id="9" name="image1.png"/>
            <a:graphic>
              <a:graphicData uri="http://schemas.openxmlformats.org/drawingml/2006/picture">
                <pic:pic>
                  <pic:nvPicPr>
                    <pic:cNvPr id="0" name="image1.png"/>
                    <pic:cNvPicPr preferRelativeResize="0"/>
                  </pic:nvPicPr>
                  <pic:blipFill>
                    <a:blip r:embed="rId8"/>
                    <a:srcRect b="0" l="0" r="0" t="0"/>
                    <a:stretch>
                      <a:fillRect/>
                    </a:stretch>
                  </pic:blipFill>
                  <pic:spPr>
                    <a:xfrm>
                      <a:off x="0" y="0"/>
                      <a:ext cx="4300538" cy="3590925"/>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AE">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2: Quad chart</w:t>
      </w:r>
    </w:p>
    <w:p w:rsidR="00000000" w:rsidDel="00000000" w:rsidP="00000000" w:rsidRDefault="00000000" w:rsidRPr="00000000" w14:paraId="000000AF">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Self-developed)</w:t>
      </w:r>
    </w:p>
    <w:p w:rsidR="00000000" w:rsidDel="00000000" w:rsidP="00000000" w:rsidRDefault="00000000" w:rsidRPr="00000000" w14:paraId="000000B0">
      <w:pPr>
        <w:pStyle w:val="Heading2"/>
        <w:rPr>
          <w:sz w:val="24"/>
          <w:szCs w:val="24"/>
        </w:rPr>
      </w:pPr>
      <w:bookmarkStart w:colFirst="0" w:colLast="0" w:name="_heading=h.ssmt3r78svx5" w:id="19"/>
      <w:bookmarkEnd w:id="19"/>
      <w:r w:rsidDel="00000000" w:rsidR="00000000" w:rsidRPr="00000000">
        <w:rPr>
          <w:rtl w:val="0"/>
        </w:rPr>
        <w:t xml:space="preserve">Work Breakdown Structure (WBS)</w:t>
      </w:r>
      <w:r w:rsidDel="00000000" w:rsidR="00000000" w:rsidRPr="00000000">
        <w:rPr>
          <w:rtl w:val="0"/>
        </w:rPr>
      </w:r>
    </w:p>
    <w:p w:rsidR="00000000" w:rsidDel="00000000" w:rsidP="00000000" w:rsidRDefault="00000000" w:rsidRPr="00000000" w14:paraId="000000B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WBS breaks down the complexity into managed deliverables (‌Motahar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Structuring on deliverables enhances accountability and cost estimation.</w:t>
      </w:r>
    </w:p>
    <w:p w:rsidR="00000000" w:rsidDel="00000000" w:rsidP="00000000" w:rsidRDefault="00000000" w:rsidRPr="00000000" w14:paraId="000000B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Level I: A449 Reconstruction Programme.</w:t>
      </w:r>
    </w:p>
    <w:p w:rsidR="00000000" w:rsidDel="00000000" w:rsidP="00000000" w:rsidRDefault="00000000" w:rsidRPr="00000000" w14:paraId="000000B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Level 2 Deliverables</w:t>
      </w:r>
    </w:p>
    <w:p w:rsidR="00000000" w:rsidDel="00000000" w:rsidP="00000000" w:rsidRDefault="00000000" w:rsidRPr="00000000" w14:paraId="000000B4">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Governance and Initiation</w:t>
      </w:r>
    </w:p>
    <w:p w:rsidR="00000000" w:rsidDel="00000000" w:rsidP="00000000" w:rsidRDefault="00000000" w:rsidRPr="00000000" w14:paraId="000000B5">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Engineering Design</w:t>
      </w:r>
    </w:p>
    <w:p w:rsidR="00000000" w:rsidDel="00000000" w:rsidP="00000000" w:rsidRDefault="00000000" w:rsidRPr="00000000" w14:paraId="000000B6">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Procurement</w:t>
      </w:r>
    </w:p>
    <w:p w:rsidR="00000000" w:rsidDel="00000000" w:rsidP="00000000" w:rsidRDefault="00000000" w:rsidRPr="00000000" w14:paraId="000000B7">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Construction</w:t>
      </w:r>
    </w:p>
    <w:p w:rsidR="00000000" w:rsidDel="00000000" w:rsidP="00000000" w:rsidRDefault="00000000" w:rsidRPr="00000000" w14:paraId="000000B8">
      <w:pPr>
        <w:numPr>
          <w:ilvl w:val="0"/>
          <w:numId w:val="2"/>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Quality Assurance</w:t>
      </w:r>
    </w:p>
    <w:p w:rsidR="00000000" w:rsidDel="00000000" w:rsidP="00000000" w:rsidRDefault="00000000" w:rsidRPr="00000000" w14:paraId="000000B9">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A">
      <w:pPr>
        <w:spacing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B">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 xml:space="preserve">Closure</w:t>
      </w:r>
    </w:p>
    <w:p w:rsidR="00000000" w:rsidDel="00000000" w:rsidP="00000000" w:rsidRDefault="00000000" w:rsidRPr="00000000" w14:paraId="000000B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3090863"/>
            <wp:effectExtent b="25400" l="25400" r="25400" t="25400"/>
            <wp:docPr id="8" name="image2.png"/>
            <a:graphic>
              <a:graphicData uri="http://schemas.openxmlformats.org/drawingml/2006/picture">
                <pic:pic>
                  <pic:nvPicPr>
                    <pic:cNvPr id="0" name="image2.png"/>
                    <pic:cNvPicPr preferRelativeResize="0"/>
                  </pic:nvPicPr>
                  <pic:blipFill>
                    <a:blip r:embed="rId9"/>
                    <a:srcRect b="0" l="0" r="0" t="0"/>
                    <a:stretch>
                      <a:fillRect/>
                    </a:stretch>
                  </pic:blipFill>
                  <pic:spPr>
                    <a:xfrm>
                      <a:off x="0" y="0"/>
                      <a:ext cx="5943600" cy="3090863"/>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BD">
      <w:pPr>
        <w:spacing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Figure 3: Work Breakdown Structure</w:t>
      </w:r>
    </w:p>
    <w:p w:rsidR="00000000" w:rsidDel="00000000" w:rsidP="00000000" w:rsidRDefault="00000000" w:rsidRPr="00000000" w14:paraId="000000B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Self-developed)</w:t>
      </w:r>
    </w:p>
    <w:p w:rsidR="00000000" w:rsidDel="00000000" w:rsidP="00000000" w:rsidRDefault="00000000" w:rsidRPr="00000000" w14:paraId="000000B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work packages are further subdivided into work packages. Work packages include specified outputs and quantifiable criteria of acceptance.</w:t>
      </w:r>
    </w:p>
    <w:p w:rsidR="00000000" w:rsidDel="00000000" w:rsidP="00000000" w:rsidRDefault="00000000" w:rsidRPr="00000000" w14:paraId="000000C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Localisation of risks is made possible through decomposition. It narrows down optimistic bias (Semenov </w:t>
      </w:r>
      <w:r w:rsidDel="00000000" w:rsidR="00000000" w:rsidRPr="00000000">
        <w:rPr>
          <w:rFonts w:ascii="Times New Roman" w:cs="Times New Roman" w:eastAsia="Times New Roman" w:hAnsi="Times New Roman"/>
          <w:i w:val="1"/>
          <w:iCs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2025). Reduced work packages enhance performance monitoring.</w:t>
      </w:r>
    </w:p>
    <w:p w:rsidR="00000000" w:rsidDel="00000000" w:rsidP="00000000" w:rsidRDefault="00000000" w:rsidRPr="00000000" w14:paraId="000000C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WBS has also allowed possible integration of Earned Value Management. In spite of the fact that full implementation of EVM is not compulsory, structure preparedness indicates a largely developed planning awareness. In the absence of a breakdown, cost variance is not revealed until the late stages. There is greater transparency through early decomposition.</w:t>
      </w:r>
    </w:p>
    <w:p w:rsidR="00000000" w:rsidDel="00000000" w:rsidP="00000000" w:rsidRDefault="00000000" w:rsidRPr="00000000" w14:paraId="000000C2">
      <w:pPr>
        <w:pStyle w:val="Heading2"/>
        <w:rPr>
          <w:sz w:val="24"/>
          <w:szCs w:val="24"/>
        </w:rPr>
      </w:pPr>
      <w:bookmarkStart w:colFirst="0" w:colLast="0" w:name="_heading=h.zbfyav6bl5nv" w:id="20"/>
      <w:bookmarkEnd w:id="20"/>
      <w:r w:rsidDel="00000000" w:rsidR="00000000" w:rsidRPr="00000000">
        <w:rPr>
          <w:rtl w:val="0"/>
        </w:rPr>
        <w:t xml:space="preserve">Scheduling and Critical Path Analysis</w:t>
      </w:r>
      <w:r w:rsidDel="00000000" w:rsidR="00000000" w:rsidRPr="00000000">
        <w:rPr>
          <w:rtl w:val="0"/>
        </w:rPr>
      </w:r>
    </w:p>
    <w:p w:rsidR="00000000" w:rsidDel="00000000" w:rsidP="00000000" w:rsidRDefault="00000000" w:rsidRPr="00000000" w14:paraId="000000C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Sequential engineering dependencies are used to establish scheduling logic.</w:t>
      </w:r>
    </w:p>
    <w:p w:rsidR="00000000" w:rsidDel="00000000" w:rsidP="00000000" w:rsidRDefault="00000000" w:rsidRPr="00000000" w14:paraId="000000C4">
      <w:pPr>
        <w:numPr>
          <w:ilvl w:val="0"/>
          <w:numId w:val="9"/>
        </w:numPr>
        <w:spacing w:line="360" w:lineRule="auto"/>
        <w:ind w:left="502"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Assessment: Month 1–2</w:t>
      </w:r>
    </w:p>
    <w:p w:rsidR="00000000" w:rsidDel="00000000" w:rsidP="00000000" w:rsidRDefault="00000000" w:rsidRPr="00000000" w14:paraId="000000C5">
      <w:pPr>
        <w:numPr>
          <w:ilvl w:val="0"/>
          <w:numId w:val="9"/>
        </w:numPr>
        <w:spacing w:line="360" w:lineRule="auto"/>
        <w:ind w:left="502"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Design: Month 3–4</w:t>
      </w:r>
    </w:p>
    <w:p w:rsidR="00000000" w:rsidDel="00000000" w:rsidP="00000000" w:rsidRDefault="00000000" w:rsidRPr="00000000" w14:paraId="000000C6">
      <w:pPr>
        <w:numPr>
          <w:ilvl w:val="0"/>
          <w:numId w:val="9"/>
        </w:numPr>
        <w:spacing w:line="360" w:lineRule="auto"/>
        <w:ind w:left="502"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Construction: Month 5–10</w:t>
      </w:r>
    </w:p>
    <w:p w:rsidR="00000000" w:rsidDel="00000000" w:rsidP="00000000" w:rsidRDefault="00000000" w:rsidRPr="00000000" w14:paraId="000000C7">
      <w:pPr>
        <w:numPr>
          <w:ilvl w:val="0"/>
          <w:numId w:val="9"/>
        </w:numPr>
        <w:spacing w:line="360" w:lineRule="auto"/>
        <w:ind w:left="502"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Testing: Month 11</w:t>
      </w:r>
    </w:p>
    <w:p w:rsidR="00000000" w:rsidDel="00000000" w:rsidP="00000000" w:rsidRDefault="00000000" w:rsidRPr="00000000" w14:paraId="000000C8">
      <w:pPr>
        <w:spacing w:line="360" w:lineRule="auto"/>
        <w:ind w:left="720"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9">
      <w:pPr>
        <w:spacing w:line="360" w:lineRule="auto"/>
        <w:ind w:left="502" w:firstLine="0"/>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A">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76" w:lineRule="auto"/>
        <w:ind w:left="720" w:right="0" w:firstLine="0"/>
        <w:jc w:val="lef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p w:rsidR="00000000" w:rsidDel="00000000" w:rsidP="00000000" w:rsidRDefault="00000000" w:rsidRPr="00000000" w14:paraId="000000CB">
      <w:pPr>
        <w:numPr>
          <w:ilvl w:val="0"/>
          <w:numId w:val="9"/>
        </w:numPr>
        <w:spacing w:line="360" w:lineRule="auto"/>
        <w:ind w:left="502"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Handover: Month 12</w:t>
      </w:r>
    </w:p>
    <w:p w:rsidR="00000000" w:rsidDel="00000000" w:rsidP="00000000" w:rsidRDefault="00000000" w:rsidRPr="00000000" w14:paraId="000000C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Pr>
        <w:drawing>
          <wp:inline distB="114300" distT="114300" distL="114300" distR="114300">
            <wp:extent cx="5943600" cy="2852738"/>
            <wp:effectExtent b="25400" l="25400" r="25400" t="25400"/>
            <wp:docPr id="10" name="image3.png"/>
            <a:graphic>
              <a:graphicData uri="http://schemas.openxmlformats.org/drawingml/2006/picture">
                <pic:pic>
                  <pic:nvPicPr>
                    <pic:cNvPr id="0" name="image3.png"/>
                    <pic:cNvPicPr preferRelativeResize="0"/>
                  </pic:nvPicPr>
                  <pic:blipFill>
                    <a:blip r:embed="rId10"/>
                    <a:srcRect b="0" l="0" r="0" t="0"/>
                    <a:stretch>
                      <a:fillRect/>
                    </a:stretch>
                  </pic:blipFill>
                  <pic:spPr>
                    <a:xfrm>
                      <a:off x="0" y="0"/>
                      <a:ext cx="5943600" cy="2852738"/>
                    </a:xfrm>
                    <a:prstGeom prst="rect"/>
                    <a:ln w="25400">
                      <a:solidFill>
                        <a:srgbClr val="000000"/>
                      </a:solidFill>
                      <a:prstDash val="solid"/>
                    </a:ln>
                  </pic:spPr>
                </pic:pic>
              </a:graphicData>
            </a:graphic>
          </wp:inline>
        </w:drawing>
      </w:r>
      <w:r w:rsidDel="00000000" w:rsidR="00000000" w:rsidRPr="00000000">
        <w:rPr>
          <w:rtl w:val="0"/>
        </w:rPr>
      </w:r>
    </w:p>
    <w:p w:rsidR="00000000" w:rsidDel="00000000" w:rsidP="00000000" w:rsidRDefault="00000000" w:rsidRPr="00000000" w14:paraId="000000C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Figure 4: Gantt chart</w:t>
      </w:r>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0C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(Source: MS Project)</w:t>
      </w:r>
    </w:p>
    <w:p w:rsidR="00000000" w:rsidDel="00000000" w:rsidP="00000000" w:rsidRDefault="00000000" w:rsidRPr="00000000" w14:paraId="000000C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Identity of the Bridge is reinforced as a time sensitive criteria in the Critical Path Method. There is a direct impact of the delay of reinforcement on the date of project completion.</w:t>
      </w:r>
    </w:p>
    <w:p w:rsidR="00000000" w:rsidDel="00000000" w:rsidP="00000000" w:rsidRDefault="00000000" w:rsidRPr="00000000" w14:paraId="000000D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Operations are not carried out in parallel because of safety restrictions. Consolidation exposes them to risk. There is a high-cost disproportion in crashing. Thus, schedule control gives concern to stability.</w:t>
      </w:r>
    </w:p>
    <w:p w:rsidR="00000000" w:rsidDel="00000000" w:rsidP="00000000" w:rsidRDefault="00000000" w:rsidRPr="00000000" w14:paraId="000000D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addition of buffer time during the construction phase is to address weather uncertainty (‌Iungman </w:t>
      </w:r>
      <w:r w:rsidDel="00000000" w:rsidR="00000000" w:rsidRPr="00000000">
        <w:rPr>
          <w:rFonts w:ascii="Times New Roman" w:cs="Times New Roman" w:eastAsia="Times New Roman" w:hAnsi="Times New Roman"/>
          <w:i w:val="1"/>
          <w:iCs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2025). Such a decision demonstrates a risk-based scheduling as opposed to inflexible planning. Monitoring of schedules is done on a monthly basis. Escalation is poverty beyond the acceptable level.</w:t>
      </w:r>
    </w:p>
    <w:p w:rsidR="00000000" w:rsidDel="00000000" w:rsidP="00000000" w:rsidRDefault="00000000" w:rsidRPr="00000000" w14:paraId="000000D2">
      <w:pPr>
        <w:pStyle w:val="Heading2"/>
        <w:keepNext w:val="0"/>
        <w:keepLines w:val="0"/>
        <w:spacing w:before="280" w:lineRule="auto"/>
        <w:rPr/>
      </w:pPr>
      <w:bookmarkStart w:colFirst="0" w:colLast="0" w:name="_heading=h.69bnfk99weq5" w:id="21"/>
      <w:bookmarkEnd w:id="21"/>
      <w:r w:rsidDel="00000000" w:rsidR="00000000" w:rsidRPr="00000000">
        <w:rPr>
          <w:rtl w:val="0"/>
        </w:rPr>
        <w:t xml:space="preserve">Stakeholder Governance and Engagement</w:t>
      </w:r>
    </w:p>
    <w:p w:rsidR="00000000" w:rsidDel="00000000" w:rsidP="00000000" w:rsidRDefault="00000000" w:rsidRPr="00000000" w14:paraId="000000D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a structured “Power-Interest Matrix” structure to which stakeholder governance conforms (Carboni </w:t>
      </w:r>
      <w:r w:rsidDel="00000000" w:rsidR="00000000" w:rsidRPr="00000000">
        <w:rPr>
          <w:rFonts w:ascii="Times New Roman" w:cs="Times New Roman" w:eastAsia="Times New Roman" w:hAnsi="Times New Roman"/>
          <w:i w:val="1"/>
          <w:iCs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2025). This facilitates prioritised interaction and avoids communication imbalance.</w:t>
      </w:r>
    </w:p>
    <w:p w:rsidR="00000000" w:rsidDel="00000000" w:rsidP="00000000" w:rsidRDefault="00000000" w:rsidRPr="00000000" w14:paraId="000000D4">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5">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tbl>
      <w:tblPr>
        <w:tblStyle w:val="Table2"/>
        <w:tblW w:w="9360.000000000002"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1640"/>
        <w:gridCol w:w="2329"/>
        <w:gridCol w:w="1553"/>
        <w:gridCol w:w="1797"/>
        <w:gridCol w:w="2041"/>
        <w:tblGridChange w:id="0">
          <w:tblGrid>
            <w:gridCol w:w="1640"/>
            <w:gridCol w:w="2329"/>
            <w:gridCol w:w="1553"/>
            <w:gridCol w:w="1797"/>
            <w:gridCol w:w="2041"/>
          </w:tblGrid>
        </w:tblGridChange>
      </w:tblGrid>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6">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Stakeholder Category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7">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Key Actors</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Governance Strategy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Engagement Frequency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Purpose</w:t>
            </w:r>
            <w:r w:rsidDel="00000000" w:rsidR="00000000" w:rsidRPr="00000000">
              <w:rPr>
                <w:rtl w:val="0"/>
              </w:rPr>
            </w:r>
          </w:p>
        </w:tc>
      </w:tr>
      <w:tr>
        <w:trPr>
          <w:cantSplit w:val="0"/>
          <w:trHeight w:val="13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High Power / High Interest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West Midlands Council, Department for Transport, Environment Agency.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Closely manage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Monthly formal governance reviews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D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Strategic management and investment responsibility.</w:t>
            </w:r>
          </w:p>
        </w:tc>
      </w:tr>
      <w:tr>
        <w:trPr>
          <w:cantSplit w:val="0"/>
          <w:trHeight w:val="137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High Power / Low Interest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Nationally based oversight agencies, Insurance bodies.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Keep satisfied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Quarterly reporting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Adherence and compliance control.</w:t>
            </w:r>
          </w:p>
        </w:tc>
      </w:tr>
      <w:tr>
        <w:trPr>
          <w:cantSplit w:val="0"/>
          <w:trHeight w:val="108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Low Power / High Interest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Local Inhabitants, Business, Commuters.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Keep informed</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Bi-weekly public updates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Openness and managing expectations.</w:t>
            </w:r>
          </w:p>
        </w:tc>
      </w:tr>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Low Power / Low Interest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general public is not in the region.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Monitor</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Periodic public disclosures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0E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Reputational stability</w:t>
            </w:r>
          </w:p>
        </w:tc>
      </w:tr>
    </w:tbl>
    <w:p w:rsidR="00000000" w:rsidDel="00000000" w:rsidP="00000000" w:rsidRDefault="00000000" w:rsidRPr="00000000" w14:paraId="000000EF">
      <w:pPr>
        <w:spacing w:after="240" w:before="24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Table 1: Power–Interest Matrix</w:t>
      </w:r>
    </w:p>
    <w:p w:rsidR="00000000" w:rsidDel="00000000" w:rsidP="00000000" w:rsidRDefault="00000000" w:rsidRPr="00000000" w14:paraId="000000F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framework provides proportional communication. Policy decision is influenced by high-power actors. Interest groups that are expected to earn high impact on the legitimacy of the people. Open interaction lowers the reputational and political risk (‌Venturelli </w:t>
      </w:r>
      <w:r w:rsidDel="00000000" w:rsidR="00000000" w:rsidRPr="00000000">
        <w:rPr>
          <w:rFonts w:ascii="Times New Roman" w:cs="Times New Roman" w:eastAsia="Times New Roman" w:hAnsi="Times New Roman"/>
          <w:i w:val="1"/>
          <w:iCs w:val="1"/>
          <w:sz w:val="24"/>
          <w:szCs w:val="24"/>
          <w:rtl w:val="0"/>
        </w:rPr>
        <w:t xml:space="preserve">et al. </w:t>
      </w:r>
      <w:r w:rsidDel="00000000" w:rsidR="00000000" w:rsidRPr="00000000">
        <w:rPr>
          <w:rFonts w:ascii="Times New Roman" w:cs="Times New Roman" w:eastAsia="Times New Roman" w:hAnsi="Times New Roman"/>
          <w:sz w:val="24"/>
          <w:szCs w:val="24"/>
          <w:rtl w:val="0"/>
        </w:rPr>
        <w:t xml:space="preserve">2024). The organised management of expectations avoids scope pressure and delays that are created as a result of intervention by stakeholders.</w:t>
      </w:r>
    </w:p>
    <w:p w:rsidR="00000000" w:rsidDel="00000000" w:rsidP="00000000" w:rsidRDefault="00000000" w:rsidRPr="00000000" w14:paraId="000000F1">
      <w:pPr>
        <w:pStyle w:val="Heading2"/>
        <w:spacing w:after="240" w:before="240" w:lineRule="auto"/>
        <w:rPr/>
      </w:pPr>
      <w:bookmarkStart w:colFirst="0" w:colLast="0" w:name="_heading=h.m9deg8101bqa" w:id="22"/>
      <w:bookmarkEnd w:id="22"/>
      <w:r w:rsidDel="00000000" w:rsidR="00000000" w:rsidRPr="00000000">
        <w:rPr>
          <w:rtl w:val="0"/>
        </w:rPr>
        <w:t xml:space="preserve">Resource Allocation Strategy</w:t>
      </w:r>
    </w:p>
    <w:p w:rsidR="00000000" w:rsidDel="00000000" w:rsidP="00000000" w:rsidRDefault="00000000" w:rsidRPr="00000000" w14:paraId="000000F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budget is organised in the following way:</w:t>
      </w:r>
    </w:p>
    <w:p w:rsidR="00000000" w:rsidDel="00000000" w:rsidP="00000000" w:rsidRDefault="00000000" w:rsidRPr="00000000" w14:paraId="000000F3">
      <w:pPr>
        <w:numPr>
          <w:ilvl w:val="0"/>
          <w:numId w:val="3"/>
        </w:numPr>
        <w:spacing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Construction works: £12m</w:t>
      </w:r>
    </w:p>
    <w:p w:rsidR="00000000" w:rsidDel="00000000" w:rsidP="00000000" w:rsidRDefault="00000000" w:rsidRPr="00000000" w14:paraId="000000F4">
      <w:pPr>
        <w:numPr>
          <w:ilvl w:val="0"/>
          <w:numId w:val="3"/>
        </w:numPr>
        <w:spacing w:after="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Materials: £3m</w:t>
      </w:r>
    </w:p>
    <w:p w:rsidR="00000000" w:rsidDel="00000000" w:rsidP="00000000" w:rsidRDefault="00000000" w:rsidRPr="00000000" w14:paraId="000000F5">
      <w:pPr>
        <w:numPr>
          <w:ilvl w:val="0"/>
          <w:numId w:val="8"/>
        </w:numPr>
        <w:spacing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Labour: £2m</w:t>
      </w:r>
    </w:p>
    <w:p w:rsidR="00000000" w:rsidDel="00000000" w:rsidP="00000000" w:rsidRDefault="00000000" w:rsidRPr="00000000" w14:paraId="000000F6">
      <w:pPr>
        <w:numPr>
          <w:ilvl w:val="0"/>
          <w:numId w:val="8"/>
        </w:numPr>
        <w:spacing w:after="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Contingency: £1.5m</w:t>
      </w:r>
    </w:p>
    <w:p w:rsidR="00000000" w:rsidDel="00000000" w:rsidP="00000000" w:rsidRDefault="00000000" w:rsidRPr="00000000" w14:paraId="000000F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Risk exposure is indicated in contingency allocation. The volatility of inflation is also external and, to some extent, uncontrollable.</w:t>
      </w:r>
    </w:p>
    <w:p w:rsidR="00000000" w:rsidDel="00000000" w:rsidP="00000000" w:rsidRDefault="00000000" w:rsidRPr="00000000" w14:paraId="000000F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Human resources include:</w:t>
      </w:r>
    </w:p>
    <w:p w:rsidR="00000000" w:rsidDel="00000000" w:rsidP="00000000" w:rsidRDefault="00000000" w:rsidRPr="00000000" w14:paraId="000000F9">
      <w:pPr>
        <w:numPr>
          <w:ilvl w:val="0"/>
          <w:numId w:val="1"/>
        </w:numPr>
        <w:spacing w:before="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Project Manager</w:t>
      </w:r>
    </w:p>
    <w:p w:rsidR="00000000" w:rsidDel="00000000" w:rsidP="00000000" w:rsidRDefault="00000000" w:rsidRPr="00000000" w14:paraId="000000FA">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Civil Engineers</w:t>
      </w:r>
    </w:p>
    <w:p w:rsidR="00000000" w:rsidDel="00000000" w:rsidP="00000000" w:rsidRDefault="00000000" w:rsidRPr="00000000" w14:paraId="000000FB">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Structural Engineers</w:t>
      </w:r>
    </w:p>
    <w:p w:rsidR="00000000" w:rsidDel="00000000" w:rsidP="00000000" w:rsidRDefault="00000000" w:rsidRPr="00000000" w14:paraId="000000FC">
      <w:pPr>
        <w:numPr>
          <w:ilvl w:val="0"/>
          <w:numId w:val="1"/>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Environmental Compliance Officer is a position held internally.</w:t>
      </w:r>
    </w:p>
    <w:p w:rsidR="00000000" w:rsidDel="00000000" w:rsidP="00000000" w:rsidRDefault="00000000" w:rsidRPr="00000000" w14:paraId="000000FD">
      <w:pPr>
        <w:numPr>
          <w:ilvl w:val="0"/>
          <w:numId w:val="1"/>
        </w:numPr>
        <w:spacing w:after="240"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Safety Manager</w:t>
      </w:r>
    </w:p>
    <w:p w:rsidR="00000000" w:rsidDel="00000000" w:rsidP="00000000" w:rsidRDefault="00000000" w:rsidRPr="00000000" w14:paraId="000000F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Role definition is compatible with PRINCE2 governance principles. Ambiguity of responsibility is eliminated.</w:t>
      </w:r>
    </w:p>
    <w:p w:rsidR="00000000" w:rsidDel="00000000" w:rsidP="00000000" w:rsidRDefault="00000000" w:rsidRPr="00000000" w14:paraId="000000FF">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Resource intensity goes up during the construction stage. Lean staffing is used during the early design phase (‌Luna</w:t>
      </w:r>
      <w:r w:rsidDel="00000000" w:rsidR="00000000" w:rsidRPr="00000000">
        <w:rPr>
          <w:rFonts w:ascii="Times New Roman" w:cs="Times New Roman" w:eastAsia="Times New Roman" w:hAnsi="Times New Roman"/>
          <w:i w:val="1"/>
          <w:iCs w:val="1"/>
          <w:sz w:val="24"/>
          <w:szCs w:val="24"/>
          <w:rtl w:val="0"/>
        </w:rPr>
        <w:t xml:space="preserve"> et al.</w:t>
      </w:r>
      <w:r w:rsidDel="00000000" w:rsidR="00000000" w:rsidRPr="00000000">
        <w:rPr>
          <w:rFonts w:ascii="Times New Roman" w:cs="Times New Roman" w:eastAsia="Times New Roman" w:hAnsi="Times New Roman"/>
          <w:sz w:val="24"/>
          <w:szCs w:val="24"/>
          <w:rtl w:val="0"/>
        </w:rPr>
        <w:t xml:space="preserve"> 2025). Planned allocation works to its cost advantage.</w:t>
      </w:r>
    </w:p>
    <w:p w:rsidR="00000000" w:rsidDel="00000000" w:rsidP="00000000" w:rsidRDefault="00000000" w:rsidRPr="00000000" w14:paraId="0000010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Purchasing equipment is more focused on stability rather than cheap alternatives. Lifetime service means that it reduces lifecycle expenses.</w:t>
      </w:r>
    </w:p>
    <w:p w:rsidR="00000000" w:rsidDel="00000000" w:rsidP="00000000" w:rsidRDefault="00000000" w:rsidRPr="00000000" w14:paraId="00000101">
      <w:pPr>
        <w:pStyle w:val="Heading2"/>
        <w:rPr/>
      </w:pPr>
      <w:bookmarkStart w:colFirst="0" w:colLast="0" w:name="_heading=h.fonwav6beqbi" w:id="23"/>
      <w:bookmarkEnd w:id="23"/>
      <w:r w:rsidDel="00000000" w:rsidR="00000000" w:rsidRPr="00000000">
        <w:rPr>
          <w:rtl w:val="0"/>
        </w:rPr>
        <w:t xml:space="preserve">Risk Analysis and Uncertainty Management</w:t>
      </w:r>
    </w:p>
    <w:p w:rsidR="00000000" w:rsidDel="00000000" w:rsidP="00000000" w:rsidRDefault="00000000" w:rsidRPr="00000000" w14:paraId="0000010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risk management process is systematic as per the PMBOK structure. This structure involves risk identification, qualitative appraisal, prioritisation, response planning, monitoring and control. Infrastructure post-disaster projects are carried out in high levels of uncertainty. Exposure to environmental volatility, economic instability and regulatory pressure is at a premium.</w:t>
      </w:r>
    </w:p>
    <w:p w:rsidR="00000000" w:rsidDel="00000000" w:rsidP="00000000" w:rsidRDefault="00000000" w:rsidRPr="00000000" w14:paraId="0000010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During the initiation stage, risk identification ensued, where experts were consulted, as well as the environment being assessed. Risks were divided into environmental, financial, operational </w:t>
      </w:r>
    </w:p>
    <w:p w:rsidR="00000000" w:rsidDel="00000000" w:rsidP="00000000" w:rsidRDefault="00000000" w:rsidRPr="00000000" w14:paraId="00000104">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5">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and regulatory risks (Liu </w:t>
      </w:r>
      <w:r w:rsidDel="00000000" w:rsidR="00000000" w:rsidRPr="00000000">
        <w:rPr>
          <w:rFonts w:ascii="Times New Roman" w:cs="Times New Roman" w:eastAsia="Times New Roman" w:hAnsi="Times New Roman"/>
          <w:i w:val="1"/>
          <w:iCs w:val="1"/>
          <w:sz w:val="24"/>
          <w:szCs w:val="24"/>
          <w:rtl w:val="0"/>
        </w:rPr>
        <w:t xml:space="preserve">et al.</w:t>
      </w:r>
      <w:r w:rsidDel="00000000" w:rsidR="00000000" w:rsidRPr="00000000">
        <w:rPr>
          <w:rFonts w:ascii="Times New Roman" w:cs="Times New Roman" w:eastAsia="Times New Roman" w:hAnsi="Times New Roman"/>
          <w:sz w:val="24"/>
          <w:szCs w:val="24"/>
          <w:rtl w:val="0"/>
        </w:rPr>
        <w:t xml:space="preserve"> 2025). Both external and internal risk drivers were taken into consideration.</w:t>
      </w:r>
    </w:p>
    <w:p w:rsidR="00000000" w:rsidDel="00000000" w:rsidP="00000000" w:rsidRDefault="00000000" w:rsidRPr="00000000" w14:paraId="0000010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major risks can be summarised as follows:</w:t>
      </w:r>
    </w:p>
    <w:tbl>
      <w:tblPr>
        <w:tblStyle w:val="Table3"/>
        <w:tblW w:w="9375.0" w:type="dxa"/>
        <w:jc w:val="lef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645"/>
        <w:gridCol w:w="1545"/>
        <w:gridCol w:w="1170"/>
        <w:gridCol w:w="1410"/>
        <w:gridCol w:w="945"/>
        <w:gridCol w:w="1125"/>
        <w:gridCol w:w="1500"/>
        <w:gridCol w:w="1035"/>
        <w:tblGridChange w:id="0">
          <w:tblGrid>
            <w:gridCol w:w="645"/>
            <w:gridCol w:w="1545"/>
            <w:gridCol w:w="1170"/>
            <w:gridCol w:w="1410"/>
            <w:gridCol w:w="945"/>
            <w:gridCol w:w="1125"/>
            <w:gridCol w:w="1500"/>
            <w:gridCol w:w="1035"/>
          </w:tblGrid>
        </w:tblGridChange>
      </w:tblGrid>
      <w:tr>
        <w:trPr>
          <w:cantSplit w:val="0"/>
          <w:trHeight w:val="80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8">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Risk ID</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9">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Risk Description</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A">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Category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B">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Probability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C">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Impact</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D">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Risk Rating</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E">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Mitigation Strategy</w:t>
            </w:r>
            <w:r w:rsidDel="00000000" w:rsidR="00000000" w:rsidRPr="00000000">
              <w:rPr>
                <w:rtl w:val="0"/>
              </w:rPr>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0F">
            <w:pPr>
              <w:spacing w:line="360" w:lineRule="auto"/>
              <w:jc w:val="center"/>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bCs w:val="1"/>
                <w:sz w:val="24"/>
                <w:szCs w:val="24"/>
                <w:rtl w:val="0"/>
              </w:rPr>
              <w:t xml:space="preserve">Residual Risk</w:t>
            </w:r>
            <w:r w:rsidDel="00000000" w:rsidR="00000000" w:rsidRPr="00000000">
              <w:rPr>
                <w:rtl w:val="0"/>
              </w:rPr>
            </w:r>
          </w:p>
        </w:tc>
      </w:tr>
      <w:tr>
        <w:trPr>
          <w:cantSplit w:val="0"/>
          <w:trHeight w:val="192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R1</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Extreme weather repetition on construction.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Environmental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Critical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Weather watching, one-time flood barrier schedules.</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Medium</w:t>
            </w:r>
          </w:p>
        </w:tc>
      </w:tr>
      <w:tr>
        <w:trPr>
          <w:cantSplit w:val="0"/>
          <w:trHeight w:val="192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R2</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Material price escalation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Financial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Medium</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Determinate contracts; procurement early on; reserve cost fixed (10 per cent)</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1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Medium</w:t>
            </w:r>
          </w:p>
        </w:tc>
      </w:tr>
      <w:tr>
        <w:trPr>
          <w:cantSplit w:val="0"/>
          <w:trHeight w:val="1640"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R3</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Supply chain disruption</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Operational</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Medium</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Medium</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Moderate</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6">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Several suppliers; dynamic procurement planning.</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7">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Low-Medium</w:t>
            </w:r>
          </w:p>
        </w:tc>
      </w:tr>
      <w:tr>
        <w:trPr>
          <w:cantSplit w:val="0"/>
          <w:trHeight w:val="1925" w:hRule="atLeast"/>
          <w:tblHeader w:val="0"/>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R4</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Regulatory approval delay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A">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Regulatory</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B">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Low-Medium</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High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Moderate-High</w:t>
            </w:r>
          </w:p>
        </w:tc>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tcPr>
          <w:p w:rsidR="00000000" w:rsidDel="00000000" w:rsidP="00000000" w:rsidRDefault="00000000" w:rsidRPr="00000000" w14:paraId="0000012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Early interaction with authorities; audit compliance of compliance.</w:t>
            </w:r>
          </w:p>
        </w:tc>
        <w:tc>
          <w:tcPr>
            <w:tcMar>
              <w:top w:w="100.0" w:type="dxa"/>
              <w:left w:w="100.0" w:type="dxa"/>
              <w:bottom w:w="100.0" w:type="dxa"/>
              <w:right w:w="100.0" w:type="dxa"/>
            </w:tcMar>
          </w:tcPr>
          <w:p w:rsidR="00000000" w:rsidDel="00000000" w:rsidP="00000000" w:rsidRDefault="00000000" w:rsidRPr="00000000" w14:paraId="0000012F">
            <w:pPr>
              <w:spacing w:line="360" w:lineRule="auto"/>
              <w:jc w:val="both"/>
              <w:rPr>
                <w:rFonts w:ascii="Times New Roman" w:cs="Times New Roman" w:eastAsia="Times New Roman" w:hAnsi="Times New Roman"/>
                <w:sz w:val="24"/>
                <w:szCs w:val="24"/>
              </w:rPr>
            </w:pPr>
            <w:r w:rsidDel="00000000" w:rsidR="00000000" w:rsidRPr="00000000">
              <w:rPr>
                <w:rtl w:val="0"/>
              </w:rPr>
            </w:r>
          </w:p>
        </w:tc>
      </w:tr>
    </w:tbl>
    <w:p w:rsidR="00000000" w:rsidDel="00000000" w:rsidP="00000000" w:rsidRDefault="00000000" w:rsidRPr="00000000" w14:paraId="00000130">
      <w:pPr>
        <w:spacing w:before="280" w:line="360" w:lineRule="auto"/>
        <w:jc w:val="center"/>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Table 2: Risk Assessment Framework</w:t>
      </w:r>
    </w:p>
    <w:p w:rsidR="00000000" w:rsidDel="00000000" w:rsidP="00000000" w:rsidRDefault="00000000" w:rsidRPr="00000000" w14:paraId="0000013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probability of risk and the impact were rated qualitatively as High, Medium or Low. A probability impact matrix was used to calculate the risk rating. The severity of weather repeatability is critical because of the high likelihood and the high impact. Weather variation enhances the uncertainty of rainfall. Construction delays would impact the performance in terms of time and cost.</w:t>
      </w:r>
    </w:p>
    <w:p w:rsidR="00000000" w:rsidDel="00000000" w:rsidP="00000000" w:rsidRDefault="00000000" w:rsidRPr="00000000" w14:paraId="0000013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Financial exposure is in terms of material price escalation. Personal higher demand after a disaster can raise the costs of supply. Fixed-price contracts minimise volatility at the expense of having a higher starting bid value. The contingency allocation is then held back at 10%.</w:t>
      </w:r>
    </w:p>
    <w:p w:rsidR="00000000" w:rsidDel="00000000" w:rsidP="00000000" w:rsidRDefault="00000000" w:rsidRPr="00000000" w14:paraId="0000013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Interruptions in the supply chains are a moderate risk in operations. Supplier diversification lowers the dependency. The risk of regulatory delay is reduced by constant communication with the environmental and transport authorities.</w:t>
      </w:r>
    </w:p>
    <w:p w:rsidR="00000000" w:rsidDel="00000000" w:rsidP="00000000" w:rsidRDefault="00000000" w:rsidRPr="00000000" w14:paraId="00000134">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Risk monitoring is done on a monthly basis. After each stage review, there is an update on the risk register. Escalation processes are triggered when tolerance levels are crossed. The concept of governance control is in line with PRINCE2 stage management.</w:t>
      </w:r>
    </w:p>
    <w:p w:rsidR="00000000" w:rsidDel="00000000" w:rsidP="00000000" w:rsidRDefault="00000000" w:rsidRPr="00000000" w14:paraId="00000135">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no risk management that avoids uncertainty (Jakubik and Teleu, 2025). Organisations foreseeing and reaction strategy. Certain systemic risks include the macroeconomic shocks or the extreme escalation of climate, which cannot be controlled by the managers. Realistic risk governance is being considerate of these limitations rather than being overconfident. Developed uncertainty management will enhance resilience and enhance decision transparency.</w:t>
      </w:r>
    </w:p>
    <w:p w:rsidR="00000000" w:rsidDel="00000000" w:rsidP="00000000" w:rsidRDefault="00000000" w:rsidRPr="00000000" w14:paraId="00000136">
      <w:pPr>
        <w:pStyle w:val="Heading2"/>
        <w:rPr/>
      </w:pPr>
      <w:bookmarkStart w:colFirst="0" w:colLast="0" w:name="_heading=h.1wr8w0kbn7pw" w:id="24"/>
      <w:bookmarkEnd w:id="24"/>
      <w:r w:rsidDel="00000000" w:rsidR="00000000" w:rsidRPr="00000000">
        <w:rPr>
          <w:rtl w:val="0"/>
        </w:rPr>
      </w:r>
    </w:p>
    <w:p w:rsidR="00000000" w:rsidDel="00000000" w:rsidP="00000000" w:rsidRDefault="00000000" w:rsidRPr="00000000" w14:paraId="00000137">
      <w:pPr>
        <w:pStyle w:val="Heading2"/>
        <w:rPr/>
      </w:pPr>
      <w:bookmarkStart w:colFirst="0" w:colLast="0" w:name="_heading=h.xdk7auip23r" w:id="25"/>
      <w:bookmarkEnd w:id="25"/>
      <w:r w:rsidDel="00000000" w:rsidR="00000000" w:rsidRPr="00000000">
        <w:rPr>
          <w:rtl w:val="0"/>
        </w:rPr>
        <w:t xml:space="preserve">Governance, Control and Ethical Oversight</w:t>
      </w:r>
    </w:p>
    <w:p w:rsidR="00000000" w:rsidDel="00000000" w:rsidP="00000000" w:rsidRDefault="00000000" w:rsidRPr="00000000" w14:paraId="00000138">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Non- adapted stage gates used in PRINCE2 are:</w:t>
      </w:r>
    </w:p>
    <w:p w:rsidR="00000000" w:rsidDel="00000000" w:rsidP="00000000" w:rsidRDefault="00000000" w:rsidRPr="00000000" w14:paraId="00000139">
      <w:pPr>
        <w:numPr>
          <w:ilvl w:val="0"/>
          <w:numId w:val="1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Initiation</w:t>
      </w:r>
    </w:p>
    <w:p w:rsidR="00000000" w:rsidDel="00000000" w:rsidP="00000000" w:rsidRDefault="00000000" w:rsidRPr="00000000" w14:paraId="0000013A">
      <w:pPr>
        <w:numPr>
          <w:ilvl w:val="0"/>
          <w:numId w:val="1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Design approval</w:t>
      </w:r>
    </w:p>
    <w:p w:rsidR="00000000" w:rsidDel="00000000" w:rsidP="00000000" w:rsidRDefault="00000000" w:rsidRPr="00000000" w14:paraId="0000013B">
      <w:pPr>
        <w:numPr>
          <w:ilvl w:val="0"/>
          <w:numId w:val="1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Mid-construction review</w:t>
      </w:r>
    </w:p>
    <w:p w:rsidR="00000000" w:rsidDel="00000000" w:rsidP="00000000" w:rsidRDefault="00000000" w:rsidRPr="00000000" w14:paraId="0000013C">
      <w:pPr>
        <w:numPr>
          <w:ilvl w:val="0"/>
          <w:numId w:val="1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Final inspection</w:t>
      </w:r>
    </w:p>
    <w:p w:rsidR="00000000" w:rsidDel="00000000" w:rsidP="00000000" w:rsidRDefault="00000000" w:rsidRPr="00000000" w14:paraId="0000013D">
      <w:pPr>
        <w:numPr>
          <w:ilvl w:val="0"/>
          <w:numId w:val="14"/>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Tolerance thresholds:</w:t>
      </w:r>
    </w:p>
    <w:p w:rsidR="00000000" w:rsidDel="00000000" w:rsidP="00000000" w:rsidRDefault="00000000" w:rsidRPr="00000000" w14:paraId="0000013E">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Time ±1 month</w:t>
      </w:r>
    </w:p>
    <w:p w:rsidR="00000000" w:rsidDel="00000000" w:rsidP="00000000" w:rsidRDefault="00000000" w:rsidRPr="00000000" w14:paraId="0000013F">
      <w:pPr>
        <w:numPr>
          <w:ilvl w:val="0"/>
          <w:numId w:val="6"/>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Cost ±10%</w:t>
      </w:r>
    </w:p>
    <w:p w:rsidR="00000000" w:rsidDel="00000000" w:rsidP="00000000" w:rsidRDefault="00000000" w:rsidRPr="00000000" w14:paraId="00000140">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Breach of tolerance initiates Project Board audit.</w:t>
      </w:r>
    </w:p>
    <w:p w:rsidR="00000000" w:rsidDel="00000000" w:rsidP="00000000" w:rsidRDefault="00000000" w:rsidRPr="00000000" w14:paraId="00000141">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Proper procurement means proper selection of contractors. Competitive tendering reaps the benefit of less corruption.</w:t>
      </w:r>
    </w:p>
    <w:p w:rsidR="00000000" w:rsidDel="00000000" w:rsidP="00000000" w:rsidRDefault="00000000" w:rsidRPr="00000000" w14:paraId="00000142">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Drainage design and the choice of material are addressed by sustainability (Abera</w:t>
      </w:r>
      <w:r w:rsidDel="00000000" w:rsidR="00000000" w:rsidRPr="00000000">
        <w:rPr>
          <w:rFonts w:ascii="Times New Roman" w:cs="Times New Roman" w:eastAsia="Times New Roman" w:hAnsi="Times New Roman"/>
          <w:i w:val="1"/>
          <w:iCs w:val="1"/>
          <w:sz w:val="24"/>
          <w:szCs w:val="24"/>
          <w:rtl w:val="0"/>
        </w:rPr>
        <w:t xml:space="preserve"> et al. </w:t>
      </w:r>
      <w:r w:rsidDel="00000000" w:rsidR="00000000" w:rsidRPr="00000000">
        <w:rPr>
          <w:rFonts w:ascii="Times New Roman" w:cs="Times New Roman" w:eastAsia="Times New Roman" w:hAnsi="Times New Roman"/>
          <w:sz w:val="24"/>
          <w:szCs w:val="24"/>
          <w:rtl w:val="0"/>
        </w:rPr>
        <w:t xml:space="preserve">2025). The strength of the infrastructure lowers the expenditure of the populace in the long run. Savings in the lifecycle can be generated through a short-term cost increment.</w:t>
      </w:r>
    </w:p>
    <w:p w:rsidR="00000000" w:rsidDel="00000000" w:rsidP="00000000" w:rsidRDefault="00000000" w:rsidRPr="00000000" w14:paraId="00000143">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Accountability is ensured due to the discipline of governance. Nonetheless, overmanagement can drive up the responsiveness of its operations. Balance remains essential.</w:t>
      </w:r>
    </w:p>
    <w:p w:rsidR="00000000" w:rsidDel="00000000" w:rsidP="00000000" w:rsidRDefault="00000000" w:rsidRPr="00000000" w14:paraId="00000144">
      <w:pPr>
        <w:pStyle w:val="Heading2"/>
        <w:rPr/>
      </w:pPr>
      <w:bookmarkStart w:colFirst="0" w:colLast="0" w:name="_heading=h.udcokd8il6u7" w:id="26"/>
      <w:bookmarkEnd w:id="26"/>
      <w:r w:rsidDel="00000000" w:rsidR="00000000" w:rsidRPr="00000000">
        <w:rPr>
          <w:rtl w:val="0"/>
        </w:rPr>
        <w:t xml:space="preserve">Limitations in the methodology and Wider Horizons</w:t>
      </w:r>
    </w:p>
    <w:p w:rsidR="00000000" w:rsidDel="00000000" w:rsidP="00000000" w:rsidRDefault="00000000" w:rsidRPr="00000000" w14:paraId="00000145">
      <w:pPr>
        <w:numPr>
          <w:ilvl w:val="0"/>
          <w:numId w:val="5"/>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PRINCE2 amplifies accountability at the expense of administrative strain. Waterfall sequencing does not allow flexibility in case of unforeseen changes in design.</w:t>
      </w:r>
    </w:p>
    <w:p w:rsidR="00000000" w:rsidDel="00000000" w:rsidP="00000000" w:rsidRDefault="00000000" w:rsidRPr="00000000" w14:paraId="00000146">
      <w:pPr>
        <w:numPr>
          <w:ilvl w:val="0"/>
          <w:numId w:val="5"/>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Hybrid integration cannot be without coordination. Lack of alignment between the governance and operational teams can be a source of friction.</w:t>
      </w:r>
    </w:p>
    <w:p w:rsidR="00000000" w:rsidDel="00000000" w:rsidP="00000000" w:rsidRDefault="00000000" w:rsidRPr="00000000" w14:paraId="00000147">
      <w:pPr>
        <w:numPr>
          <w:ilvl w:val="0"/>
          <w:numId w:val="5"/>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external uncertainty is in political funding and climate uncertainty. The outlook of prolonged rainfalls is probabilistic. It is impossible to be absolutely certain about it.</w:t>
      </w:r>
    </w:p>
    <w:p w:rsidR="00000000" w:rsidDel="00000000" w:rsidP="00000000" w:rsidRDefault="00000000" w:rsidRPr="00000000" w14:paraId="00000148">
      <w:pPr>
        <w:numPr>
          <w:ilvl w:val="0"/>
          <w:numId w:val="5"/>
        </w:numPr>
        <w:spacing w:line="360" w:lineRule="auto"/>
        <w:ind w:left="720" w:hanging="360"/>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process of infrastructure resilience planning will have to keep developing. In rapid climate change, there is a risk of obsolescence with any kind of planning that is not dynamic.</w:t>
      </w:r>
    </w:p>
    <w:p w:rsidR="00000000" w:rsidDel="00000000" w:rsidP="00000000" w:rsidRDefault="00000000" w:rsidRPr="00000000" w14:paraId="00000149">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Digital twin modelling can be used to simulate predictive resilience in future projects.</w:t>
      </w:r>
    </w:p>
    <w:p w:rsidR="00000000" w:rsidDel="00000000" w:rsidP="00000000" w:rsidRDefault="00000000" w:rsidRPr="00000000" w14:paraId="0000014A">
      <w:pPr>
        <w:pStyle w:val="Heading2"/>
        <w:rPr/>
      </w:pPr>
      <w:bookmarkStart w:colFirst="0" w:colLast="0" w:name="_heading=h.7jvqg59ah03p" w:id="27"/>
      <w:bookmarkEnd w:id="27"/>
      <w:r w:rsidDel="00000000" w:rsidR="00000000" w:rsidRPr="00000000">
        <w:rPr>
          <w:rtl w:val="0"/>
        </w:rPr>
      </w:r>
    </w:p>
    <w:p w:rsidR="00000000" w:rsidDel="00000000" w:rsidP="00000000" w:rsidRDefault="00000000" w:rsidRPr="00000000" w14:paraId="0000014B">
      <w:pPr>
        <w:pStyle w:val="Heading2"/>
        <w:rPr/>
      </w:pPr>
      <w:bookmarkStart w:colFirst="0" w:colLast="0" w:name="_heading=h.1orqce8yrcgc" w:id="28"/>
      <w:bookmarkEnd w:id="28"/>
      <w:r w:rsidDel="00000000" w:rsidR="00000000" w:rsidRPr="00000000">
        <w:rPr>
          <w:rtl w:val="0"/>
        </w:rPr>
        <w:t xml:space="preserve">Conclusion</w:t>
      </w:r>
    </w:p>
    <w:p w:rsidR="00000000" w:rsidDel="00000000" w:rsidP="00000000" w:rsidRDefault="00000000" w:rsidRPr="00000000" w14:paraId="0000014C">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A449 corridor rebuilding case shows a systematic use of well-established project management concepts in a context of significant degrees of complexity and uncertainty.</w:t>
      </w:r>
    </w:p>
    <w:p w:rsidR="00000000" w:rsidDel="00000000" w:rsidP="00000000" w:rsidRDefault="00000000" w:rsidRPr="00000000" w14:paraId="0000014D">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hybrid approach combines the governance science, engineering sequencing, and controlled systematic risks. Inflation is caused by a lack of scope. Transparency is enhanced through the WBS breakdown. Timeline discipline is guaranteed through critical path scheduling. The stakeholder mapping increases legitimacy. Measurement of risk management enhances preparedness.</w:t>
      </w:r>
    </w:p>
    <w:p w:rsidR="00000000" w:rsidDel="00000000" w:rsidP="00000000" w:rsidRDefault="00000000" w:rsidRPr="00000000" w14:paraId="0000014E">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Contextual evaluation is used in the justification of methodological selection. Weaknesses are openly accepted. Outside volatility is not quite under its control. Constant supervision and adaptive governance are needed.</w:t>
      </w:r>
    </w:p>
    <w:p w:rsidR="00000000" w:rsidDel="00000000" w:rsidP="00000000" w:rsidRDefault="00000000" w:rsidRPr="00000000" w14:paraId="0000014F">
      <w:pPr>
        <w:spacing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Effective completion can reestablish connection, enhance climatic resilience, supplement the economic recovery process and increase in governance of infrastructures.</w:t>
      </w:r>
      <w:r w:rsidDel="00000000" w:rsidR="00000000" w:rsidRPr="00000000">
        <w:br w:type="page"/>
      </w:r>
      <w:r w:rsidDel="00000000" w:rsidR="00000000" w:rsidRPr="00000000">
        <w:rPr>
          <w:rtl w:val="0"/>
        </w:rPr>
      </w:r>
    </w:p>
    <w:p w:rsidR="00000000" w:rsidDel="00000000" w:rsidP="00000000" w:rsidRDefault="00000000" w:rsidRPr="00000000" w14:paraId="00000150">
      <w:pPr>
        <w:pStyle w:val="Heading1"/>
        <w:spacing w:line="360" w:lineRule="auto"/>
        <w:jc w:val="both"/>
        <w:rPr/>
      </w:pPr>
      <w:bookmarkStart w:colFirst="0" w:colLast="0" w:name="_heading=h.whgio1mqrogs" w:id="29"/>
      <w:bookmarkEnd w:id="29"/>
      <w:r w:rsidDel="00000000" w:rsidR="00000000" w:rsidRPr="00000000">
        <w:rPr>
          <w:rtl w:val="0"/>
        </w:rPr>
      </w:r>
    </w:p>
    <w:p w:rsidR="00000000" w:rsidDel="00000000" w:rsidP="00000000" w:rsidRDefault="00000000" w:rsidRPr="00000000" w14:paraId="00000151">
      <w:pPr>
        <w:pStyle w:val="Heading1"/>
        <w:spacing w:line="360" w:lineRule="auto"/>
        <w:jc w:val="both"/>
        <w:rPr/>
      </w:pPr>
      <w:bookmarkStart w:colFirst="0" w:colLast="0" w:name="_heading=h.klmf28j9jihz" w:id="30"/>
      <w:bookmarkEnd w:id="30"/>
      <w:r w:rsidDel="00000000" w:rsidR="00000000" w:rsidRPr="00000000">
        <w:rPr>
          <w:rtl w:val="0"/>
        </w:rPr>
        <w:t xml:space="preserve">References </w:t>
      </w:r>
    </w:p>
    <w:p w:rsidR="00000000" w:rsidDel="00000000" w:rsidP="00000000" w:rsidRDefault="00000000" w:rsidRPr="00000000" w14:paraId="00000152">
      <w:pPr>
        <w:spacing w:after="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Part A</w:t>
      </w:r>
    </w:p>
    <w:p w:rsidR="00000000" w:rsidDel="00000000" w:rsidP="00000000" w:rsidRDefault="00000000" w:rsidRPr="00000000" w14:paraId="00000153">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Dft.gov.uk. (2024a). </w:t>
      </w:r>
      <w:r w:rsidDel="00000000" w:rsidR="00000000" w:rsidRPr="00000000">
        <w:rPr>
          <w:rFonts w:ascii="Times New Roman" w:cs="Times New Roman" w:eastAsia="Times New Roman" w:hAnsi="Times New Roman"/>
          <w:i w:val="1"/>
          <w:iCs w:val="1"/>
          <w:sz w:val="24"/>
          <w:szCs w:val="24"/>
          <w:rtl w:val="0"/>
        </w:rPr>
        <w:t xml:space="preserve">Road Traffic website - Count point 57930</w:t>
      </w:r>
      <w:r w:rsidDel="00000000" w:rsidR="00000000" w:rsidRPr="00000000">
        <w:rPr>
          <w:rFonts w:ascii="Times New Roman" w:cs="Times New Roman" w:eastAsia="Times New Roman" w:hAnsi="Times New Roman"/>
          <w:sz w:val="24"/>
          <w:szCs w:val="24"/>
          <w:rtl w:val="0"/>
        </w:rPr>
        <w:t xml:space="preserve">. [online] Available at: </w:t>
      </w:r>
      <w:hyperlink r:id="rId11">
        <w:r w:rsidDel="00000000" w:rsidR="00000000" w:rsidRPr="00000000">
          <w:rPr>
            <w:rFonts w:ascii="Times New Roman" w:cs="Times New Roman" w:eastAsia="Times New Roman" w:hAnsi="Times New Roman"/>
            <w:color w:val="1155cc"/>
            <w:sz w:val="24"/>
            <w:szCs w:val="24"/>
            <w:u w:val="single"/>
            <w:rtl w:val="0"/>
          </w:rPr>
          <w:t xml:space="preserve">https://roadtraffic.dft.gov.uk/count-points/57930</w:t>
        </w:r>
      </w:hyperlink>
      <w:r w:rsidDel="00000000" w:rsidR="00000000" w:rsidRPr="00000000">
        <w:rPr>
          <w:rFonts w:ascii="Times New Roman" w:cs="Times New Roman" w:eastAsia="Times New Roman" w:hAnsi="Times New Roman"/>
          <w:sz w:val="24"/>
          <w:szCs w:val="24"/>
          <w:rtl w:val="0"/>
        </w:rPr>
        <w:t xml:space="preserve"> [Accessed 14 Feb. 2026].</w:t>
      </w:r>
    </w:p>
    <w:p w:rsidR="00000000" w:rsidDel="00000000" w:rsidP="00000000" w:rsidRDefault="00000000" w:rsidRPr="00000000" w14:paraId="00000154">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Dft.gov.uk. (2024b). </w:t>
      </w:r>
      <w:r w:rsidDel="00000000" w:rsidR="00000000" w:rsidRPr="00000000">
        <w:rPr>
          <w:rFonts w:ascii="Times New Roman" w:cs="Times New Roman" w:eastAsia="Times New Roman" w:hAnsi="Times New Roman"/>
          <w:i w:val="1"/>
          <w:iCs w:val="1"/>
          <w:sz w:val="24"/>
          <w:szCs w:val="24"/>
          <w:rtl w:val="0"/>
        </w:rPr>
        <w:t xml:space="preserve">Road Traffic website - Count point 27182</w:t>
      </w:r>
      <w:r w:rsidDel="00000000" w:rsidR="00000000" w:rsidRPr="00000000">
        <w:rPr>
          <w:rFonts w:ascii="Times New Roman" w:cs="Times New Roman" w:eastAsia="Times New Roman" w:hAnsi="Times New Roman"/>
          <w:sz w:val="24"/>
          <w:szCs w:val="24"/>
          <w:rtl w:val="0"/>
        </w:rPr>
        <w:t xml:space="preserve">. [online] Available at: </w:t>
      </w:r>
      <w:hyperlink r:id="rId12">
        <w:r w:rsidDel="00000000" w:rsidR="00000000" w:rsidRPr="00000000">
          <w:rPr>
            <w:rFonts w:ascii="Times New Roman" w:cs="Times New Roman" w:eastAsia="Times New Roman" w:hAnsi="Times New Roman"/>
            <w:color w:val="1155cc"/>
            <w:sz w:val="24"/>
            <w:szCs w:val="24"/>
            <w:u w:val="single"/>
            <w:rtl w:val="0"/>
          </w:rPr>
          <w:t xml:space="preserve">https://roadtraffic.dft.gov.uk/count-points/27182</w:t>
        </w:r>
      </w:hyperlink>
      <w:r w:rsidDel="00000000" w:rsidR="00000000" w:rsidRPr="00000000">
        <w:rPr>
          <w:rFonts w:ascii="Times New Roman" w:cs="Times New Roman" w:eastAsia="Times New Roman" w:hAnsi="Times New Roman"/>
          <w:sz w:val="24"/>
          <w:szCs w:val="24"/>
          <w:rtl w:val="0"/>
        </w:rPr>
        <w:t xml:space="preserve"> [Accessed 14 Feb. 2026].</w:t>
      </w:r>
    </w:p>
    <w:p w:rsidR="00000000" w:rsidDel="00000000" w:rsidP="00000000" w:rsidRDefault="00000000" w:rsidRPr="00000000" w14:paraId="0000015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‌Dft.gov.uk. (2024c). </w:t>
      </w:r>
      <w:r w:rsidDel="00000000" w:rsidR="00000000" w:rsidRPr="00000000">
        <w:rPr>
          <w:rFonts w:ascii="Times New Roman" w:cs="Times New Roman" w:eastAsia="Times New Roman" w:hAnsi="Times New Roman"/>
          <w:i w:val="1"/>
          <w:iCs w:val="1"/>
          <w:sz w:val="24"/>
          <w:szCs w:val="24"/>
          <w:rtl w:val="0"/>
        </w:rPr>
        <w:t xml:space="preserve">Road Traffic website - West Midlands</w:t>
      </w:r>
      <w:r w:rsidDel="00000000" w:rsidR="00000000" w:rsidRPr="00000000">
        <w:rPr>
          <w:rFonts w:ascii="Times New Roman" w:cs="Times New Roman" w:eastAsia="Times New Roman" w:hAnsi="Times New Roman"/>
          <w:sz w:val="24"/>
          <w:szCs w:val="24"/>
          <w:rtl w:val="0"/>
        </w:rPr>
        <w:t xml:space="preserve">. [online] Available at: </w:t>
      </w:r>
      <w:hyperlink r:id="rId13">
        <w:r w:rsidDel="00000000" w:rsidR="00000000" w:rsidRPr="00000000">
          <w:rPr>
            <w:rFonts w:ascii="Times New Roman" w:cs="Times New Roman" w:eastAsia="Times New Roman" w:hAnsi="Times New Roman"/>
            <w:color w:val="1155cc"/>
            <w:sz w:val="24"/>
            <w:szCs w:val="24"/>
            <w:u w:val="single"/>
            <w:rtl w:val="0"/>
          </w:rPr>
          <w:t xml:space="preserve">https://roadtraffic.dft.gov.uk/regions/E1200000</w:t>
        </w:r>
      </w:hyperlink>
      <w:r w:rsidDel="00000000" w:rsidR="00000000" w:rsidRPr="00000000">
        <w:rPr>
          <w:rFonts w:ascii="Times New Roman" w:cs="Times New Roman" w:eastAsia="Times New Roman" w:hAnsi="Times New Roman"/>
          <w:sz w:val="24"/>
          <w:szCs w:val="24"/>
          <w:rtl w:val="0"/>
        </w:rPr>
        <w:t xml:space="preserve"> [Accessed 14 Feb. 2026].</w:t>
      </w:r>
    </w:p>
    <w:p w:rsidR="00000000" w:rsidDel="00000000" w:rsidP="00000000" w:rsidRDefault="00000000" w:rsidRPr="00000000" w14:paraId="00000156">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Chadee, A. A., Mahabir, R., Banerjee, K. S., Verma, S., &amp; Hazi Mohammad Azamathulla. (2025). The causal nature of adopting standardized project management body of knowledge (PMBOK) on construction projects. Deleted Journal, 2(1). </w:t>
      </w:r>
      <w:hyperlink r:id="rId14">
        <w:r w:rsidDel="00000000" w:rsidR="00000000" w:rsidRPr="00000000">
          <w:rPr>
            <w:rFonts w:ascii="Times New Roman" w:cs="Times New Roman" w:eastAsia="Times New Roman" w:hAnsi="Times New Roman"/>
            <w:color w:val="0000ff"/>
            <w:sz w:val="24"/>
            <w:szCs w:val="24"/>
            <w:u w:val="single"/>
            <w:rtl w:val="0"/>
          </w:rPr>
          <w:t xml:space="preserve">https://doi.org/10.1007/s44290-025-00311-y</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5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Zelek, L., Kuboszek, A. and Kupczyk, T., (2025). The Application of PRINCE2 in IT Project: A Comparative Analysis of Methodologies. European Research Studies Journal, 28(4), pp.1575-1591. </w:t>
      </w:r>
      <w:hyperlink r:id="rId15">
        <w:r w:rsidDel="00000000" w:rsidR="00000000" w:rsidRPr="00000000">
          <w:rPr>
            <w:rFonts w:ascii="Times New Roman" w:cs="Times New Roman" w:eastAsia="Times New Roman" w:hAnsi="Times New Roman"/>
            <w:color w:val="0000ff"/>
            <w:sz w:val="24"/>
            <w:szCs w:val="24"/>
            <w:u w:val="single"/>
            <w:rtl w:val="0"/>
          </w:rPr>
          <w:t xml:space="preserve">https://ersj.eu/journal/4199/download/The+Application+of+PRINCE2+in+IT+Project+A+Comparative+Analysis+of+Methodologies.pdf</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5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Owens, T. (2026). Herefordshire and Worcestershire roads closed amid flood warnings. [online] Bbc.com. Available at: </w:t>
      </w:r>
      <w:hyperlink r:id="rId16">
        <w:r w:rsidDel="00000000" w:rsidR="00000000" w:rsidRPr="00000000">
          <w:rPr>
            <w:rFonts w:ascii="Times New Roman" w:cs="Times New Roman" w:eastAsia="Times New Roman" w:hAnsi="Times New Roman"/>
            <w:color w:val="0000ff"/>
            <w:sz w:val="24"/>
            <w:szCs w:val="24"/>
            <w:u w:val="single"/>
            <w:rtl w:val="0"/>
          </w:rPr>
          <w:t xml:space="preserve">https://www.bbc.com/news/articles/c5yv8299llxo</w:t>
        </w:r>
      </w:hyperlink>
      <w:r w:rsidDel="00000000" w:rsidR="00000000" w:rsidRPr="00000000">
        <w:rPr>
          <w:rFonts w:ascii="Times New Roman" w:cs="Times New Roman" w:eastAsia="Times New Roman" w:hAnsi="Times New Roman"/>
          <w:sz w:val="24"/>
          <w:szCs w:val="24"/>
          <w:rtl w:val="0"/>
        </w:rPr>
        <w:t xml:space="preserve"> [Accessed 4 Mar. 2026].</w:t>
      </w:r>
    </w:p>
    <w:p w:rsidR="00000000" w:rsidDel="00000000" w:rsidP="00000000" w:rsidRDefault="00000000" w:rsidRPr="00000000" w14:paraId="00000159">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Part B</w:t>
      </w:r>
    </w:p>
    <w:p w:rsidR="00000000" w:rsidDel="00000000" w:rsidP="00000000" w:rsidRDefault="00000000" w:rsidRPr="00000000" w14:paraId="0000015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Buijlayyil, M., Kiraz, A. and Lemamsha, H. (2025). Sustainability Education for Post-Disaster Recovery: A Qualitative Study of Community and Policy Perspectives in Derna, Libya. </w:t>
      </w:r>
      <w:r w:rsidDel="00000000" w:rsidR="00000000" w:rsidRPr="00000000">
        <w:rPr>
          <w:rFonts w:ascii="Times New Roman" w:cs="Times New Roman" w:eastAsia="Times New Roman" w:hAnsi="Times New Roman"/>
          <w:i w:val="1"/>
          <w:iCs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[online] 17(22), p.10181. doi:https://doi.org/10.3390/su172210181.</w:t>
      </w:r>
    </w:p>
    <w:p w:rsidR="00000000" w:rsidDel="00000000" w:rsidP="00000000" w:rsidRDefault="00000000" w:rsidRPr="00000000" w14:paraId="0000015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Bruen, C., Illing, J., Daly, R., Meagher, F., Delany, C., Offiah, G., Doherty, S., Stuart, E., Crehan, M. and Kelly, H. (2025). Medical student experiences of Case-Based Learning (CBL) at a </w:t>
      </w:r>
    </w:p>
    <w:p w:rsidR="00000000" w:rsidDel="00000000" w:rsidP="00000000" w:rsidRDefault="00000000" w:rsidRPr="00000000" w14:paraId="0000015C">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5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multicultural medical school. </w:t>
      </w:r>
      <w:r w:rsidDel="00000000" w:rsidR="00000000" w:rsidRPr="00000000">
        <w:rPr>
          <w:rFonts w:ascii="Times New Roman" w:cs="Times New Roman" w:eastAsia="Times New Roman" w:hAnsi="Times New Roman"/>
          <w:i w:val="1"/>
          <w:iCs w:val="1"/>
          <w:sz w:val="24"/>
          <w:szCs w:val="24"/>
          <w:rtl w:val="0"/>
        </w:rPr>
        <w:t xml:space="preserve">BMC Medical Education</w:t>
      </w:r>
      <w:r w:rsidDel="00000000" w:rsidR="00000000" w:rsidRPr="00000000">
        <w:rPr>
          <w:rFonts w:ascii="Times New Roman" w:cs="Times New Roman" w:eastAsia="Times New Roman" w:hAnsi="Times New Roman"/>
          <w:sz w:val="24"/>
          <w:szCs w:val="24"/>
          <w:rtl w:val="0"/>
        </w:rPr>
        <w:t xml:space="preserve">, 25(1). doi:https://doi.org/10.1186/s12909-024-06585-7. </w:t>
      </w:r>
    </w:p>
    <w:p w:rsidR="00000000" w:rsidDel="00000000" w:rsidP="00000000" w:rsidRDefault="00000000" w:rsidRPr="00000000" w14:paraId="0000015E">
      <w:pPr>
        <w:spacing w:after="240" w:before="240" w:line="360" w:lineRule="auto"/>
        <w:jc w:val="both"/>
        <w:rPr>
          <w:rFonts w:ascii="Times New Roman" w:cs="Times New Roman" w:eastAsia="Times New Roman" w:hAnsi="Times New Roman"/>
          <w:b w:val="1"/>
          <w:bCs w:val="1"/>
          <w:sz w:val="24"/>
          <w:szCs w:val="24"/>
        </w:rPr>
      </w:pPr>
      <w:r w:rsidDel="00000000" w:rsidR="00000000" w:rsidRPr="00000000">
        <w:rPr>
          <w:rFonts w:ascii="Times New Roman" w:cs="Times New Roman" w:eastAsia="Times New Roman" w:hAnsi="Times New Roman"/>
          <w:b w:val="1"/>
          <w:bCs w:val="1"/>
          <w:sz w:val="24"/>
          <w:szCs w:val="24"/>
          <w:rtl w:val="0"/>
        </w:rPr>
        <w:t xml:space="preserve">Part C</w:t>
      </w:r>
    </w:p>
    <w:p w:rsidR="00000000" w:rsidDel="00000000" w:rsidP="00000000" w:rsidRDefault="00000000" w:rsidRPr="00000000" w14:paraId="0000015F">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Abera, L.E., Surbeck, C.Q. and McKay, S.K. (2025). Lifecycle cost and benefit analysis for parcel-scale implementation of green stormwater infrastructure. </w:t>
      </w:r>
      <w:r w:rsidDel="00000000" w:rsidR="00000000" w:rsidRPr="00000000">
        <w:rPr>
          <w:rFonts w:ascii="Times New Roman" w:cs="Times New Roman" w:eastAsia="Times New Roman" w:hAnsi="Times New Roman"/>
          <w:i w:val="1"/>
          <w:iCs w:val="1"/>
          <w:sz w:val="24"/>
          <w:szCs w:val="24"/>
          <w:rtl w:val="0"/>
        </w:rPr>
        <w:t xml:space="preserve">Green Technologies and Sustainability</w:t>
      </w:r>
      <w:r w:rsidDel="00000000" w:rsidR="00000000" w:rsidRPr="00000000">
        <w:rPr>
          <w:rFonts w:ascii="Times New Roman" w:cs="Times New Roman" w:eastAsia="Times New Roman" w:hAnsi="Times New Roman"/>
          <w:sz w:val="24"/>
          <w:szCs w:val="24"/>
          <w:rtl w:val="0"/>
        </w:rPr>
        <w:t xml:space="preserve">, [online] 3(2), p.100139. doi:</w:t>
      </w:r>
      <w:hyperlink r:id="rId17">
        <w:r w:rsidDel="00000000" w:rsidR="00000000" w:rsidRPr="00000000">
          <w:rPr>
            <w:rFonts w:ascii="Times New Roman" w:cs="Times New Roman" w:eastAsia="Times New Roman" w:hAnsi="Times New Roman"/>
            <w:color w:val="1155cc"/>
            <w:sz w:val="24"/>
            <w:szCs w:val="24"/>
            <w:u w:val="single"/>
            <w:rtl w:val="0"/>
          </w:rPr>
          <w:t xml:space="preserve">https://doi.org/10.1016/j.grets.2024.100139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6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Adebayo, Y., Udoh, P., Kamudyariwa, X.B. and Osobajo, O.A. (2025). Artificial Intelligence in Construction Project Management: A Structured Literature Review of Its Evolution in Application and Future Trends. </w:t>
      </w:r>
      <w:r w:rsidDel="00000000" w:rsidR="00000000" w:rsidRPr="00000000">
        <w:rPr>
          <w:rFonts w:ascii="Times New Roman" w:cs="Times New Roman" w:eastAsia="Times New Roman" w:hAnsi="Times New Roman"/>
          <w:i w:val="1"/>
          <w:iCs w:val="1"/>
          <w:sz w:val="24"/>
          <w:szCs w:val="24"/>
          <w:rtl w:val="0"/>
        </w:rPr>
        <w:t xml:space="preserve">Digital</w:t>
      </w:r>
      <w:r w:rsidDel="00000000" w:rsidR="00000000" w:rsidRPr="00000000">
        <w:rPr>
          <w:rFonts w:ascii="Times New Roman" w:cs="Times New Roman" w:eastAsia="Times New Roman" w:hAnsi="Times New Roman"/>
          <w:sz w:val="24"/>
          <w:szCs w:val="24"/>
          <w:rtl w:val="0"/>
        </w:rPr>
        <w:t xml:space="preserve">, [online] 5(3), p.26. doi:</w:t>
      </w:r>
      <w:hyperlink r:id="rId18">
        <w:r w:rsidDel="00000000" w:rsidR="00000000" w:rsidRPr="00000000">
          <w:rPr>
            <w:rFonts w:ascii="Times New Roman" w:cs="Times New Roman" w:eastAsia="Times New Roman" w:hAnsi="Times New Roman"/>
            <w:color w:val="1155cc"/>
            <w:sz w:val="24"/>
            <w:szCs w:val="24"/>
            <w:u w:val="single"/>
            <w:rtl w:val="0"/>
          </w:rPr>
          <w:t xml:space="preserve">https://doi.org/10.3390/digital5030026</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61">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‌Barghi, B. and Shadrokh sikari, S. (2020). Qualitative and quantitative project risk assessment using a hybrid PMBOK model developed under uncertainty conditions. Heliyon, [online] 6(1), p.e03097. doi:</w:t>
      </w:r>
      <w:hyperlink r:id="rId19">
        <w:r w:rsidDel="00000000" w:rsidR="00000000" w:rsidRPr="00000000">
          <w:rPr>
            <w:rFonts w:ascii="Times New Roman" w:cs="Times New Roman" w:eastAsia="Times New Roman" w:hAnsi="Times New Roman"/>
            <w:color w:val="1155cc"/>
            <w:sz w:val="24"/>
            <w:szCs w:val="24"/>
            <w:u w:val="single"/>
            <w:rtl w:val="0"/>
          </w:rPr>
          <w:t xml:space="preserve">https://doi.org/10.1016/j.heliyon.2019.e03097</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62">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BBC (2025). </w:t>
      </w:r>
      <w:r w:rsidDel="00000000" w:rsidR="00000000" w:rsidRPr="00000000">
        <w:rPr>
          <w:rFonts w:ascii="Times New Roman" w:cs="Times New Roman" w:eastAsia="Times New Roman" w:hAnsi="Times New Roman"/>
          <w:i w:val="1"/>
          <w:iCs w:val="1"/>
          <w:sz w:val="24"/>
          <w:szCs w:val="24"/>
          <w:rtl w:val="0"/>
        </w:rPr>
        <w:t xml:space="preserve">Flooding causing traffic delays as Storm Claudia batters West Midlands</w:t>
      </w:r>
      <w:r w:rsidDel="00000000" w:rsidR="00000000" w:rsidRPr="00000000">
        <w:rPr>
          <w:rFonts w:ascii="Times New Roman" w:cs="Times New Roman" w:eastAsia="Times New Roman" w:hAnsi="Times New Roman"/>
          <w:sz w:val="24"/>
          <w:szCs w:val="24"/>
          <w:rtl w:val="0"/>
        </w:rPr>
        <w:t xml:space="preserve">. [online] BBC News. Available at: </w:t>
      </w:r>
      <w:hyperlink r:id="rId20">
        <w:r w:rsidDel="00000000" w:rsidR="00000000" w:rsidRPr="00000000">
          <w:rPr>
            <w:rFonts w:ascii="Times New Roman" w:cs="Times New Roman" w:eastAsia="Times New Roman" w:hAnsi="Times New Roman"/>
            <w:color w:val="1155cc"/>
            <w:sz w:val="24"/>
            <w:szCs w:val="24"/>
            <w:u w:val="single"/>
            <w:rtl w:val="0"/>
          </w:rPr>
          <w:t xml:space="preserve">https://www.bbc.com/news/live/cdegwg0ylezt?page=2</w:t>
        </w:r>
      </w:hyperlink>
      <w:r w:rsidDel="00000000" w:rsidR="00000000" w:rsidRPr="00000000">
        <w:rPr>
          <w:rFonts w:ascii="Times New Roman" w:cs="Times New Roman" w:eastAsia="Times New Roman" w:hAnsi="Times New Roman"/>
          <w:sz w:val="24"/>
          <w:szCs w:val="24"/>
          <w:rtl w:val="0"/>
        </w:rPr>
        <w:t xml:space="preserve"> [Accessed 14 Feb. 2026].</w:t>
      </w:r>
    </w:p>
    <w:p w:rsidR="00000000" w:rsidDel="00000000" w:rsidP="00000000" w:rsidRDefault="00000000" w:rsidRPr="00000000" w14:paraId="0000016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‌Carboni, C., Sanna, A., Lambert, Y., Plessis, L., Bardon, T., Adenis, A., Nacher, M., Vreden, S., Suárez-Mutis, M. and Douine, M. (2025). Assessing scalability factors of a malaria intervention using Malakit and target drug administration among hard-to-reach populations: An original approach focusing on key stakeholders – implementers and decision-makers – in the Guiana shield.  </w:t>
      </w:r>
    </w:p>
    <w:p w:rsidR="00000000" w:rsidDel="00000000" w:rsidP="00000000" w:rsidRDefault="00000000" w:rsidRPr="00000000" w14:paraId="0000016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i w:val="1"/>
          <w:iCs w:val="1"/>
          <w:sz w:val="24"/>
          <w:szCs w:val="24"/>
          <w:rtl w:val="0"/>
        </w:rPr>
        <w:t xml:space="preserve">Travel Medicine and Infectious Disease</w:t>
      </w:r>
      <w:r w:rsidDel="00000000" w:rsidR="00000000" w:rsidRPr="00000000">
        <w:rPr>
          <w:rFonts w:ascii="Times New Roman" w:cs="Times New Roman" w:eastAsia="Times New Roman" w:hAnsi="Times New Roman"/>
          <w:sz w:val="24"/>
          <w:szCs w:val="24"/>
          <w:rtl w:val="0"/>
        </w:rPr>
        <w:t xml:space="preserve">, [online] 67, p.102847. doi:</w:t>
      </w:r>
      <w:hyperlink r:id="rId21">
        <w:r w:rsidDel="00000000" w:rsidR="00000000" w:rsidRPr="00000000">
          <w:rPr>
            <w:rFonts w:ascii="Times New Roman" w:cs="Times New Roman" w:eastAsia="Times New Roman" w:hAnsi="Times New Roman"/>
            <w:color w:val="1155cc"/>
            <w:sz w:val="24"/>
            <w:szCs w:val="24"/>
            <w:u w:val="single"/>
            <w:rtl w:val="0"/>
          </w:rPr>
          <w:t xml:space="preserve">https://doi.org/10.1016/j.tmaid.2025.102847</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65">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‌David, B., Liu, J., Wang, Y. and Georges, I. (2025). Toward Identifying and Analyzing Key Risk Factors and Their Interrelationships in Post-Disaster Reconstruction: A Comprehensive Study of Project Challenges and Case Analysis. </w:t>
      </w:r>
      <w:r w:rsidDel="00000000" w:rsidR="00000000" w:rsidRPr="00000000">
        <w:rPr>
          <w:rFonts w:ascii="Times New Roman" w:cs="Times New Roman" w:eastAsia="Times New Roman" w:hAnsi="Times New Roman"/>
          <w:i w:val="1"/>
          <w:iCs w:val="1"/>
          <w:sz w:val="24"/>
          <w:szCs w:val="24"/>
          <w:rtl w:val="0"/>
        </w:rPr>
        <w:t xml:space="preserve">Sustainability</w:t>
      </w:r>
      <w:r w:rsidDel="00000000" w:rsidR="00000000" w:rsidRPr="00000000">
        <w:rPr>
          <w:rFonts w:ascii="Times New Roman" w:cs="Times New Roman" w:eastAsia="Times New Roman" w:hAnsi="Times New Roman"/>
          <w:sz w:val="24"/>
          <w:szCs w:val="24"/>
          <w:rtl w:val="0"/>
        </w:rPr>
        <w:t xml:space="preserve">, [online] 17(8), p.3696. doi:</w:t>
      </w:r>
      <w:hyperlink r:id="rId22">
        <w:r w:rsidDel="00000000" w:rsidR="00000000" w:rsidRPr="00000000">
          <w:rPr>
            <w:rFonts w:ascii="Times New Roman" w:cs="Times New Roman" w:eastAsia="Times New Roman" w:hAnsi="Times New Roman"/>
            <w:color w:val="1155cc"/>
            <w:sz w:val="24"/>
            <w:szCs w:val="24"/>
            <w:u w:val="single"/>
            <w:rtl w:val="0"/>
          </w:rPr>
          <w:t xml:space="preserve">https://doi.org/10.3390/su17083696</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66">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Galve, J.P., Pérez-García, J.L., Ruano, P., Gómez-López, J.M., Reyes-Carmona, C., Moreno-Sánchez, M., Jerez-Longres, P.S., Ghadimi, M., Barra, A., Mateos, R.M., Monserrat, O. and Azañón, J.M. (2025). Applications of UAV Digital Photogrammetry in landslide emergency response and recovery activities: the case study of a slope failure in the A-7 highway (S Spain). </w:t>
      </w:r>
      <w:r w:rsidDel="00000000" w:rsidR="00000000" w:rsidRPr="00000000">
        <w:rPr>
          <w:rFonts w:ascii="Times New Roman" w:cs="Times New Roman" w:eastAsia="Times New Roman" w:hAnsi="Times New Roman"/>
          <w:i w:val="1"/>
          <w:iCs w:val="1"/>
          <w:sz w:val="24"/>
          <w:szCs w:val="24"/>
          <w:rtl w:val="0"/>
        </w:rPr>
        <w:t xml:space="preserve">Landslides</w:t>
      </w:r>
      <w:r w:rsidDel="00000000" w:rsidR="00000000" w:rsidRPr="00000000">
        <w:rPr>
          <w:rFonts w:ascii="Times New Roman" w:cs="Times New Roman" w:eastAsia="Times New Roman" w:hAnsi="Times New Roman"/>
          <w:sz w:val="24"/>
          <w:szCs w:val="24"/>
          <w:rtl w:val="0"/>
        </w:rPr>
        <w:t xml:space="preserve">, 22(5), pp.1383–1396. doi:</w:t>
      </w:r>
      <w:hyperlink r:id="rId23">
        <w:r w:rsidDel="00000000" w:rsidR="00000000" w:rsidRPr="00000000">
          <w:rPr>
            <w:rFonts w:ascii="Times New Roman" w:cs="Times New Roman" w:eastAsia="Times New Roman" w:hAnsi="Times New Roman"/>
            <w:color w:val="1155cc"/>
            <w:sz w:val="24"/>
            <w:szCs w:val="24"/>
            <w:u w:val="single"/>
            <w:rtl w:val="0"/>
          </w:rPr>
          <w:t xml:space="preserve">https://doi.org/10.1007/s10346-024-02449-9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67">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8">
      <w:pPr>
        <w:spacing w:after="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69">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Garcia, J., Rios-Colque, L., Peña, A. and Rojas, L. (2025). Condition Monitoring and Predictive Maintenance in Industrial Equipment: An NLP-Assisted Review of Signal Processing, Hybrid.  </w:t>
      </w:r>
    </w:p>
    <w:p w:rsidR="00000000" w:rsidDel="00000000" w:rsidP="00000000" w:rsidRDefault="00000000" w:rsidRPr="00000000" w14:paraId="0000016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gov.uk D. (2025). </w:t>
      </w:r>
      <w:r w:rsidDel="00000000" w:rsidR="00000000" w:rsidRPr="00000000">
        <w:rPr>
          <w:rFonts w:ascii="Times New Roman" w:cs="Times New Roman" w:eastAsia="Times New Roman" w:hAnsi="Times New Roman"/>
          <w:i w:val="1"/>
          <w:iCs w:val="1"/>
          <w:sz w:val="24"/>
          <w:szCs w:val="24"/>
          <w:rtl w:val="0"/>
        </w:rPr>
        <w:t xml:space="preserve">Government response to the Climate Change Committee 2025 adaptation progress report</w:t>
      </w:r>
      <w:r w:rsidDel="00000000" w:rsidR="00000000" w:rsidRPr="00000000">
        <w:rPr>
          <w:rFonts w:ascii="Times New Roman" w:cs="Times New Roman" w:eastAsia="Times New Roman" w:hAnsi="Times New Roman"/>
          <w:sz w:val="24"/>
          <w:szCs w:val="24"/>
          <w:rtl w:val="0"/>
        </w:rPr>
        <w:t xml:space="preserve">. [online] GOV.UK. Available at: </w:t>
      </w:r>
      <w:hyperlink r:id="rId24">
        <w:r w:rsidDel="00000000" w:rsidR="00000000" w:rsidRPr="00000000">
          <w:rPr>
            <w:rFonts w:ascii="Times New Roman" w:cs="Times New Roman" w:eastAsia="Times New Roman" w:hAnsi="Times New Roman"/>
            <w:color w:val="1155cc"/>
            <w:sz w:val="24"/>
            <w:szCs w:val="24"/>
            <w:u w:val="single"/>
            <w:rtl w:val="0"/>
          </w:rPr>
          <w:t xml:space="preserve">https://www.gov.uk/government/publications/government-response-to-the-climate-change-committee-2025-adaptation-progress-report/government-response-to-the-climate-change-committee-2025-adaptation-progress-report#:~:text=improved%20risk%20assessments.-,Introduction,infrastructure%2C%20and%20threatening%20public%20health</w:t>
        </w:r>
      </w:hyperlink>
      <w:r w:rsidDel="00000000" w:rsidR="00000000" w:rsidRPr="00000000">
        <w:rPr>
          <w:rFonts w:ascii="Times New Roman" w:cs="Times New Roman" w:eastAsia="Times New Roman" w:hAnsi="Times New Roman"/>
          <w:sz w:val="24"/>
          <w:szCs w:val="24"/>
          <w:rtl w:val="0"/>
        </w:rPr>
        <w:t xml:space="preserve">. [Accessed 14 Feb. 2026].</w:t>
      </w:r>
    </w:p>
    <w:p w:rsidR="00000000" w:rsidDel="00000000" w:rsidP="00000000" w:rsidRDefault="00000000" w:rsidRPr="00000000" w14:paraId="0000016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‌Griffin, B.J., Price, L.R., Jenkins, Z., Childs, A., Tong, L., Raciborski, R.A., Weber, M.C., Pyne, J.M., Maguen, S., Norman, S.B. and Vogt, D. (2025). A Systematic Review and Meta-Analysis of Moral Injury Outcome Measures. </w:t>
      </w:r>
      <w:r w:rsidDel="00000000" w:rsidR="00000000" w:rsidRPr="00000000">
        <w:rPr>
          <w:rFonts w:ascii="Times New Roman" w:cs="Times New Roman" w:eastAsia="Times New Roman" w:hAnsi="Times New Roman"/>
          <w:i w:val="1"/>
          <w:iCs w:val="1"/>
          <w:sz w:val="24"/>
          <w:szCs w:val="24"/>
          <w:rtl w:val="0"/>
        </w:rPr>
        <w:t xml:space="preserve">Current Treatment Options in Psychiatry</w:t>
      </w:r>
      <w:r w:rsidDel="00000000" w:rsidR="00000000" w:rsidRPr="00000000">
        <w:rPr>
          <w:rFonts w:ascii="Times New Roman" w:cs="Times New Roman" w:eastAsia="Times New Roman" w:hAnsi="Times New Roman"/>
          <w:sz w:val="24"/>
          <w:szCs w:val="24"/>
          <w:rtl w:val="0"/>
        </w:rPr>
        <w:t xml:space="preserve">, 12(1). doi:</w:t>
      </w:r>
      <w:hyperlink r:id="rId25">
        <w:r w:rsidDel="00000000" w:rsidR="00000000" w:rsidRPr="00000000">
          <w:rPr>
            <w:rFonts w:ascii="Times New Roman" w:cs="Times New Roman" w:eastAsia="Times New Roman" w:hAnsi="Times New Roman"/>
            <w:color w:val="1155cc"/>
            <w:sz w:val="24"/>
            <w:szCs w:val="24"/>
            <w:u w:val="single"/>
            <w:rtl w:val="0"/>
          </w:rPr>
          <w:t xml:space="preserve">https://doi.org/10.1007/s40501-024-00342-9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6C">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Harake, M. (2025). Project Management and Business Modeling: Methodologies, Frameworks, and Strategic Alignment 1. </w:t>
      </w:r>
      <w:r w:rsidDel="00000000" w:rsidR="00000000" w:rsidRPr="00000000">
        <w:rPr>
          <w:rFonts w:ascii="Times New Roman" w:cs="Times New Roman" w:eastAsia="Times New Roman" w:hAnsi="Times New Roman"/>
          <w:i w:val="1"/>
          <w:iCs w:val="1"/>
          <w:sz w:val="24"/>
          <w:szCs w:val="24"/>
          <w:rtl w:val="0"/>
        </w:rPr>
        <w:t xml:space="preserve">PM World Journal</w:t>
      </w:r>
      <w:r w:rsidDel="00000000" w:rsidR="00000000" w:rsidRPr="00000000">
        <w:rPr>
          <w:rFonts w:ascii="Times New Roman" w:cs="Times New Roman" w:eastAsia="Times New Roman" w:hAnsi="Times New Roman"/>
          <w:sz w:val="24"/>
          <w:szCs w:val="24"/>
          <w:rtl w:val="0"/>
        </w:rPr>
        <w:t xml:space="preserve">, [online] XIV, pp.2330–4480. Available at: </w:t>
      </w:r>
      <w:hyperlink r:id="rId26">
        <w:r w:rsidDel="00000000" w:rsidR="00000000" w:rsidRPr="00000000">
          <w:rPr>
            <w:rFonts w:ascii="Times New Roman" w:cs="Times New Roman" w:eastAsia="Times New Roman" w:hAnsi="Times New Roman"/>
            <w:color w:val="1155cc"/>
            <w:sz w:val="24"/>
            <w:szCs w:val="24"/>
            <w:u w:val="single"/>
            <w:rtl w:val="0"/>
          </w:rPr>
          <w:t xml:space="preserve">https://pmworldlibrary.net/wp-content/uploads/2025/05/pmwj152-may2025-Harake-Project-Management-and-Business-Modeling.pdf</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6D">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Iovane, G. (2025). A Multi-Layer Quantum-Resilient IoT Security Architecture Integrating Uncertainty Reasoning, Relativistic Blockchain, and Decentralised Storage. </w:t>
      </w:r>
      <w:r w:rsidDel="00000000" w:rsidR="00000000" w:rsidRPr="00000000">
        <w:rPr>
          <w:rFonts w:ascii="Times New Roman" w:cs="Times New Roman" w:eastAsia="Times New Roman" w:hAnsi="Times New Roman"/>
          <w:i w:val="1"/>
          <w:iCs w:val="1"/>
          <w:sz w:val="24"/>
          <w:szCs w:val="24"/>
          <w:rtl w:val="0"/>
        </w:rPr>
        <w:t xml:space="preserve">Applied Sciences</w:t>
      </w:r>
      <w:r w:rsidDel="00000000" w:rsidR="00000000" w:rsidRPr="00000000">
        <w:rPr>
          <w:rFonts w:ascii="Times New Roman" w:cs="Times New Roman" w:eastAsia="Times New Roman" w:hAnsi="Times New Roman"/>
          <w:sz w:val="24"/>
          <w:szCs w:val="24"/>
          <w:rtl w:val="0"/>
        </w:rPr>
        <w:t xml:space="preserve">, [online] 15(16), p.9218. doi:</w:t>
      </w:r>
      <w:hyperlink r:id="rId27">
        <w:r w:rsidDel="00000000" w:rsidR="00000000" w:rsidRPr="00000000">
          <w:rPr>
            <w:rFonts w:ascii="Times New Roman" w:cs="Times New Roman" w:eastAsia="Times New Roman" w:hAnsi="Times New Roman"/>
            <w:color w:val="1155cc"/>
            <w:sz w:val="24"/>
            <w:szCs w:val="24"/>
            <w:u w:val="single"/>
            <w:rtl w:val="0"/>
          </w:rPr>
          <w:t xml:space="preserve">https://doi.org/10.3390/app15169218</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6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‌Iungman, T., Caballé, S.V., Segura-Barrero, R., Cirach, M., Mueller, N., Daher, C., Villalba, G., Barboza, E.P. and Nieuwenhuijsen, M. (2025). Co-benefits of nature-based solutions: A health impact assessment of the Barcelona Green Corridor (Eixos Verds) plan. </w:t>
      </w:r>
      <w:r w:rsidDel="00000000" w:rsidR="00000000" w:rsidRPr="00000000">
        <w:rPr>
          <w:rFonts w:ascii="Times New Roman" w:cs="Times New Roman" w:eastAsia="Times New Roman" w:hAnsi="Times New Roman"/>
          <w:i w:val="1"/>
          <w:iCs w:val="1"/>
          <w:sz w:val="24"/>
          <w:szCs w:val="24"/>
          <w:rtl w:val="0"/>
        </w:rPr>
        <w:t xml:space="preserve">Environment International</w:t>
      </w:r>
      <w:r w:rsidDel="00000000" w:rsidR="00000000" w:rsidRPr="00000000">
        <w:rPr>
          <w:rFonts w:ascii="Times New Roman" w:cs="Times New Roman" w:eastAsia="Times New Roman" w:hAnsi="Times New Roman"/>
          <w:sz w:val="24"/>
          <w:szCs w:val="24"/>
          <w:rtl w:val="0"/>
        </w:rPr>
        <w:t xml:space="preserve">, [online] 196, p.109313. doi:</w:t>
      </w:r>
      <w:hyperlink r:id="rId28">
        <w:r w:rsidDel="00000000" w:rsidR="00000000" w:rsidRPr="00000000">
          <w:rPr>
            <w:rFonts w:ascii="Times New Roman" w:cs="Times New Roman" w:eastAsia="Times New Roman" w:hAnsi="Times New Roman"/>
            <w:color w:val="1155cc"/>
            <w:sz w:val="24"/>
            <w:szCs w:val="24"/>
            <w:u w:val="single"/>
            <w:rtl w:val="0"/>
          </w:rPr>
          <w:t xml:space="preserve">https://doi.org/10.1016/j.envint.2025.109313</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6F">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Jakubik, P. and Teleu, S. (2025). Improving Credit Risk Assessment in Uncertain Times: Insights from IFRS 9. </w:t>
      </w:r>
      <w:r w:rsidDel="00000000" w:rsidR="00000000" w:rsidRPr="00000000">
        <w:rPr>
          <w:rFonts w:ascii="Times New Roman" w:cs="Times New Roman" w:eastAsia="Times New Roman" w:hAnsi="Times New Roman"/>
          <w:i w:val="1"/>
          <w:iCs w:val="1"/>
          <w:sz w:val="24"/>
          <w:szCs w:val="24"/>
          <w:rtl w:val="0"/>
        </w:rPr>
        <w:t xml:space="preserve">Risks</w:t>
      </w:r>
      <w:r w:rsidDel="00000000" w:rsidR="00000000" w:rsidRPr="00000000">
        <w:rPr>
          <w:rFonts w:ascii="Times New Roman" w:cs="Times New Roman" w:eastAsia="Times New Roman" w:hAnsi="Times New Roman"/>
          <w:sz w:val="24"/>
          <w:szCs w:val="24"/>
          <w:rtl w:val="0"/>
        </w:rPr>
        <w:t xml:space="preserve">, [online] 13(2), p.38. doi:</w:t>
      </w:r>
      <w:hyperlink r:id="rId29">
        <w:r w:rsidDel="00000000" w:rsidR="00000000" w:rsidRPr="00000000">
          <w:rPr>
            <w:rFonts w:ascii="Times New Roman" w:cs="Times New Roman" w:eastAsia="Times New Roman" w:hAnsi="Times New Roman"/>
            <w:color w:val="1155cc"/>
            <w:sz w:val="24"/>
            <w:szCs w:val="24"/>
            <w:u w:val="single"/>
            <w:rtl w:val="0"/>
          </w:rPr>
          <w:t xml:space="preserve">https://doi.org/10.3390/risks13020038</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70">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Kiettikunwong, N. and Sangsarapun, W. (2025). G-Token Implications and Risks for the Financial System Under State-Issued Digital Instruments in Thailand. </w:t>
      </w:r>
      <w:r w:rsidDel="00000000" w:rsidR="00000000" w:rsidRPr="00000000">
        <w:rPr>
          <w:rFonts w:ascii="Times New Roman" w:cs="Times New Roman" w:eastAsia="Times New Roman" w:hAnsi="Times New Roman"/>
          <w:i w:val="1"/>
          <w:iCs w:val="1"/>
          <w:sz w:val="24"/>
          <w:szCs w:val="24"/>
          <w:rtl w:val="0"/>
        </w:rPr>
        <w:t xml:space="preserve">Journal of Risk and Financial Management</w:t>
      </w:r>
      <w:r w:rsidDel="00000000" w:rsidR="00000000" w:rsidRPr="00000000">
        <w:rPr>
          <w:rFonts w:ascii="Times New Roman" w:cs="Times New Roman" w:eastAsia="Times New Roman" w:hAnsi="Times New Roman"/>
          <w:sz w:val="24"/>
          <w:szCs w:val="24"/>
          <w:rtl w:val="0"/>
        </w:rPr>
        <w:t xml:space="preserve">, [online] 18(10), p.555. doi:</w:t>
      </w:r>
      <w:hyperlink r:id="rId30">
        <w:r w:rsidDel="00000000" w:rsidR="00000000" w:rsidRPr="00000000">
          <w:rPr>
            <w:rFonts w:ascii="Times New Roman" w:cs="Times New Roman" w:eastAsia="Times New Roman" w:hAnsi="Times New Roman"/>
            <w:color w:val="1155cc"/>
            <w:sz w:val="24"/>
            <w:szCs w:val="24"/>
            <w:u w:val="single"/>
            <w:rtl w:val="0"/>
          </w:rPr>
          <w:t xml:space="preserve">https://doi.org/10.3390/jrfm18100555</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71">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Liu, Y., Dong, K., Nepal, R. and Afi, H. (2025). How do climate risks affect corporate ESG performance? Micro evidence from China. </w:t>
      </w:r>
      <w:r w:rsidDel="00000000" w:rsidR="00000000" w:rsidRPr="00000000">
        <w:rPr>
          <w:rFonts w:ascii="Times New Roman" w:cs="Times New Roman" w:eastAsia="Times New Roman" w:hAnsi="Times New Roman"/>
          <w:i w:val="1"/>
          <w:iCs w:val="1"/>
          <w:sz w:val="24"/>
          <w:szCs w:val="24"/>
          <w:rtl w:val="0"/>
        </w:rPr>
        <w:t xml:space="preserve">Research in International Business and Finance</w:t>
      </w:r>
      <w:r w:rsidDel="00000000" w:rsidR="00000000" w:rsidRPr="00000000">
        <w:rPr>
          <w:rFonts w:ascii="Times New Roman" w:cs="Times New Roman" w:eastAsia="Times New Roman" w:hAnsi="Times New Roman"/>
          <w:sz w:val="24"/>
          <w:szCs w:val="24"/>
          <w:rtl w:val="0"/>
        </w:rPr>
        <w:t xml:space="preserve">, [online] 76, p.102855. doi:</w:t>
      </w:r>
      <w:hyperlink r:id="rId31">
        <w:r w:rsidDel="00000000" w:rsidR="00000000" w:rsidRPr="00000000">
          <w:rPr>
            <w:rFonts w:ascii="Times New Roman" w:cs="Times New Roman" w:eastAsia="Times New Roman" w:hAnsi="Times New Roman"/>
            <w:color w:val="1155cc"/>
            <w:sz w:val="24"/>
            <w:szCs w:val="24"/>
            <w:u w:val="single"/>
            <w:rtl w:val="0"/>
          </w:rPr>
          <w:t xml:space="preserve">https://doi.org/10.1016/j.ribaf.2025.102855</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7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‌Luna, A., Herrera, R.F., Castañeda, K., Atencio, E. and Biotto, C. (2025). Benefits and Limitations of Lean Tools in the Building Design Process: A Functional and Comparative Analysis. </w:t>
      </w:r>
      <w:r w:rsidDel="00000000" w:rsidR="00000000" w:rsidRPr="00000000">
        <w:rPr>
          <w:rFonts w:ascii="Times New Roman" w:cs="Times New Roman" w:eastAsia="Times New Roman" w:hAnsi="Times New Roman"/>
          <w:i w:val="1"/>
          <w:iCs w:val="1"/>
          <w:sz w:val="24"/>
          <w:szCs w:val="24"/>
          <w:rtl w:val="0"/>
        </w:rPr>
        <w:t xml:space="preserve">Applied Sciences</w:t>
      </w:r>
      <w:r w:rsidDel="00000000" w:rsidR="00000000" w:rsidRPr="00000000">
        <w:rPr>
          <w:rFonts w:ascii="Times New Roman" w:cs="Times New Roman" w:eastAsia="Times New Roman" w:hAnsi="Times New Roman"/>
          <w:sz w:val="24"/>
          <w:szCs w:val="24"/>
          <w:rtl w:val="0"/>
        </w:rPr>
        <w:t xml:space="preserve">, [online] 15(9), p.5137. doi:</w:t>
      </w:r>
      <w:hyperlink r:id="rId32">
        <w:r w:rsidDel="00000000" w:rsidR="00000000" w:rsidRPr="00000000">
          <w:rPr>
            <w:rFonts w:ascii="Times New Roman" w:cs="Times New Roman" w:eastAsia="Times New Roman" w:hAnsi="Times New Roman"/>
            <w:color w:val="1155cc"/>
            <w:sz w:val="24"/>
            <w:szCs w:val="24"/>
            <w:u w:val="single"/>
            <w:rtl w:val="0"/>
          </w:rPr>
          <w:t xml:space="preserve">https://doi.org/10.3390/app15095137</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73">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Models, and Implementation Challenges. </w:t>
      </w:r>
      <w:r w:rsidDel="00000000" w:rsidR="00000000" w:rsidRPr="00000000">
        <w:rPr>
          <w:rFonts w:ascii="Times New Roman" w:cs="Times New Roman" w:eastAsia="Times New Roman" w:hAnsi="Times New Roman"/>
          <w:i w:val="1"/>
          <w:iCs w:val="1"/>
          <w:sz w:val="24"/>
          <w:szCs w:val="24"/>
          <w:rtl w:val="0"/>
        </w:rPr>
        <w:t xml:space="preserve">Applied Sciences</w:t>
      </w:r>
      <w:r w:rsidDel="00000000" w:rsidR="00000000" w:rsidRPr="00000000">
        <w:rPr>
          <w:rFonts w:ascii="Times New Roman" w:cs="Times New Roman" w:eastAsia="Times New Roman" w:hAnsi="Times New Roman"/>
          <w:sz w:val="24"/>
          <w:szCs w:val="24"/>
          <w:rtl w:val="0"/>
        </w:rPr>
        <w:t xml:space="preserve">, [online] 15(10), p.5465. doi:</w:t>
      </w:r>
      <w:hyperlink r:id="rId33">
        <w:r w:rsidDel="00000000" w:rsidR="00000000" w:rsidRPr="00000000">
          <w:rPr>
            <w:rFonts w:ascii="Times New Roman" w:cs="Times New Roman" w:eastAsia="Times New Roman" w:hAnsi="Times New Roman"/>
            <w:color w:val="1155cc"/>
            <w:sz w:val="24"/>
            <w:szCs w:val="24"/>
            <w:u w:val="single"/>
            <w:rtl w:val="0"/>
          </w:rPr>
          <w:t xml:space="preserve">https://doi.org/10.3390/app15105465</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74">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‌Motahar, H., Fauth, J. and Melzner, J. (2025). Integrating work breakdown structure and social network analysis for stakeholder coordination in European building permitting. </w:t>
      </w:r>
      <w:r w:rsidDel="00000000" w:rsidR="00000000" w:rsidRPr="00000000">
        <w:rPr>
          <w:rFonts w:ascii="Times New Roman" w:cs="Times New Roman" w:eastAsia="Times New Roman" w:hAnsi="Times New Roman"/>
          <w:i w:val="1"/>
          <w:iCs w:val="1"/>
          <w:sz w:val="24"/>
          <w:szCs w:val="24"/>
          <w:rtl w:val="0"/>
        </w:rPr>
        <w:t xml:space="preserve">Building Research &amp; Information</w:t>
      </w:r>
      <w:r w:rsidDel="00000000" w:rsidR="00000000" w:rsidRPr="00000000">
        <w:rPr>
          <w:rFonts w:ascii="Times New Roman" w:cs="Times New Roman" w:eastAsia="Times New Roman" w:hAnsi="Times New Roman"/>
          <w:sz w:val="24"/>
          <w:szCs w:val="24"/>
          <w:rtl w:val="0"/>
        </w:rPr>
        <w:t xml:space="preserve">, pp.1–20. doi:</w:t>
      </w:r>
      <w:hyperlink r:id="rId34">
        <w:r w:rsidDel="00000000" w:rsidR="00000000" w:rsidRPr="00000000">
          <w:rPr>
            <w:rFonts w:ascii="Times New Roman" w:cs="Times New Roman" w:eastAsia="Times New Roman" w:hAnsi="Times New Roman"/>
            <w:color w:val="1155cc"/>
            <w:sz w:val="24"/>
            <w:szCs w:val="24"/>
            <w:u w:val="single"/>
            <w:rtl w:val="0"/>
          </w:rPr>
          <w:t xml:space="preserve">https://doi.org/10.1080/09613218.2025.2593269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75">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Petrin, N.S.M., Néto, J.C. and Mariano, H.C. (2025). MAISTRO: Towards an Agile Methodology for AI System Development Projects. </w:t>
      </w:r>
      <w:r w:rsidDel="00000000" w:rsidR="00000000" w:rsidRPr="00000000">
        <w:rPr>
          <w:rFonts w:ascii="Times New Roman" w:cs="Times New Roman" w:eastAsia="Times New Roman" w:hAnsi="Times New Roman"/>
          <w:i w:val="1"/>
          <w:iCs w:val="1"/>
          <w:sz w:val="24"/>
          <w:szCs w:val="24"/>
          <w:rtl w:val="0"/>
        </w:rPr>
        <w:t xml:space="preserve">Applied Sciences</w:t>
      </w:r>
      <w:r w:rsidDel="00000000" w:rsidR="00000000" w:rsidRPr="00000000">
        <w:rPr>
          <w:rFonts w:ascii="Times New Roman" w:cs="Times New Roman" w:eastAsia="Times New Roman" w:hAnsi="Times New Roman"/>
          <w:sz w:val="24"/>
          <w:szCs w:val="24"/>
          <w:rtl w:val="0"/>
        </w:rPr>
        <w:t xml:space="preserve">, [online] 15(5), p.2628. doi:</w:t>
      </w:r>
      <w:hyperlink r:id="rId35">
        <w:r w:rsidDel="00000000" w:rsidR="00000000" w:rsidRPr="00000000">
          <w:rPr>
            <w:rFonts w:ascii="Times New Roman" w:cs="Times New Roman" w:eastAsia="Times New Roman" w:hAnsi="Times New Roman"/>
            <w:color w:val="1155cc"/>
            <w:sz w:val="24"/>
            <w:szCs w:val="24"/>
            <w:u w:val="single"/>
            <w:rtl w:val="0"/>
          </w:rPr>
          <w:t xml:space="preserve">https://doi.org/10.3390/app15052628</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76">
      <w:pPr>
        <w:spacing w:after="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Semenov, S., Tsukur, V., Molokanova, V., Muchacki, M., Litawa, G., Mozhaiev, M. and Petrovska, I. (2025). Mathematical Model of the Software Development Process with Hybrid Management Elements. </w:t>
      </w:r>
      <w:r w:rsidDel="00000000" w:rsidR="00000000" w:rsidRPr="00000000">
        <w:rPr>
          <w:rFonts w:ascii="Times New Roman" w:cs="Times New Roman" w:eastAsia="Times New Roman" w:hAnsi="Times New Roman"/>
          <w:i w:val="1"/>
          <w:iCs w:val="1"/>
          <w:sz w:val="24"/>
          <w:szCs w:val="24"/>
          <w:rtl w:val="0"/>
        </w:rPr>
        <w:t xml:space="preserve">Applied Sciences</w:t>
      </w:r>
      <w:r w:rsidDel="00000000" w:rsidR="00000000" w:rsidRPr="00000000">
        <w:rPr>
          <w:rFonts w:ascii="Times New Roman" w:cs="Times New Roman" w:eastAsia="Times New Roman" w:hAnsi="Times New Roman"/>
          <w:sz w:val="24"/>
          <w:szCs w:val="24"/>
          <w:rtl w:val="0"/>
        </w:rPr>
        <w:t xml:space="preserve">, [online] 15(21), p.11667. doi:</w:t>
      </w:r>
      <w:hyperlink r:id="rId36">
        <w:r w:rsidDel="00000000" w:rsidR="00000000" w:rsidRPr="00000000">
          <w:rPr>
            <w:rFonts w:ascii="Times New Roman" w:cs="Times New Roman" w:eastAsia="Times New Roman" w:hAnsi="Times New Roman"/>
            <w:color w:val="1155cc"/>
            <w:sz w:val="24"/>
            <w:szCs w:val="24"/>
            <w:u w:val="single"/>
            <w:rtl w:val="0"/>
          </w:rPr>
          <w:t xml:space="preserve">https://doi.org/10.3390/app152111667</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77">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Venturelli, V., Pedrazzoli, A., Pennetta, D. and De Novellis, G. (2024). Assessing the influence of ESG washing on bank reputational exposure: A cross‐country analysis. </w:t>
      </w:r>
      <w:r w:rsidDel="00000000" w:rsidR="00000000" w:rsidRPr="00000000">
        <w:rPr>
          <w:rFonts w:ascii="Times New Roman" w:cs="Times New Roman" w:eastAsia="Times New Roman" w:hAnsi="Times New Roman"/>
          <w:i w:val="1"/>
          <w:iCs w:val="1"/>
          <w:sz w:val="24"/>
          <w:szCs w:val="24"/>
          <w:rtl w:val="0"/>
        </w:rPr>
        <w:t xml:space="preserve">Business Ethics, the Environment &amp; Responsibility</w:t>
      </w:r>
      <w:r w:rsidDel="00000000" w:rsidR="00000000" w:rsidRPr="00000000">
        <w:rPr>
          <w:rFonts w:ascii="Times New Roman" w:cs="Times New Roman" w:eastAsia="Times New Roman" w:hAnsi="Times New Roman"/>
          <w:sz w:val="24"/>
          <w:szCs w:val="24"/>
          <w:rtl w:val="0"/>
        </w:rPr>
        <w:t xml:space="preserve">, [online] 34(4), pp.1540–1560. doi:</w:t>
      </w:r>
      <w:hyperlink r:id="rId37">
        <w:r w:rsidDel="00000000" w:rsidR="00000000" w:rsidRPr="00000000">
          <w:rPr>
            <w:rFonts w:ascii="Times New Roman" w:cs="Times New Roman" w:eastAsia="Times New Roman" w:hAnsi="Times New Roman"/>
            <w:color w:val="1155cc"/>
            <w:sz w:val="24"/>
            <w:szCs w:val="24"/>
            <w:u w:val="single"/>
            <w:rtl w:val="0"/>
          </w:rPr>
          <w:t xml:space="preserve">https://doi.org/10.1111/beer.12727</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78">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179">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A">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Zhang, G., He, C., Zhang, J., Zhai, Y., Zhang, Z., Jiang, L. and Guo, W. (2025). Prediction of bridge structure response and resilience assessment under main-aftershock: LSTM-Transformer model based on adaptive learning rate framework. </w:t>
      </w:r>
      <w:r w:rsidDel="00000000" w:rsidR="00000000" w:rsidRPr="00000000">
        <w:rPr>
          <w:rFonts w:ascii="Times New Roman" w:cs="Times New Roman" w:eastAsia="Times New Roman" w:hAnsi="Times New Roman"/>
          <w:i w:val="1"/>
          <w:iCs w:val="1"/>
          <w:sz w:val="24"/>
          <w:szCs w:val="24"/>
          <w:rtl w:val="0"/>
        </w:rPr>
        <w:t xml:space="preserve">Engineering Structures</w:t>
      </w:r>
      <w:r w:rsidDel="00000000" w:rsidR="00000000" w:rsidRPr="00000000">
        <w:rPr>
          <w:rFonts w:ascii="Times New Roman" w:cs="Times New Roman" w:eastAsia="Times New Roman" w:hAnsi="Times New Roman"/>
          <w:sz w:val="24"/>
          <w:szCs w:val="24"/>
          <w:rtl w:val="0"/>
        </w:rPr>
        <w:t xml:space="preserve">, [online] 345, p.121449. doi:</w:t>
      </w:r>
      <w:hyperlink r:id="rId38">
        <w:r w:rsidDel="00000000" w:rsidR="00000000" w:rsidRPr="00000000">
          <w:rPr>
            <w:rFonts w:ascii="Times New Roman" w:cs="Times New Roman" w:eastAsia="Times New Roman" w:hAnsi="Times New Roman"/>
            <w:color w:val="1155cc"/>
            <w:sz w:val="24"/>
            <w:szCs w:val="24"/>
            <w:u w:val="single"/>
            <w:rtl w:val="0"/>
          </w:rPr>
          <w:t xml:space="preserve">https://doi.org/10.1016/j.engstruct.2025.121449</w:t>
        </w:r>
      </w:hyperlink>
      <w:r w:rsidDel="00000000" w:rsidR="00000000" w:rsidRPr="00000000">
        <w:rPr>
          <w:rFonts w:ascii="Times New Roman" w:cs="Times New Roman" w:eastAsia="Times New Roman" w:hAnsi="Times New Roman"/>
          <w:sz w:val="24"/>
          <w:szCs w:val="24"/>
          <w:rtl w:val="0"/>
        </w:rPr>
        <w:t xml:space="preserve">. ‌</w:t>
      </w:r>
    </w:p>
    <w:p w:rsidR="00000000" w:rsidDel="00000000" w:rsidP="00000000" w:rsidRDefault="00000000" w:rsidRPr="00000000" w14:paraId="0000017B">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17C">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7D">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17E">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17F">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0">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181">
      <w:pPr>
        <w:spacing w:after="240" w:before="240" w:line="360" w:lineRule="auto"/>
        <w:jc w:val="both"/>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82">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183">
      <w:pPr>
        <w:spacing w:after="240" w:before="240" w:line="360" w:lineRule="auto"/>
        <w:jc w:val="both"/>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t>
      </w:r>
    </w:p>
    <w:sectPr>
      <w:headerReference r:id="rId39" w:type="first"/>
      <w:footerReference r:id="rId40" w:type="default"/>
      <w:footerReference r:id="rId41" w:type="first"/>
      <w:pgSz w:h="15840" w:w="12240" w:orient="portrait"/>
      <w:pgMar w:bottom="1440" w:top="1440" w:left="1440" w:right="1440" w:header="720" w:footer="720"/>
      <w:pgNumType w:start="0"/>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 w:name="Times New Roman"/>
  <w:font w:name="Courier New"/>
  <w:font w:name="Noto Sans Symbols">
    <w:embedRegular w:fontKey="{00000000-0000-0000-0000-000000000000}" r:id="rId1" w:subsetted="0"/>
    <w:embedBold w:fontKey="{00000000-0000-0000-0000-000000000000}" r:id="rId2"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85">
    <w:pPr>
      <w:jc w:val="right"/>
      <w:rPr/>
    </w:pPr>
    <w:r w:rsidDel="00000000" w:rsidR="00000000" w:rsidRPr="00000000">
      <w:rPr/>
      <w:fldChar w:fldCharType="begin"/>
      <w:instrText xml:space="preserve">PAGE</w:instrText>
      <w:fldChar w:fldCharType="separate"/>
      <w:fldChar w:fldCharType="end"/>
    </w: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86">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184">
    <w:pPr>
      <w:rPr/>
    </w:pPr>
    <w:r w:rsidDel="00000000" w:rsidR="00000000" w:rsidRPr="00000000">
      <w:rPr>
        <w:rtl w:val="0"/>
      </w:rPr>
    </w:r>
    <w:r w:rsidDel="00000000" w:rsidR="00000000" w:rsidRPr="00000000">
      <w:drawing>
        <wp:anchor allowOverlap="1" behindDoc="0" distB="0" distT="0" distL="114300" distR="114300" hidden="0" layoutInCell="1" locked="0" relativeHeight="0" simplePos="0">
          <wp:simplePos x="0" y="0"/>
          <wp:positionH relativeFrom="column">
            <wp:posOffset>114300</wp:posOffset>
          </wp:positionH>
          <wp:positionV relativeFrom="paragraph">
            <wp:posOffset>0</wp:posOffset>
          </wp:positionV>
          <wp:extent cx="1809750" cy="723900"/>
          <wp:effectExtent b="0" l="0" r="0" t="0"/>
          <wp:wrapSquare wrapText="bothSides" distB="0" distT="0" distL="114300" distR="114300"/>
          <wp:docPr descr="Discover University of Wales Trinity Saint David" id="11" name="image4.png"/>
          <a:graphic>
            <a:graphicData uri="http://schemas.openxmlformats.org/drawingml/2006/picture">
              <pic:pic>
                <pic:nvPicPr>
                  <pic:cNvPr descr="Discover University of Wales Trinity Saint David" id="0" name="image4.png"/>
                  <pic:cNvPicPr preferRelativeResize="0"/>
                </pic:nvPicPr>
                <pic:blipFill>
                  <a:blip r:embed="rId1"/>
                  <a:srcRect b="0" l="0" r="0" t="0"/>
                  <a:stretch>
                    <a:fillRect/>
                  </a:stretch>
                </pic:blipFill>
                <pic:spPr>
                  <a:xfrm>
                    <a:off x="0" y="0"/>
                    <a:ext cx="1809750" cy="723900"/>
                  </a:xfrm>
                  <a:prstGeom prst="rect"/>
                  <a:ln/>
                </pic:spPr>
              </pic:pic>
            </a:graphicData>
          </a:graphic>
        </wp:anchor>
      </w:drawing>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502"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 w:numId="12">
    <w:abstractNumId w:val="12"/>
  </w:num>
  <w:num w:numId="13">
    <w:abstractNumId w:val="13"/>
  </w:num>
  <w:num w:numId="14">
    <w:abstractNumId w:val="14"/>
  </w:num>
  <w:num w:numId="15">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Pr>
    <w:rPr>
      <w:rFonts w:ascii="Times New Roman" w:cs="Times New Roman" w:eastAsia="Times New Roman" w:hAnsi="Times New Roman"/>
      <w:b w:val="1"/>
      <w:bCs w:val="1"/>
      <w:sz w:val="28"/>
      <w:szCs w:val="28"/>
    </w:rPr>
  </w:style>
  <w:style w:type="paragraph" w:styleId="Heading2">
    <w:name w:val="heading 2"/>
    <w:basedOn w:val="Normal"/>
    <w:next w:val="Normal"/>
    <w:pPr>
      <w:keepNext w:val="1"/>
      <w:keepLines w:val="1"/>
      <w:spacing w:line="360" w:lineRule="auto"/>
      <w:jc w:val="both"/>
    </w:pPr>
    <w:rPr>
      <w:rFonts w:ascii="Times New Roman" w:cs="Times New Roman" w:eastAsia="Times New Roman" w:hAnsi="Times New Roman"/>
      <w:b w:val="1"/>
      <w:bCs w:val="1"/>
      <w:sz w:val="26"/>
      <w:szCs w:val="26"/>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iCs w:val="1"/>
      <w:color w:val="666666"/>
    </w:rPr>
  </w:style>
  <w:style w:type="paragraph" w:styleId="Title">
    <w:name w:val="Title"/>
    <w:basedOn w:val="Normal"/>
    <w:next w:val="Normal"/>
    <w:pPr>
      <w:keepNext w:val="1"/>
      <w:keepLines w:val="1"/>
      <w:spacing w:after="60" w:lineRule="auto"/>
    </w:pPr>
    <w:rPr>
      <w:sz w:val="52"/>
      <w:szCs w:val="52"/>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table" w:styleId="TableNormal0" w:customStyle="1">
    <w:name w:val="TableNormal"/>
    <w:tblPr>
      <w:tblCellMar>
        <w:top w:w="100.0" w:type="dxa"/>
        <w:left w:w="100.0" w:type="dxa"/>
        <w:bottom w:w="100.0" w:type="dxa"/>
        <w:right w:w="100.0" w:type="dxa"/>
      </w:tblCellMar>
    </w:tblPr>
  </w:style>
  <w:style w:type="table" w:styleId="a" w:customStyle="1">
    <w:basedOn w:val="TableNormal0"/>
    <w:tblPr>
      <w:tblStyleRowBandSize w:val="1"/>
      <w:tblStyleColBandSize w:val="1"/>
    </w:tblPr>
  </w:style>
  <w:style w:type="table" w:styleId="a0" w:customStyle="1">
    <w:basedOn w:val="TableNormal0"/>
    <w:tblPr>
      <w:tblStyleRowBandSize w:val="1"/>
      <w:tblStyleColBandSize w:val="1"/>
    </w:tblPr>
  </w:style>
  <w:style w:type="character" w:styleId="Hyperlink">
    <w:name w:val="Hyperlink"/>
    <w:basedOn w:val="DefaultParagraphFont"/>
    <w:uiPriority w:val="99"/>
    <w:unhideWhenUsed w:val="1"/>
    <w:rsid w:val="00C34AC7"/>
    <w:rPr>
      <w:color w:val="0000ff" w:themeColor="hyperlink"/>
      <w:u w:val="single"/>
    </w:rPr>
  </w:style>
  <w:style w:type="character" w:styleId="UnresolvedMention" w:customStyle="1">
    <w:name w:val="Unresolved Mention"/>
    <w:basedOn w:val="DefaultParagraphFont"/>
    <w:uiPriority w:val="99"/>
    <w:semiHidden w:val="1"/>
    <w:unhideWhenUsed w:val="1"/>
    <w:rsid w:val="00C34AC7"/>
    <w:rPr>
      <w:color w:val="605e5c"/>
      <w:shd w:color="auto" w:fill="e1dfdd" w:val="clear"/>
    </w:rPr>
  </w:style>
  <w:style w:type="paragraph" w:styleId="TOC1">
    <w:name w:val="toc 1"/>
    <w:basedOn w:val="Normal"/>
    <w:next w:val="Normal"/>
    <w:autoRedefine w:val="1"/>
    <w:uiPriority w:val="39"/>
    <w:unhideWhenUsed w:val="1"/>
    <w:rsid w:val="00F55B28"/>
    <w:pPr>
      <w:spacing w:after="100"/>
    </w:pPr>
  </w:style>
  <w:style w:type="paragraph" w:styleId="TOC2">
    <w:name w:val="toc 2"/>
    <w:basedOn w:val="Normal"/>
    <w:next w:val="Normal"/>
    <w:autoRedefine w:val="1"/>
    <w:uiPriority w:val="39"/>
    <w:unhideWhenUsed w:val="1"/>
    <w:rsid w:val="00F55B28"/>
    <w:pPr>
      <w:spacing w:after="100"/>
      <w:ind w:left="220"/>
    </w:pPr>
  </w:style>
  <w:style w:type="paragraph" w:styleId="ListParagraph">
    <w:name w:val="List Paragraph"/>
    <w:basedOn w:val="Normal"/>
    <w:uiPriority w:val="34"/>
    <w:qFormat w:val="1"/>
    <w:rsid w:val="003538F0"/>
    <w:pPr>
      <w:ind w:left="720"/>
      <w:contextualSpacing w:val="1"/>
    </w:pPr>
  </w:style>
  <w:style w:type="paragraph" w:styleId="Subtitle">
    <w:name w:val="Subtitle"/>
    <w:basedOn w:val="Normal"/>
    <w:next w:val="Normal"/>
    <w:pPr>
      <w:keepNext w:val="1"/>
      <w:keepLines w:val="1"/>
      <w:spacing w:after="320" w:lineRule="auto"/>
    </w:pPr>
    <w:rPr>
      <w:color w:val="666666"/>
      <w:sz w:val="30"/>
      <w:szCs w:val="30"/>
    </w:rPr>
  </w:style>
  <w:style w:type="table" w:styleId="Table1">
    <w:basedOn w:val="TableNormal"/>
    <w:tblPr>
      <w:tblStyleRowBandSize w:val="1"/>
      <w:tblStyleColBandSize w:val="1"/>
      <w:tblCellMar>
        <w:top w:w="0.0" w:type="dxa"/>
        <w:left w:w="115.0" w:type="dxa"/>
        <w:bottom w:w="0.0" w:type="dxa"/>
        <w:right w:w="115.0" w:type="dxa"/>
      </w:tblCellMar>
    </w:tblPr>
  </w:style>
  <w:style w:type="table" w:styleId="Table2">
    <w:basedOn w:val="TableNormal"/>
    <w:tblPr>
      <w:tblStyleRowBandSize w:val="1"/>
      <w:tblStyleColBandSize w:val="1"/>
    </w:tblPr>
  </w:style>
  <w:style w:type="table" w:styleId="Table3">
    <w:basedOn w:val="TableNormal"/>
    <w:tblPr>
      <w:tblStyleRowBandSize w:val="1"/>
      <w:tblStyleColBandSize w:val="1"/>
    </w:tblPr>
  </w:style>
</w:styles>
</file>

<file path=word/_rels/document.xml.rels><?xml version="1.0" encoding="UTF-8" standalone="yes"?><Relationships xmlns="http://schemas.openxmlformats.org/package/2006/relationships"><Relationship Id="rId40" Type="http://schemas.openxmlformats.org/officeDocument/2006/relationships/footer" Target="footer1.xml"/><Relationship Id="rId20" Type="http://schemas.openxmlformats.org/officeDocument/2006/relationships/hyperlink" Target="https://www.bbc.com/news/live/cdegwg0ylezt?page=2" TargetMode="External"/><Relationship Id="rId41" Type="http://schemas.openxmlformats.org/officeDocument/2006/relationships/footer" Target="footer2.xml"/><Relationship Id="rId22" Type="http://schemas.openxmlformats.org/officeDocument/2006/relationships/hyperlink" Target="https://doi.org/10.3390/su17083696" TargetMode="External"/><Relationship Id="rId21" Type="http://schemas.openxmlformats.org/officeDocument/2006/relationships/hyperlink" Target="https://doi.org/10.1016/j.tmaid.2025.102847" TargetMode="External"/><Relationship Id="rId24" Type="http://schemas.openxmlformats.org/officeDocument/2006/relationships/hyperlink" Target="https://www.gov.uk/government/publications/government-response-to-the-climate-change-committee-2025-adaptation-progress-report/government-response-to-the-climate-change-committee-2025-adaptation-progress-report#:~:text=improved%20risk%20assessments.-,Introduction,infrastructure%2C%20and%20threatening%20public%20health" TargetMode="External"/><Relationship Id="rId23" Type="http://schemas.openxmlformats.org/officeDocument/2006/relationships/hyperlink" Target="https://doi.org/10.1007/s10346-024-02449-9"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2.png"/><Relationship Id="rId26" Type="http://schemas.openxmlformats.org/officeDocument/2006/relationships/hyperlink" Target="https://pmworldlibrary.net/wp-content/uploads/2025/05/pmwj152-may2025-Harake-Project-Management-and-Business-Modeling.pdf" TargetMode="External"/><Relationship Id="rId25" Type="http://schemas.openxmlformats.org/officeDocument/2006/relationships/hyperlink" Target="https://doi.org/10.1007/s40501-024-00342-9" TargetMode="External"/><Relationship Id="rId28" Type="http://schemas.openxmlformats.org/officeDocument/2006/relationships/hyperlink" Target="https://doi.org/10.1016/j.envint.2025.109313" TargetMode="External"/><Relationship Id="rId27" Type="http://schemas.openxmlformats.org/officeDocument/2006/relationships/hyperlink" Target="https://doi.org/10.3390/app15169218"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doi.org/10.3390/risks13020038" TargetMode="External"/><Relationship Id="rId7" Type="http://schemas.openxmlformats.org/officeDocument/2006/relationships/image" Target="media/image5.jpg"/><Relationship Id="rId8" Type="http://schemas.openxmlformats.org/officeDocument/2006/relationships/image" Target="media/image1.png"/><Relationship Id="rId31" Type="http://schemas.openxmlformats.org/officeDocument/2006/relationships/hyperlink" Target="https://doi.org/10.1016/j.ribaf.2025.102855" TargetMode="External"/><Relationship Id="rId30" Type="http://schemas.openxmlformats.org/officeDocument/2006/relationships/hyperlink" Target="https://doi.org/10.3390/jrfm18100555" TargetMode="External"/><Relationship Id="rId11" Type="http://schemas.openxmlformats.org/officeDocument/2006/relationships/hyperlink" Target="https://roadtraffic.dft.gov.uk/count-points/57930" TargetMode="External"/><Relationship Id="rId33" Type="http://schemas.openxmlformats.org/officeDocument/2006/relationships/hyperlink" Target="https://doi.org/10.3390/app15105465" TargetMode="External"/><Relationship Id="rId10" Type="http://schemas.openxmlformats.org/officeDocument/2006/relationships/image" Target="media/image3.png"/><Relationship Id="rId32" Type="http://schemas.openxmlformats.org/officeDocument/2006/relationships/hyperlink" Target="https://doi.org/10.3390/app15095137" TargetMode="External"/><Relationship Id="rId13" Type="http://schemas.openxmlformats.org/officeDocument/2006/relationships/hyperlink" Target="https://roadtraffic.dft.gov.uk/regions/E1200000" TargetMode="External"/><Relationship Id="rId35" Type="http://schemas.openxmlformats.org/officeDocument/2006/relationships/hyperlink" Target="https://doi.org/10.3390/app15052628" TargetMode="External"/><Relationship Id="rId12" Type="http://schemas.openxmlformats.org/officeDocument/2006/relationships/hyperlink" Target="https://roadtraffic.dft.gov.uk/count-points/27182" TargetMode="External"/><Relationship Id="rId34" Type="http://schemas.openxmlformats.org/officeDocument/2006/relationships/hyperlink" Target="https://doi.org/10.1080/09613218.2025.2593269" TargetMode="External"/><Relationship Id="rId15" Type="http://schemas.openxmlformats.org/officeDocument/2006/relationships/hyperlink" Target="https://ersj.eu/journal/4199/download/The+Application+of+PRINCE2+in+IT+Project+A+Comparative+Analysis+of+Methodologies.pdf" TargetMode="External"/><Relationship Id="rId37" Type="http://schemas.openxmlformats.org/officeDocument/2006/relationships/hyperlink" Target="https://doi.org/10.1111/beer.12727" TargetMode="External"/><Relationship Id="rId14" Type="http://schemas.openxmlformats.org/officeDocument/2006/relationships/hyperlink" Target="https://doi.org/10.1007/s44290-025-00311-y" TargetMode="External"/><Relationship Id="rId36" Type="http://schemas.openxmlformats.org/officeDocument/2006/relationships/hyperlink" Target="https://doi.org/10.3390/app152111667" TargetMode="External"/><Relationship Id="rId17" Type="http://schemas.openxmlformats.org/officeDocument/2006/relationships/hyperlink" Target="https://doi.org/10.1016/j.grets.2024.100139" TargetMode="External"/><Relationship Id="rId39" Type="http://schemas.openxmlformats.org/officeDocument/2006/relationships/header" Target="header1.xml"/><Relationship Id="rId16" Type="http://schemas.openxmlformats.org/officeDocument/2006/relationships/hyperlink" Target="https://www.bbc.com/news/articles/c5yv8299llxo" TargetMode="External"/><Relationship Id="rId38" Type="http://schemas.openxmlformats.org/officeDocument/2006/relationships/hyperlink" Target="https://doi.org/10.1016/j.engstruct.2025.121449" TargetMode="External"/><Relationship Id="rId19" Type="http://schemas.openxmlformats.org/officeDocument/2006/relationships/hyperlink" Target="https://doi.org/10.1016/j.heliyon.2019.e03097" TargetMode="External"/><Relationship Id="rId18" Type="http://schemas.openxmlformats.org/officeDocument/2006/relationships/hyperlink" Target="https://doi.org/10.3390/digital5030026"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_rels/header1.xml.rels><?xml version="1.0" encoding="UTF-8" standalone="yes"?><Relationships xmlns="http://schemas.openxmlformats.org/package/2006/relationships"><Relationship Id="rId1"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i24nY86a8JAANQZrMFnvzSKWO6Yg==">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</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2026-02-14T14:53:00Z</dcterms:created>
</cp:coreProperties>
</file>