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D12DE" w14:textId="77777777" w:rsidR="006677C6" w:rsidRPr="009432C0" w:rsidRDefault="006677C6" w:rsidP="006677C6">
      <w:pPr>
        <w:spacing w:line="360" w:lineRule="auto"/>
        <w:jc w:val="center"/>
        <w:rPr>
          <w:rFonts w:ascii="Arial" w:hAnsi="Arial" w:cs="Arial"/>
          <w:sz w:val="24"/>
          <w:szCs w:val="24"/>
        </w:rPr>
      </w:pPr>
      <w:r>
        <w:rPr>
          <w:noProof/>
        </w:rPr>
        <w:drawing>
          <wp:inline distT="0" distB="0" distL="0" distR="0" wp14:anchorId="6A417E0D" wp14:editId="6D8D9D2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769BC0C" w14:textId="77777777" w:rsidR="006677C6" w:rsidRPr="009432C0" w:rsidRDefault="006677C6" w:rsidP="006677C6">
      <w:pPr>
        <w:spacing w:line="360" w:lineRule="auto"/>
        <w:jc w:val="both"/>
        <w:rPr>
          <w:rFonts w:ascii="Arial" w:hAnsi="Arial" w:cs="Arial"/>
          <w:sz w:val="24"/>
          <w:szCs w:val="24"/>
        </w:rPr>
      </w:pPr>
    </w:p>
    <w:p w14:paraId="1E5FD355" w14:textId="77777777" w:rsidR="006677C6" w:rsidRPr="00CC2EE4" w:rsidRDefault="006677C6" w:rsidP="006677C6">
      <w:pPr>
        <w:spacing w:line="360" w:lineRule="auto"/>
        <w:jc w:val="center"/>
        <w:rPr>
          <w:rFonts w:ascii="Arial" w:hAnsi="Arial" w:cs="Arial"/>
          <w:b/>
          <w:bCs/>
          <w:sz w:val="24"/>
          <w:szCs w:val="24"/>
        </w:rPr>
      </w:pPr>
      <w:r w:rsidRPr="00CC2EE4">
        <w:rPr>
          <w:rFonts w:ascii="Arial" w:hAnsi="Arial" w:cs="Arial"/>
          <w:b/>
          <w:bCs/>
          <w:sz w:val="24"/>
          <w:szCs w:val="24"/>
        </w:rPr>
        <w:t>University of Wales Trinity Saint David</w:t>
      </w:r>
    </w:p>
    <w:p w14:paraId="5D3B157B" w14:textId="77777777" w:rsidR="006677C6" w:rsidRPr="00CC2EE4" w:rsidRDefault="006677C6" w:rsidP="006677C6">
      <w:pPr>
        <w:spacing w:line="360" w:lineRule="auto"/>
        <w:jc w:val="center"/>
        <w:rPr>
          <w:rFonts w:ascii="Arial" w:hAnsi="Arial" w:cs="Arial"/>
          <w:sz w:val="24"/>
          <w:szCs w:val="24"/>
        </w:rPr>
      </w:pPr>
      <w:r w:rsidRPr="00CC2EE4">
        <w:rPr>
          <w:rFonts w:ascii="Arial" w:hAnsi="Arial" w:cs="Arial"/>
          <w:b/>
          <w:bCs/>
          <w:sz w:val="24"/>
          <w:szCs w:val="24"/>
        </w:rPr>
        <w:t>Master of Business Administration (MBA)</w:t>
      </w:r>
    </w:p>
    <w:p w14:paraId="3EB3F2F7" w14:textId="77777777" w:rsidR="006677C6" w:rsidRPr="00CC2EE4" w:rsidRDefault="006677C6" w:rsidP="006677C6">
      <w:pPr>
        <w:spacing w:line="360" w:lineRule="auto"/>
        <w:jc w:val="center"/>
        <w:rPr>
          <w:rFonts w:ascii="Arial" w:hAnsi="Arial" w:cs="Arial"/>
          <w:sz w:val="24"/>
          <w:szCs w:val="24"/>
        </w:rPr>
      </w:pPr>
    </w:p>
    <w:p w14:paraId="0420F350" w14:textId="3CBB0987" w:rsidR="006677C6" w:rsidRPr="00685A9D" w:rsidRDefault="00685A9D" w:rsidP="006677C6">
      <w:pPr>
        <w:spacing w:line="360" w:lineRule="auto"/>
        <w:jc w:val="center"/>
        <w:rPr>
          <w:rFonts w:ascii="Arial" w:hAnsi="Arial" w:cs="Arial"/>
          <w:b/>
          <w:bCs/>
          <w:sz w:val="28"/>
          <w:szCs w:val="28"/>
          <w:lang w:val="en-GB"/>
        </w:rPr>
      </w:pPr>
      <w:r w:rsidRPr="00685A9D">
        <w:rPr>
          <w:rFonts w:ascii="Arial" w:hAnsi="Arial" w:cs="Arial"/>
          <w:b/>
          <w:bCs/>
          <w:sz w:val="28"/>
          <w:szCs w:val="28"/>
          <w:lang w:val="en-GB"/>
        </w:rPr>
        <w:t>Marketing Environment Analysis</w:t>
      </w:r>
    </w:p>
    <w:p w14:paraId="7F22F4C3" w14:textId="77777777" w:rsidR="006677C6" w:rsidRDefault="006677C6" w:rsidP="006677C6">
      <w:pPr>
        <w:spacing w:line="360" w:lineRule="auto"/>
        <w:jc w:val="center"/>
        <w:rPr>
          <w:rFonts w:ascii="Arial" w:hAnsi="Arial" w:cs="Arial"/>
          <w:sz w:val="24"/>
          <w:szCs w:val="24"/>
        </w:rPr>
      </w:pPr>
    </w:p>
    <w:p w14:paraId="7B14DF96" w14:textId="77777777" w:rsidR="006677C6" w:rsidRDefault="006677C6" w:rsidP="006677C6">
      <w:pPr>
        <w:spacing w:line="360" w:lineRule="auto"/>
        <w:jc w:val="center"/>
        <w:rPr>
          <w:rFonts w:ascii="Arial" w:hAnsi="Arial" w:cs="Arial"/>
          <w:sz w:val="24"/>
          <w:szCs w:val="24"/>
        </w:rPr>
      </w:pPr>
    </w:p>
    <w:p w14:paraId="6AD27C58" w14:textId="77777777" w:rsidR="006677C6" w:rsidRDefault="006677C6" w:rsidP="006677C6">
      <w:pPr>
        <w:spacing w:line="360" w:lineRule="auto"/>
        <w:jc w:val="center"/>
        <w:rPr>
          <w:rFonts w:ascii="Arial" w:hAnsi="Arial" w:cs="Arial"/>
          <w:sz w:val="24"/>
          <w:szCs w:val="24"/>
        </w:rPr>
      </w:pPr>
    </w:p>
    <w:p w14:paraId="27F929BE" w14:textId="72618F24" w:rsidR="006677C6" w:rsidRDefault="006677C6" w:rsidP="006677C6">
      <w:pPr>
        <w:spacing w:line="360" w:lineRule="auto"/>
        <w:jc w:val="center"/>
        <w:rPr>
          <w:rFonts w:ascii="Arial" w:hAnsi="Arial" w:cs="Arial"/>
          <w:sz w:val="24"/>
          <w:szCs w:val="24"/>
        </w:rPr>
      </w:pPr>
      <w:r w:rsidRPr="00CC2EE4">
        <w:rPr>
          <w:rFonts w:ascii="Arial" w:hAnsi="Arial" w:cs="Arial"/>
          <w:b/>
          <w:bCs/>
          <w:sz w:val="24"/>
          <w:szCs w:val="24"/>
        </w:rPr>
        <w:t>Module Name:</w:t>
      </w:r>
      <w:r w:rsidRPr="00CC2EE4">
        <w:rPr>
          <w:rFonts w:ascii="Arial" w:hAnsi="Arial" w:cs="Arial"/>
          <w:sz w:val="24"/>
          <w:szCs w:val="24"/>
        </w:rPr>
        <w:t xml:space="preserve"> </w:t>
      </w:r>
      <w:r w:rsidRPr="006677C6">
        <w:rPr>
          <w:rFonts w:ascii="Arial" w:hAnsi="Arial" w:cs="Arial"/>
          <w:sz w:val="24"/>
          <w:szCs w:val="24"/>
        </w:rPr>
        <w:t>Marketing Management</w:t>
      </w:r>
      <w:r w:rsidRPr="006677C6">
        <w:rPr>
          <w:rFonts w:ascii="Arial" w:hAnsi="Arial" w:cs="Arial"/>
          <w:sz w:val="24"/>
          <w:szCs w:val="24"/>
        </w:rPr>
        <w:br/>
      </w:r>
      <w:r w:rsidRPr="00CC2EE4">
        <w:rPr>
          <w:rFonts w:ascii="Arial" w:hAnsi="Arial" w:cs="Arial"/>
          <w:b/>
          <w:bCs/>
          <w:sz w:val="24"/>
          <w:szCs w:val="24"/>
        </w:rPr>
        <w:t>Module Code:</w:t>
      </w:r>
      <w:r w:rsidRPr="00CC2EE4">
        <w:rPr>
          <w:rFonts w:ascii="Arial" w:hAnsi="Arial" w:cs="Arial"/>
          <w:sz w:val="24"/>
          <w:szCs w:val="24"/>
        </w:rPr>
        <w:t xml:space="preserve"> LCMB702</w:t>
      </w:r>
      <w:r>
        <w:rPr>
          <w:rFonts w:ascii="Arial" w:hAnsi="Arial" w:cs="Arial"/>
          <w:sz w:val="24"/>
          <w:szCs w:val="24"/>
        </w:rPr>
        <w:t>4</w:t>
      </w:r>
    </w:p>
    <w:p w14:paraId="1CC3158C" w14:textId="77777777" w:rsidR="006677C6" w:rsidRDefault="006677C6" w:rsidP="006677C6">
      <w:pPr>
        <w:spacing w:line="360" w:lineRule="auto"/>
        <w:jc w:val="center"/>
        <w:rPr>
          <w:rFonts w:ascii="Arial" w:hAnsi="Arial" w:cs="Arial"/>
          <w:sz w:val="24"/>
          <w:szCs w:val="24"/>
        </w:rPr>
      </w:pPr>
    </w:p>
    <w:p w14:paraId="031E6631" w14:textId="77777777" w:rsidR="006677C6" w:rsidRPr="009432C0" w:rsidRDefault="006677C6" w:rsidP="006677C6">
      <w:pPr>
        <w:spacing w:line="360" w:lineRule="auto"/>
        <w:jc w:val="center"/>
        <w:rPr>
          <w:rFonts w:ascii="Arial" w:hAnsi="Arial" w:cs="Arial"/>
          <w:sz w:val="24"/>
          <w:szCs w:val="24"/>
        </w:rPr>
      </w:pPr>
    </w:p>
    <w:p w14:paraId="40432078" w14:textId="0150B09A" w:rsidR="006677C6" w:rsidRDefault="006677C6" w:rsidP="006677C6">
      <w:pPr>
        <w:spacing w:line="360" w:lineRule="auto"/>
        <w:jc w:val="center"/>
        <w:rPr>
          <w:rFonts w:ascii="Arial" w:hAnsi="Arial" w:cs="Arial"/>
          <w:b/>
          <w:bCs/>
          <w:sz w:val="24"/>
          <w:szCs w:val="24"/>
        </w:rPr>
      </w:pPr>
      <w:r w:rsidRPr="00CC2EE4">
        <w:rPr>
          <w:rFonts w:ascii="Arial" w:hAnsi="Arial" w:cs="Arial"/>
          <w:b/>
          <w:bCs/>
          <w:sz w:val="24"/>
          <w:szCs w:val="24"/>
        </w:rPr>
        <w:t>Lecturer’s Name:</w:t>
      </w:r>
      <w:r w:rsidRPr="00CC2EE4">
        <w:rPr>
          <w:rFonts w:ascii="Arial" w:hAnsi="Arial" w:cs="Arial"/>
          <w:sz w:val="24"/>
          <w:szCs w:val="24"/>
        </w:rPr>
        <w:t xml:space="preserve"> </w:t>
      </w:r>
      <w:r w:rsidRPr="006677C6">
        <w:rPr>
          <w:rFonts w:ascii="Arial" w:hAnsi="Arial" w:cs="Arial"/>
          <w:bCs/>
          <w:sz w:val="24"/>
          <w:szCs w:val="24"/>
        </w:rPr>
        <w:t xml:space="preserve">Dian </w:t>
      </w:r>
      <w:proofErr w:type="spellStart"/>
      <w:r w:rsidRPr="006677C6">
        <w:rPr>
          <w:rFonts w:ascii="Arial" w:hAnsi="Arial" w:cs="Arial"/>
          <w:bCs/>
          <w:sz w:val="24"/>
          <w:szCs w:val="24"/>
        </w:rPr>
        <w:t>Mayasari</w:t>
      </w:r>
      <w:proofErr w:type="spellEnd"/>
      <w:r w:rsidRPr="00CC2EE4">
        <w:rPr>
          <w:rFonts w:ascii="Arial" w:hAnsi="Arial" w:cs="Arial"/>
          <w:sz w:val="24"/>
          <w:szCs w:val="24"/>
        </w:rPr>
        <w:br/>
      </w:r>
      <w:r w:rsidRPr="00CC2EE4">
        <w:rPr>
          <w:rFonts w:ascii="Arial" w:hAnsi="Arial" w:cs="Arial"/>
          <w:b/>
          <w:bCs/>
          <w:sz w:val="24"/>
          <w:szCs w:val="24"/>
        </w:rPr>
        <w:t>Student Name:</w:t>
      </w:r>
      <w:r w:rsidRPr="00CC2EE4">
        <w:rPr>
          <w:rFonts w:ascii="Arial" w:hAnsi="Arial" w:cs="Arial"/>
          <w:sz w:val="24"/>
          <w:szCs w:val="24"/>
        </w:rPr>
        <w:t xml:space="preserve"> </w:t>
      </w:r>
      <w:r w:rsidR="006D3858">
        <w:rPr>
          <w:rFonts w:ascii="Arial" w:hAnsi="Arial" w:cs="Arial"/>
          <w:sz w:val="24"/>
          <w:szCs w:val="24"/>
        </w:rPr>
        <w:t xml:space="preserve">Hemang </w:t>
      </w:r>
      <w:proofErr w:type="spellStart"/>
      <w:r w:rsidR="006D3858">
        <w:rPr>
          <w:rFonts w:ascii="Arial" w:hAnsi="Arial" w:cs="Arial"/>
          <w:sz w:val="24"/>
          <w:szCs w:val="24"/>
        </w:rPr>
        <w:t>Amrutbhai</w:t>
      </w:r>
      <w:proofErr w:type="spellEnd"/>
      <w:r w:rsidR="00641317">
        <w:rPr>
          <w:rFonts w:ascii="Arial" w:hAnsi="Arial" w:cs="Arial"/>
          <w:sz w:val="24"/>
          <w:szCs w:val="24"/>
        </w:rPr>
        <w:t xml:space="preserve"> Desai</w:t>
      </w:r>
      <w:r w:rsidRPr="00CC2EE4">
        <w:rPr>
          <w:rFonts w:ascii="Arial" w:hAnsi="Arial" w:cs="Arial"/>
          <w:sz w:val="24"/>
          <w:szCs w:val="24"/>
        </w:rPr>
        <w:br/>
      </w:r>
      <w:r w:rsidRPr="00CC2EE4">
        <w:rPr>
          <w:rFonts w:ascii="Arial" w:hAnsi="Arial" w:cs="Arial"/>
          <w:b/>
          <w:bCs/>
          <w:sz w:val="24"/>
          <w:szCs w:val="24"/>
        </w:rPr>
        <w:t>Student ID:</w:t>
      </w:r>
      <w:r w:rsidRPr="00CC2EE4">
        <w:rPr>
          <w:rFonts w:ascii="Arial" w:hAnsi="Arial" w:cs="Arial"/>
          <w:sz w:val="24"/>
          <w:szCs w:val="24"/>
        </w:rPr>
        <w:t xml:space="preserve"> </w:t>
      </w:r>
      <w:r w:rsidR="00641317">
        <w:rPr>
          <w:rFonts w:ascii="Arial" w:hAnsi="Arial" w:cs="Arial"/>
          <w:sz w:val="24"/>
          <w:szCs w:val="24"/>
        </w:rPr>
        <w:t>2438</w:t>
      </w:r>
      <w:r w:rsidR="0040156F">
        <w:rPr>
          <w:rFonts w:ascii="Arial" w:hAnsi="Arial" w:cs="Arial"/>
          <w:sz w:val="24"/>
          <w:szCs w:val="24"/>
        </w:rPr>
        <w:t>589</w:t>
      </w:r>
      <w:r w:rsidRPr="00CC2EE4">
        <w:rPr>
          <w:rFonts w:ascii="Arial" w:hAnsi="Arial" w:cs="Arial"/>
          <w:sz w:val="24"/>
          <w:szCs w:val="24"/>
        </w:rPr>
        <w:br/>
      </w:r>
      <w:r w:rsidRPr="00CC2EE4">
        <w:rPr>
          <w:rFonts w:ascii="Arial" w:hAnsi="Arial" w:cs="Arial"/>
          <w:b/>
          <w:bCs/>
          <w:sz w:val="24"/>
          <w:szCs w:val="24"/>
        </w:rPr>
        <w:t>Word Count:</w:t>
      </w:r>
      <w:r w:rsidRPr="00CC2EE4">
        <w:rPr>
          <w:rFonts w:ascii="Arial" w:hAnsi="Arial" w:cs="Arial"/>
          <w:sz w:val="24"/>
          <w:szCs w:val="24"/>
        </w:rPr>
        <w:t xml:space="preserve"> </w:t>
      </w:r>
      <w:r>
        <w:rPr>
          <w:rFonts w:ascii="Arial" w:hAnsi="Arial" w:cs="Arial"/>
          <w:sz w:val="24"/>
          <w:szCs w:val="24"/>
        </w:rPr>
        <w:t>257</w:t>
      </w:r>
      <w:r w:rsidR="006577AC">
        <w:rPr>
          <w:rFonts w:ascii="Arial" w:hAnsi="Arial" w:cs="Arial"/>
          <w:sz w:val="24"/>
          <w:szCs w:val="24"/>
        </w:rPr>
        <w:t>9</w:t>
      </w:r>
      <w:r w:rsidRPr="00CC2EE4">
        <w:rPr>
          <w:rFonts w:ascii="Arial" w:hAnsi="Arial" w:cs="Arial"/>
          <w:sz w:val="24"/>
          <w:szCs w:val="24"/>
        </w:rPr>
        <w:br/>
      </w:r>
      <w:r w:rsidRPr="00CC2EE4">
        <w:rPr>
          <w:rFonts w:ascii="Arial" w:hAnsi="Arial" w:cs="Arial"/>
          <w:b/>
          <w:bCs/>
          <w:sz w:val="24"/>
          <w:szCs w:val="24"/>
        </w:rPr>
        <w:t>Submission Date:</w:t>
      </w:r>
      <w:r w:rsidR="003307CA">
        <w:rPr>
          <w:rFonts w:ascii="Arial" w:hAnsi="Arial" w:cs="Arial"/>
          <w:b/>
          <w:bCs/>
          <w:sz w:val="24"/>
          <w:szCs w:val="24"/>
        </w:rPr>
        <w:t xml:space="preserve"> </w:t>
      </w:r>
      <w:r w:rsidR="00964A3B">
        <w:rPr>
          <w:rFonts w:ascii="Arial" w:hAnsi="Arial" w:cs="Arial"/>
          <w:b/>
          <w:bCs/>
          <w:sz w:val="24"/>
          <w:szCs w:val="24"/>
        </w:rPr>
        <w:t>23/10/2025</w:t>
      </w:r>
    </w:p>
    <w:p w14:paraId="4F60773B" w14:textId="77777777" w:rsidR="00D34D0F" w:rsidRDefault="00D34D0F" w:rsidP="0069189A">
      <w:pPr>
        <w:spacing w:line="360" w:lineRule="auto"/>
        <w:jc w:val="both"/>
        <w:rPr>
          <w:rFonts w:ascii="Arial" w:hAnsi="Arial" w:cs="Arial"/>
          <w:sz w:val="24"/>
          <w:szCs w:val="24"/>
        </w:rPr>
      </w:pPr>
    </w:p>
    <w:p w14:paraId="7D5890CA" w14:textId="77777777" w:rsidR="00D34D0F" w:rsidRDefault="00D34D0F" w:rsidP="0069189A">
      <w:pPr>
        <w:spacing w:line="360" w:lineRule="auto"/>
        <w:jc w:val="both"/>
        <w:rPr>
          <w:rFonts w:ascii="Arial" w:hAnsi="Arial" w:cs="Arial"/>
          <w:sz w:val="24"/>
          <w:szCs w:val="24"/>
        </w:rPr>
      </w:pPr>
    </w:p>
    <w:p w14:paraId="0C13DD36" w14:textId="77777777" w:rsidR="00D34D0F" w:rsidRDefault="00D34D0F" w:rsidP="0069189A">
      <w:pPr>
        <w:spacing w:line="360" w:lineRule="auto"/>
        <w:jc w:val="both"/>
        <w:rPr>
          <w:rFonts w:ascii="Arial" w:hAnsi="Arial" w:cs="Arial"/>
          <w:sz w:val="24"/>
          <w:szCs w:val="24"/>
        </w:rPr>
      </w:pPr>
    </w:p>
    <w:p w14:paraId="59D26E79" w14:textId="77777777" w:rsidR="00685A9D" w:rsidRDefault="00685A9D" w:rsidP="0069189A">
      <w:pPr>
        <w:spacing w:line="360" w:lineRule="auto"/>
        <w:jc w:val="both"/>
        <w:rPr>
          <w:rFonts w:ascii="Arial" w:hAnsi="Arial" w:cs="Arial"/>
          <w:sz w:val="24"/>
          <w:szCs w:val="24"/>
        </w:rPr>
      </w:pPr>
    </w:p>
    <w:sdt>
      <w:sdtPr>
        <w:rPr>
          <w:rFonts w:ascii="Arial" w:eastAsiaTheme="minorHAnsi" w:hAnsi="Arial" w:cs="Arial"/>
          <w:b/>
          <w:bCs/>
          <w:color w:val="000000" w:themeColor="text1"/>
          <w:kern w:val="2"/>
          <w:sz w:val="22"/>
          <w:szCs w:val="22"/>
          <w:lang w:val="en-IN"/>
          <w14:ligatures w14:val="standardContextual"/>
        </w:rPr>
        <w:id w:val="845832793"/>
        <w:docPartObj>
          <w:docPartGallery w:val="Table of Contents"/>
          <w:docPartUnique/>
        </w:docPartObj>
      </w:sdtPr>
      <w:sdtEndPr>
        <w:rPr>
          <w:noProof/>
          <w:color w:val="auto"/>
          <w:sz w:val="24"/>
          <w:szCs w:val="24"/>
        </w:rPr>
      </w:sdtEndPr>
      <w:sdtContent>
        <w:p w14:paraId="4086DB7F" w14:textId="0F0DA311" w:rsidR="00D34D0F" w:rsidRPr="00D34D0F" w:rsidRDefault="00D34D0F" w:rsidP="00D34D0F">
          <w:pPr>
            <w:pStyle w:val="TOCHeading"/>
            <w:spacing w:line="360" w:lineRule="auto"/>
            <w:rPr>
              <w:rFonts w:ascii="Arial" w:hAnsi="Arial" w:cs="Arial"/>
              <w:b/>
              <w:bCs/>
              <w:color w:val="000000" w:themeColor="text1"/>
            </w:rPr>
          </w:pPr>
          <w:r w:rsidRPr="00D34D0F">
            <w:rPr>
              <w:rFonts w:ascii="Arial" w:hAnsi="Arial" w:cs="Arial"/>
              <w:b/>
              <w:bCs/>
              <w:color w:val="000000" w:themeColor="text1"/>
            </w:rPr>
            <w:t>Table of Contents</w:t>
          </w:r>
        </w:p>
        <w:p w14:paraId="250A4ACC" w14:textId="14A7FEB4" w:rsidR="00D34D0F" w:rsidRPr="00D34D0F" w:rsidRDefault="00D34D0F" w:rsidP="00D34D0F">
          <w:pPr>
            <w:pStyle w:val="TOC1"/>
            <w:tabs>
              <w:tab w:val="right" w:leader="dot" w:pos="9016"/>
            </w:tabs>
            <w:spacing w:line="360" w:lineRule="auto"/>
            <w:rPr>
              <w:rFonts w:ascii="Arial" w:hAnsi="Arial" w:cs="Arial"/>
              <w:noProof/>
              <w:sz w:val="24"/>
              <w:szCs w:val="24"/>
            </w:rPr>
          </w:pPr>
          <w:r w:rsidRPr="00D34D0F">
            <w:rPr>
              <w:rFonts w:ascii="Arial" w:hAnsi="Arial" w:cs="Arial"/>
              <w:sz w:val="24"/>
              <w:szCs w:val="24"/>
            </w:rPr>
            <w:fldChar w:fldCharType="begin"/>
          </w:r>
          <w:r w:rsidRPr="00D34D0F">
            <w:rPr>
              <w:rFonts w:ascii="Arial" w:hAnsi="Arial" w:cs="Arial"/>
              <w:sz w:val="24"/>
              <w:szCs w:val="24"/>
            </w:rPr>
            <w:instrText xml:space="preserve"> TOC \o "1-3" \h \z \u </w:instrText>
          </w:r>
          <w:r w:rsidRPr="00D34D0F">
            <w:rPr>
              <w:rFonts w:ascii="Arial" w:hAnsi="Arial" w:cs="Arial"/>
              <w:sz w:val="24"/>
              <w:szCs w:val="24"/>
            </w:rPr>
            <w:fldChar w:fldCharType="separate"/>
          </w:r>
          <w:hyperlink w:anchor="_Toc212074418" w:history="1">
            <w:r w:rsidRPr="00D34D0F">
              <w:rPr>
                <w:rStyle w:val="Hyperlink"/>
                <w:rFonts w:ascii="Arial" w:hAnsi="Arial" w:cs="Arial"/>
                <w:bCs/>
                <w:noProof/>
                <w:sz w:val="24"/>
                <w:szCs w:val="24"/>
              </w:rPr>
              <w:t>1. C</w:t>
            </w:r>
            <w:r w:rsidRPr="00D34D0F">
              <w:rPr>
                <w:rStyle w:val="Hyperlink"/>
                <w:rFonts w:ascii="Arial" w:hAnsi="Arial" w:cs="Arial"/>
                <w:noProof/>
                <w:sz w:val="24"/>
                <w:szCs w:val="24"/>
              </w:rPr>
              <w:t>ompany Overview</w:t>
            </w:r>
            <w:r w:rsidRPr="00D34D0F">
              <w:rPr>
                <w:rFonts w:ascii="Arial" w:hAnsi="Arial" w:cs="Arial"/>
                <w:noProof/>
                <w:webHidden/>
                <w:sz w:val="24"/>
                <w:szCs w:val="24"/>
              </w:rPr>
              <w:tab/>
            </w:r>
            <w:r w:rsidRPr="00D34D0F">
              <w:rPr>
                <w:rFonts w:ascii="Arial" w:hAnsi="Arial" w:cs="Arial"/>
                <w:noProof/>
                <w:webHidden/>
                <w:sz w:val="24"/>
                <w:szCs w:val="24"/>
              </w:rPr>
              <w:fldChar w:fldCharType="begin"/>
            </w:r>
            <w:r w:rsidRPr="00D34D0F">
              <w:rPr>
                <w:rFonts w:ascii="Arial" w:hAnsi="Arial" w:cs="Arial"/>
                <w:noProof/>
                <w:webHidden/>
                <w:sz w:val="24"/>
                <w:szCs w:val="24"/>
              </w:rPr>
              <w:instrText xml:space="preserve"> PAGEREF _Toc212074418 \h </w:instrText>
            </w:r>
            <w:r w:rsidRPr="00D34D0F">
              <w:rPr>
                <w:rFonts w:ascii="Arial" w:hAnsi="Arial" w:cs="Arial"/>
                <w:noProof/>
                <w:webHidden/>
                <w:sz w:val="24"/>
                <w:szCs w:val="24"/>
              </w:rPr>
            </w:r>
            <w:r w:rsidRPr="00D34D0F">
              <w:rPr>
                <w:rFonts w:ascii="Arial" w:hAnsi="Arial" w:cs="Arial"/>
                <w:noProof/>
                <w:webHidden/>
                <w:sz w:val="24"/>
                <w:szCs w:val="24"/>
              </w:rPr>
              <w:fldChar w:fldCharType="separate"/>
            </w:r>
            <w:r w:rsidRPr="00D34D0F">
              <w:rPr>
                <w:rFonts w:ascii="Arial" w:hAnsi="Arial" w:cs="Arial"/>
                <w:noProof/>
                <w:webHidden/>
                <w:sz w:val="24"/>
                <w:szCs w:val="24"/>
              </w:rPr>
              <w:t>3</w:t>
            </w:r>
            <w:r w:rsidRPr="00D34D0F">
              <w:rPr>
                <w:rFonts w:ascii="Arial" w:hAnsi="Arial" w:cs="Arial"/>
                <w:noProof/>
                <w:webHidden/>
                <w:sz w:val="24"/>
                <w:szCs w:val="24"/>
              </w:rPr>
              <w:fldChar w:fldCharType="end"/>
            </w:r>
          </w:hyperlink>
        </w:p>
        <w:p w14:paraId="16E448DB" w14:textId="1C9D3F8C" w:rsidR="00D34D0F" w:rsidRPr="00D34D0F" w:rsidRDefault="00D34D0F" w:rsidP="00D34D0F">
          <w:pPr>
            <w:pStyle w:val="TOC1"/>
            <w:tabs>
              <w:tab w:val="right" w:leader="dot" w:pos="9016"/>
            </w:tabs>
            <w:spacing w:line="360" w:lineRule="auto"/>
            <w:rPr>
              <w:rFonts w:ascii="Arial" w:hAnsi="Arial" w:cs="Arial"/>
              <w:noProof/>
              <w:sz w:val="24"/>
              <w:szCs w:val="24"/>
            </w:rPr>
          </w:pPr>
          <w:hyperlink w:anchor="_Toc212074419" w:history="1">
            <w:r w:rsidRPr="00D34D0F">
              <w:rPr>
                <w:rStyle w:val="Hyperlink"/>
                <w:rFonts w:ascii="Arial" w:hAnsi="Arial" w:cs="Arial"/>
                <w:noProof/>
                <w:sz w:val="24"/>
                <w:szCs w:val="24"/>
              </w:rPr>
              <w:t>2. Task 1 - Macro Marketing Environment Analysis</w:t>
            </w:r>
            <w:r w:rsidRPr="00D34D0F">
              <w:rPr>
                <w:rFonts w:ascii="Arial" w:hAnsi="Arial" w:cs="Arial"/>
                <w:noProof/>
                <w:webHidden/>
                <w:sz w:val="24"/>
                <w:szCs w:val="24"/>
              </w:rPr>
              <w:tab/>
            </w:r>
            <w:r w:rsidRPr="00D34D0F">
              <w:rPr>
                <w:rFonts w:ascii="Arial" w:hAnsi="Arial" w:cs="Arial"/>
                <w:noProof/>
                <w:webHidden/>
                <w:sz w:val="24"/>
                <w:szCs w:val="24"/>
              </w:rPr>
              <w:fldChar w:fldCharType="begin"/>
            </w:r>
            <w:r w:rsidRPr="00D34D0F">
              <w:rPr>
                <w:rFonts w:ascii="Arial" w:hAnsi="Arial" w:cs="Arial"/>
                <w:noProof/>
                <w:webHidden/>
                <w:sz w:val="24"/>
                <w:szCs w:val="24"/>
              </w:rPr>
              <w:instrText xml:space="preserve"> PAGEREF _Toc212074419 \h </w:instrText>
            </w:r>
            <w:r w:rsidRPr="00D34D0F">
              <w:rPr>
                <w:rFonts w:ascii="Arial" w:hAnsi="Arial" w:cs="Arial"/>
                <w:noProof/>
                <w:webHidden/>
                <w:sz w:val="24"/>
                <w:szCs w:val="24"/>
              </w:rPr>
            </w:r>
            <w:r w:rsidRPr="00D34D0F">
              <w:rPr>
                <w:rFonts w:ascii="Arial" w:hAnsi="Arial" w:cs="Arial"/>
                <w:noProof/>
                <w:webHidden/>
                <w:sz w:val="24"/>
                <w:szCs w:val="24"/>
              </w:rPr>
              <w:fldChar w:fldCharType="separate"/>
            </w:r>
            <w:r w:rsidRPr="00D34D0F">
              <w:rPr>
                <w:rFonts w:ascii="Arial" w:hAnsi="Arial" w:cs="Arial"/>
                <w:noProof/>
                <w:webHidden/>
                <w:sz w:val="24"/>
                <w:szCs w:val="24"/>
              </w:rPr>
              <w:t>4</w:t>
            </w:r>
            <w:r w:rsidRPr="00D34D0F">
              <w:rPr>
                <w:rFonts w:ascii="Arial" w:hAnsi="Arial" w:cs="Arial"/>
                <w:noProof/>
                <w:webHidden/>
                <w:sz w:val="24"/>
                <w:szCs w:val="24"/>
              </w:rPr>
              <w:fldChar w:fldCharType="end"/>
            </w:r>
          </w:hyperlink>
        </w:p>
        <w:p w14:paraId="4ECBBDBE" w14:textId="081D4B28" w:rsidR="00D34D0F" w:rsidRPr="00D34D0F" w:rsidRDefault="00D34D0F" w:rsidP="00D34D0F">
          <w:pPr>
            <w:pStyle w:val="TOC2"/>
            <w:tabs>
              <w:tab w:val="right" w:leader="dot" w:pos="9016"/>
            </w:tabs>
            <w:spacing w:line="360" w:lineRule="auto"/>
            <w:rPr>
              <w:rFonts w:ascii="Arial" w:hAnsi="Arial" w:cs="Arial"/>
              <w:noProof/>
              <w:sz w:val="24"/>
              <w:szCs w:val="24"/>
            </w:rPr>
          </w:pPr>
          <w:hyperlink w:anchor="_Toc212074420" w:history="1">
            <w:r w:rsidRPr="00D34D0F">
              <w:rPr>
                <w:rStyle w:val="Hyperlink"/>
                <w:rFonts w:ascii="Arial" w:hAnsi="Arial" w:cs="Arial"/>
                <w:noProof/>
                <w:sz w:val="24"/>
                <w:szCs w:val="24"/>
              </w:rPr>
              <w:t>2.1 Technological Factors</w:t>
            </w:r>
            <w:r w:rsidRPr="00D34D0F">
              <w:rPr>
                <w:rFonts w:ascii="Arial" w:hAnsi="Arial" w:cs="Arial"/>
                <w:noProof/>
                <w:webHidden/>
                <w:sz w:val="24"/>
                <w:szCs w:val="24"/>
              </w:rPr>
              <w:tab/>
            </w:r>
            <w:r w:rsidRPr="00D34D0F">
              <w:rPr>
                <w:rFonts w:ascii="Arial" w:hAnsi="Arial" w:cs="Arial"/>
                <w:noProof/>
                <w:webHidden/>
                <w:sz w:val="24"/>
                <w:szCs w:val="24"/>
              </w:rPr>
              <w:fldChar w:fldCharType="begin"/>
            </w:r>
            <w:r w:rsidRPr="00D34D0F">
              <w:rPr>
                <w:rFonts w:ascii="Arial" w:hAnsi="Arial" w:cs="Arial"/>
                <w:noProof/>
                <w:webHidden/>
                <w:sz w:val="24"/>
                <w:szCs w:val="24"/>
              </w:rPr>
              <w:instrText xml:space="preserve"> PAGEREF _Toc212074420 \h </w:instrText>
            </w:r>
            <w:r w:rsidRPr="00D34D0F">
              <w:rPr>
                <w:rFonts w:ascii="Arial" w:hAnsi="Arial" w:cs="Arial"/>
                <w:noProof/>
                <w:webHidden/>
                <w:sz w:val="24"/>
                <w:szCs w:val="24"/>
              </w:rPr>
            </w:r>
            <w:r w:rsidRPr="00D34D0F">
              <w:rPr>
                <w:rFonts w:ascii="Arial" w:hAnsi="Arial" w:cs="Arial"/>
                <w:noProof/>
                <w:webHidden/>
                <w:sz w:val="24"/>
                <w:szCs w:val="24"/>
              </w:rPr>
              <w:fldChar w:fldCharType="separate"/>
            </w:r>
            <w:r w:rsidRPr="00D34D0F">
              <w:rPr>
                <w:rFonts w:ascii="Arial" w:hAnsi="Arial" w:cs="Arial"/>
                <w:noProof/>
                <w:webHidden/>
                <w:sz w:val="24"/>
                <w:szCs w:val="24"/>
              </w:rPr>
              <w:t>4</w:t>
            </w:r>
            <w:r w:rsidRPr="00D34D0F">
              <w:rPr>
                <w:rFonts w:ascii="Arial" w:hAnsi="Arial" w:cs="Arial"/>
                <w:noProof/>
                <w:webHidden/>
                <w:sz w:val="24"/>
                <w:szCs w:val="24"/>
              </w:rPr>
              <w:fldChar w:fldCharType="end"/>
            </w:r>
          </w:hyperlink>
        </w:p>
        <w:p w14:paraId="793B0719" w14:textId="2C1B65F8" w:rsidR="00D34D0F" w:rsidRPr="00D34D0F" w:rsidRDefault="00D34D0F" w:rsidP="00D34D0F">
          <w:pPr>
            <w:pStyle w:val="TOC2"/>
            <w:tabs>
              <w:tab w:val="right" w:leader="dot" w:pos="9016"/>
            </w:tabs>
            <w:spacing w:line="360" w:lineRule="auto"/>
            <w:rPr>
              <w:rFonts w:ascii="Arial" w:hAnsi="Arial" w:cs="Arial"/>
              <w:noProof/>
              <w:sz w:val="24"/>
              <w:szCs w:val="24"/>
            </w:rPr>
          </w:pPr>
          <w:hyperlink w:anchor="_Toc212074421" w:history="1">
            <w:r w:rsidRPr="00D34D0F">
              <w:rPr>
                <w:rStyle w:val="Hyperlink"/>
                <w:rFonts w:ascii="Arial" w:hAnsi="Arial" w:cs="Arial"/>
                <w:noProof/>
                <w:sz w:val="24"/>
                <w:szCs w:val="24"/>
              </w:rPr>
              <w:t>2.2 Environmental Factors</w:t>
            </w:r>
            <w:r w:rsidRPr="00D34D0F">
              <w:rPr>
                <w:rFonts w:ascii="Arial" w:hAnsi="Arial" w:cs="Arial"/>
                <w:noProof/>
                <w:webHidden/>
                <w:sz w:val="24"/>
                <w:szCs w:val="24"/>
              </w:rPr>
              <w:tab/>
            </w:r>
            <w:r w:rsidRPr="00D34D0F">
              <w:rPr>
                <w:rFonts w:ascii="Arial" w:hAnsi="Arial" w:cs="Arial"/>
                <w:noProof/>
                <w:webHidden/>
                <w:sz w:val="24"/>
                <w:szCs w:val="24"/>
              </w:rPr>
              <w:fldChar w:fldCharType="begin"/>
            </w:r>
            <w:r w:rsidRPr="00D34D0F">
              <w:rPr>
                <w:rFonts w:ascii="Arial" w:hAnsi="Arial" w:cs="Arial"/>
                <w:noProof/>
                <w:webHidden/>
                <w:sz w:val="24"/>
                <w:szCs w:val="24"/>
              </w:rPr>
              <w:instrText xml:space="preserve"> PAGEREF _Toc212074421 \h </w:instrText>
            </w:r>
            <w:r w:rsidRPr="00D34D0F">
              <w:rPr>
                <w:rFonts w:ascii="Arial" w:hAnsi="Arial" w:cs="Arial"/>
                <w:noProof/>
                <w:webHidden/>
                <w:sz w:val="24"/>
                <w:szCs w:val="24"/>
              </w:rPr>
            </w:r>
            <w:r w:rsidRPr="00D34D0F">
              <w:rPr>
                <w:rFonts w:ascii="Arial" w:hAnsi="Arial" w:cs="Arial"/>
                <w:noProof/>
                <w:webHidden/>
                <w:sz w:val="24"/>
                <w:szCs w:val="24"/>
              </w:rPr>
              <w:fldChar w:fldCharType="separate"/>
            </w:r>
            <w:r w:rsidRPr="00D34D0F">
              <w:rPr>
                <w:rFonts w:ascii="Arial" w:hAnsi="Arial" w:cs="Arial"/>
                <w:noProof/>
                <w:webHidden/>
                <w:sz w:val="24"/>
                <w:szCs w:val="24"/>
              </w:rPr>
              <w:t>6</w:t>
            </w:r>
            <w:r w:rsidRPr="00D34D0F">
              <w:rPr>
                <w:rFonts w:ascii="Arial" w:hAnsi="Arial" w:cs="Arial"/>
                <w:noProof/>
                <w:webHidden/>
                <w:sz w:val="24"/>
                <w:szCs w:val="24"/>
              </w:rPr>
              <w:fldChar w:fldCharType="end"/>
            </w:r>
          </w:hyperlink>
        </w:p>
        <w:p w14:paraId="688C4B8E" w14:textId="1BDEA928" w:rsidR="00D34D0F" w:rsidRPr="00D34D0F" w:rsidRDefault="00D34D0F" w:rsidP="00D34D0F">
          <w:pPr>
            <w:pStyle w:val="TOC2"/>
            <w:tabs>
              <w:tab w:val="right" w:leader="dot" w:pos="9016"/>
            </w:tabs>
            <w:spacing w:line="360" w:lineRule="auto"/>
            <w:rPr>
              <w:rFonts w:ascii="Arial" w:hAnsi="Arial" w:cs="Arial"/>
              <w:noProof/>
              <w:sz w:val="24"/>
              <w:szCs w:val="24"/>
            </w:rPr>
          </w:pPr>
          <w:hyperlink w:anchor="_Toc212074422" w:history="1">
            <w:r w:rsidRPr="00D34D0F">
              <w:rPr>
                <w:rStyle w:val="Hyperlink"/>
                <w:rFonts w:ascii="Arial" w:hAnsi="Arial" w:cs="Arial"/>
                <w:noProof/>
                <w:sz w:val="24"/>
                <w:szCs w:val="24"/>
              </w:rPr>
              <w:t>2.3 Synthesis and Evaluation</w:t>
            </w:r>
            <w:r w:rsidRPr="00D34D0F">
              <w:rPr>
                <w:rFonts w:ascii="Arial" w:hAnsi="Arial" w:cs="Arial"/>
                <w:noProof/>
                <w:webHidden/>
                <w:sz w:val="24"/>
                <w:szCs w:val="24"/>
              </w:rPr>
              <w:tab/>
            </w:r>
            <w:r w:rsidRPr="00D34D0F">
              <w:rPr>
                <w:rFonts w:ascii="Arial" w:hAnsi="Arial" w:cs="Arial"/>
                <w:noProof/>
                <w:webHidden/>
                <w:sz w:val="24"/>
                <w:szCs w:val="24"/>
              </w:rPr>
              <w:fldChar w:fldCharType="begin"/>
            </w:r>
            <w:r w:rsidRPr="00D34D0F">
              <w:rPr>
                <w:rFonts w:ascii="Arial" w:hAnsi="Arial" w:cs="Arial"/>
                <w:noProof/>
                <w:webHidden/>
                <w:sz w:val="24"/>
                <w:szCs w:val="24"/>
              </w:rPr>
              <w:instrText xml:space="preserve"> PAGEREF _Toc212074422 \h </w:instrText>
            </w:r>
            <w:r w:rsidRPr="00D34D0F">
              <w:rPr>
                <w:rFonts w:ascii="Arial" w:hAnsi="Arial" w:cs="Arial"/>
                <w:noProof/>
                <w:webHidden/>
                <w:sz w:val="24"/>
                <w:szCs w:val="24"/>
              </w:rPr>
            </w:r>
            <w:r w:rsidRPr="00D34D0F">
              <w:rPr>
                <w:rFonts w:ascii="Arial" w:hAnsi="Arial" w:cs="Arial"/>
                <w:noProof/>
                <w:webHidden/>
                <w:sz w:val="24"/>
                <w:szCs w:val="24"/>
              </w:rPr>
              <w:fldChar w:fldCharType="separate"/>
            </w:r>
            <w:r w:rsidRPr="00D34D0F">
              <w:rPr>
                <w:rFonts w:ascii="Arial" w:hAnsi="Arial" w:cs="Arial"/>
                <w:noProof/>
                <w:webHidden/>
                <w:sz w:val="24"/>
                <w:szCs w:val="24"/>
              </w:rPr>
              <w:t>7</w:t>
            </w:r>
            <w:r w:rsidRPr="00D34D0F">
              <w:rPr>
                <w:rFonts w:ascii="Arial" w:hAnsi="Arial" w:cs="Arial"/>
                <w:noProof/>
                <w:webHidden/>
                <w:sz w:val="24"/>
                <w:szCs w:val="24"/>
              </w:rPr>
              <w:fldChar w:fldCharType="end"/>
            </w:r>
          </w:hyperlink>
        </w:p>
        <w:p w14:paraId="693B81FE" w14:textId="175385EE" w:rsidR="00D34D0F" w:rsidRPr="00D34D0F" w:rsidRDefault="00D34D0F" w:rsidP="00D34D0F">
          <w:pPr>
            <w:pStyle w:val="TOC1"/>
            <w:tabs>
              <w:tab w:val="right" w:leader="dot" w:pos="9016"/>
            </w:tabs>
            <w:spacing w:line="360" w:lineRule="auto"/>
            <w:rPr>
              <w:rFonts w:ascii="Arial" w:hAnsi="Arial" w:cs="Arial"/>
              <w:noProof/>
              <w:sz w:val="24"/>
              <w:szCs w:val="24"/>
            </w:rPr>
          </w:pPr>
          <w:hyperlink w:anchor="_Toc212074423" w:history="1">
            <w:r w:rsidRPr="00D34D0F">
              <w:rPr>
                <w:rStyle w:val="Hyperlink"/>
                <w:rFonts w:ascii="Arial" w:hAnsi="Arial" w:cs="Arial"/>
                <w:bCs/>
                <w:noProof/>
                <w:sz w:val="24"/>
                <w:szCs w:val="24"/>
              </w:rPr>
              <w:t>3. Task</w:t>
            </w:r>
            <w:r w:rsidRPr="00D34D0F">
              <w:rPr>
                <w:rStyle w:val="Hyperlink"/>
                <w:rFonts w:ascii="Arial" w:hAnsi="Arial" w:cs="Arial"/>
                <w:noProof/>
                <w:sz w:val="24"/>
                <w:szCs w:val="24"/>
              </w:rPr>
              <w:t xml:space="preserve"> 2 - Strategic Marketing Responses</w:t>
            </w:r>
            <w:r w:rsidRPr="00D34D0F">
              <w:rPr>
                <w:rFonts w:ascii="Arial" w:hAnsi="Arial" w:cs="Arial"/>
                <w:noProof/>
                <w:webHidden/>
                <w:sz w:val="24"/>
                <w:szCs w:val="24"/>
              </w:rPr>
              <w:tab/>
            </w:r>
            <w:r w:rsidRPr="00D34D0F">
              <w:rPr>
                <w:rFonts w:ascii="Arial" w:hAnsi="Arial" w:cs="Arial"/>
                <w:noProof/>
                <w:webHidden/>
                <w:sz w:val="24"/>
                <w:szCs w:val="24"/>
              </w:rPr>
              <w:fldChar w:fldCharType="begin"/>
            </w:r>
            <w:r w:rsidRPr="00D34D0F">
              <w:rPr>
                <w:rFonts w:ascii="Arial" w:hAnsi="Arial" w:cs="Arial"/>
                <w:noProof/>
                <w:webHidden/>
                <w:sz w:val="24"/>
                <w:szCs w:val="24"/>
              </w:rPr>
              <w:instrText xml:space="preserve"> PAGEREF _Toc212074423 \h </w:instrText>
            </w:r>
            <w:r w:rsidRPr="00D34D0F">
              <w:rPr>
                <w:rFonts w:ascii="Arial" w:hAnsi="Arial" w:cs="Arial"/>
                <w:noProof/>
                <w:webHidden/>
                <w:sz w:val="24"/>
                <w:szCs w:val="24"/>
              </w:rPr>
            </w:r>
            <w:r w:rsidRPr="00D34D0F">
              <w:rPr>
                <w:rFonts w:ascii="Arial" w:hAnsi="Arial" w:cs="Arial"/>
                <w:noProof/>
                <w:webHidden/>
                <w:sz w:val="24"/>
                <w:szCs w:val="24"/>
              </w:rPr>
              <w:fldChar w:fldCharType="separate"/>
            </w:r>
            <w:r w:rsidRPr="00D34D0F">
              <w:rPr>
                <w:rFonts w:ascii="Arial" w:hAnsi="Arial" w:cs="Arial"/>
                <w:noProof/>
                <w:webHidden/>
                <w:sz w:val="24"/>
                <w:szCs w:val="24"/>
              </w:rPr>
              <w:t>8</w:t>
            </w:r>
            <w:r w:rsidRPr="00D34D0F">
              <w:rPr>
                <w:rFonts w:ascii="Arial" w:hAnsi="Arial" w:cs="Arial"/>
                <w:noProof/>
                <w:webHidden/>
                <w:sz w:val="24"/>
                <w:szCs w:val="24"/>
              </w:rPr>
              <w:fldChar w:fldCharType="end"/>
            </w:r>
          </w:hyperlink>
        </w:p>
        <w:p w14:paraId="2AF6CD55" w14:textId="5FADEF57" w:rsidR="00D34D0F" w:rsidRPr="00D34D0F" w:rsidRDefault="00D34D0F" w:rsidP="00D34D0F">
          <w:pPr>
            <w:pStyle w:val="TOC2"/>
            <w:tabs>
              <w:tab w:val="right" w:leader="dot" w:pos="9016"/>
            </w:tabs>
            <w:spacing w:line="360" w:lineRule="auto"/>
            <w:rPr>
              <w:rFonts w:ascii="Arial" w:hAnsi="Arial" w:cs="Arial"/>
              <w:noProof/>
              <w:sz w:val="24"/>
              <w:szCs w:val="24"/>
            </w:rPr>
          </w:pPr>
          <w:hyperlink w:anchor="_Toc212074424" w:history="1">
            <w:r w:rsidRPr="00D34D0F">
              <w:rPr>
                <w:rStyle w:val="Hyperlink"/>
                <w:rFonts w:ascii="Arial" w:hAnsi="Arial" w:cs="Arial"/>
                <w:noProof/>
                <w:sz w:val="24"/>
                <w:szCs w:val="24"/>
              </w:rPr>
              <w:t>3.1 Strategic Overview</w:t>
            </w:r>
            <w:r w:rsidRPr="00D34D0F">
              <w:rPr>
                <w:rFonts w:ascii="Arial" w:hAnsi="Arial" w:cs="Arial"/>
                <w:noProof/>
                <w:webHidden/>
                <w:sz w:val="24"/>
                <w:szCs w:val="24"/>
              </w:rPr>
              <w:tab/>
            </w:r>
            <w:r w:rsidRPr="00D34D0F">
              <w:rPr>
                <w:rFonts w:ascii="Arial" w:hAnsi="Arial" w:cs="Arial"/>
                <w:noProof/>
                <w:webHidden/>
                <w:sz w:val="24"/>
                <w:szCs w:val="24"/>
              </w:rPr>
              <w:fldChar w:fldCharType="begin"/>
            </w:r>
            <w:r w:rsidRPr="00D34D0F">
              <w:rPr>
                <w:rFonts w:ascii="Arial" w:hAnsi="Arial" w:cs="Arial"/>
                <w:noProof/>
                <w:webHidden/>
                <w:sz w:val="24"/>
                <w:szCs w:val="24"/>
              </w:rPr>
              <w:instrText xml:space="preserve"> PAGEREF _Toc212074424 \h </w:instrText>
            </w:r>
            <w:r w:rsidRPr="00D34D0F">
              <w:rPr>
                <w:rFonts w:ascii="Arial" w:hAnsi="Arial" w:cs="Arial"/>
                <w:noProof/>
                <w:webHidden/>
                <w:sz w:val="24"/>
                <w:szCs w:val="24"/>
              </w:rPr>
            </w:r>
            <w:r w:rsidRPr="00D34D0F">
              <w:rPr>
                <w:rFonts w:ascii="Arial" w:hAnsi="Arial" w:cs="Arial"/>
                <w:noProof/>
                <w:webHidden/>
                <w:sz w:val="24"/>
                <w:szCs w:val="24"/>
              </w:rPr>
              <w:fldChar w:fldCharType="separate"/>
            </w:r>
            <w:r w:rsidRPr="00D34D0F">
              <w:rPr>
                <w:rFonts w:ascii="Arial" w:hAnsi="Arial" w:cs="Arial"/>
                <w:noProof/>
                <w:webHidden/>
                <w:sz w:val="24"/>
                <w:szCs w:val="24"/>
              </w:rPr>
              <w:t>8</w:t>
            </w:r>
            <w:r w:rsidRPr="00D34D0F">
              <w:rPr>
                <w:rFonts w:ascii="Arial" w:hAnsi="Arial" w:cs="Arial"/>
                <w:noProof/>
                <w:webHidden/>
                <w:sz w:val="24"/>
                <w:szCs w:val="24"/>
              </w:rPr>
              <w:fldChar w:fldCharType="end"/>
            </w:r>
          </w:hyperlink>
        </w:p>
        <w:p w14:paraId="59300A79" w14:textId="25D07E5D" w:rsidR="00D34D0F" w:rsidRPr="00D34D0F" w:rsidRDefault="00D34D0F" w:rsidP="00D34D0F">
          <w:pPr>
            <w:pStyle w:val="TOC2"/>
            <w:tabs>
              <w:tab w:val="right" w:leader="dot" w:pos="9016"/>
            </w:tabs>
            <w:spacing w:line="360" w:lineRule="auto"/>
            <w:rPr>
              <w:rFonts w:ascii="Arial" w:hAnsi="Arial" w:cs="Arial"/>
              <w:noProof/>
              <w:sz w:val="24"/>
              <w:szCs w:val="24"/>
            </w:rPr>
          </w:pPr>
          <w:hyperlink w:anchor="_Toc212074425" w:history="1">
            <w:r w:rsidRPr="00D34D0F">
              <w:rPr>
                <w:rStyle w:val="Hyperlink"/>
                <w:rFonts w:ascii="Arial" w:hAnsi="Arial" w:cs="Arial"/>
                <w:noProof/>
                <w:sz w:val="24"/>
                <w:szCs w:val="24"/>
              </w:rPr>
              <w:t>3.2 STP Framework Analysis</w:t>
            </w:r>
            <w:r w:rsidRPr="00D34D0F">
              <w:rPr>
                <w:rFonts w:ascii="Arial" w:hAnsi="Arial" w:cs="Arial"/>
                <w:noProof/>
                <w:webHidden/>
                <w:sz w:val="24"/>
                <w:szCs w:val="24"/>
              </w:rPr>
              <w:tab/>
            </w:r>
            <w:r w:rsidRPr="00D34D0F">
              <w:rPr>
                <w:rFonts w:ascii="Arial" w:hAnsi="Arial" w:cs="Arial"/>
                <w:noProof/>
                <w:webHidden/>
                <w:sz w:val="24"/>
                <w:szCs w:val="24"/>
              </w:rPr>
              <w:fldChar w:fldCharType="begin"/>
            </w:r>
            <w:r w:rsidRPr="00D34D0F">
              <w:rPr>
                <w:rFonts w:ascii="Arial" w:hAnsi="Arial" w:cs="Arial"/>
                <w:noProof/>
                <w:webHidden/>
                <w:sz w:val="24"/>
                <w:szCs w:val="24"/>
              </w:rPr>
              <w:instrText xml:space="preserve"> PAGEREF _Toc212074425 \h </w:instrText>
            </w:r>
            <w:r w:rsidRPr="00D34D0F">
              <w:rPr>
                <w:rFonts w:ascii="Arial" w:hAnsi="Arial" w:cs="Arial"/>
                <w:noProof/>
                <w:webHidden/>
                <w:sz w:val="24"/>
                <w:szCs w:val="24"/>
              </w:rPr>
            </w:r>
            <w:r w:rsidRPr="00D34D0F">
              <w:rPr>
                <w:rFonts w:ascii="Arial" w:hAnsi="Arial" w:cs="Arial"/>
                <w:noProof/>
                <w:webHidden/>
                <w:sz w:val="24"/>
                <w:szCs w:val="24"/>
              </w:rPr>
              <w:fldChar w:fldCharType="separate"/>
            </w:r>
            <w:r w:rsidRPr="00D34D0F">
              <w:rPr>
                <w:rFonts w:ascii="Arial" w:hAnsi="Arial" w:cs="Arial"/>
                <w:noProof/>
                <w:webHidden/>
                <w:sz w:val="24"/>
                <w:szCs w:val="24"/>
              </w:rPr>
              <w:t>8</w:t>
            </w:r>
            <w:r w:rsidRPr="00D34D0F">
              <w:rPr>
                <w:rFonts w:ascii="Arial" w:hAnsi="Arial" w:cs="Arial"/>
                <w:noProof/>
                <w:webHidden/>
                <w:sz w:val="24"/>
                <w:szCs w:val="24"/>
              </w:rPr>
              <w:fldChar w:fldCharType="end"/>
            </w:r>
          </w:hyperlink>
        </w:p>
        <w:p w14:paraId="230EA092" w14:textId="09FF2660" w:rsidR="00D34D0F" w:rsidRPr="00D34D0F" w:rsidRDefault="00D34D0F" w:rsidP="00D34D0F">
          <w:pPr>
            <w:pStyle w:val="TOC2"/>
            <w:tabs>
              <w:tab w:val="right" w:leader="dot" w:pos="9016"/>
            </w:tabs>
            <w:spacing w:line="360" w:lineRule="auto"/>
            <w:rPr>
              <w:rFonts w:ascii="Arial" w:hAnsi="Arial" w:cs="Arial"/>
              <w:noProof/>
              <w:sz w:val="24"/>
              <w:szCs w:val="24"/>
            </w:rPr>
          </w:pPr>
          <w:hyperlink w:anchor="_Toc212074426" w:history="1">
            <w:r w:rsidRPr="00D34D0F">
              <w:rPr>
                <w:rStyle w:val="Hyperlink"/>
                <w:rFonts w:ascii="Arial" w:hAnsi="Arial" w:cs="Arial"/>
                <w:noProof/>
                <w:sz w:val="24"/>
                <w:szCs w:val="24"/>
              </w:rPr>
              <w:t>3.3 Marketing Mix (7Ps) Responses</w:t>
            </w:r>
            <w:r w:rsidRPr="00D34D0F">
              <w:rPr>
                <w:rFonts w:ascii="Arial" w:hAnsi="Arial" w:cs="Arial"/>
                <w:noProof/>
                <w:webHidden/>
                <w:sz w:val="24"/>
                <w:szCs w:val="24"/>
              </w:rPr>
              <w:tab/>
            </w:r>
            <w:r w:rsidRPr="00D34D0F">
              <w:rPr>
                <w:rFonts w:ascii="Arial" w:hAnsi="Arial" w:cs="Arial"/>
                <w:noProof/>
                <w:webHidden/>
                <w:sz w:val="24"/>
                <w:szCs w:val="24"/>
              </w:rPr>
              <w:fldChar w:fldCharType="begin"/>
            </w:r>
            <w:r w:rsidRPr="00D34D0F">
              <w:rPr>
                <w:rFonts w:ascii="Arial" w:hAnsi="Arial" w:cs="Arial"/>
                <w:noProof/>
                <w:webHidden/>
                <w:sz w:val="24"/>
                <w:szCs w:val="24"/>
              </w:rPr>
              <w:instrText xml:space="preserve"> PAGEREF _Toc212074426 \h </w:instrText>
            </w:r>
            <w:r w:rsidRPr="00D34D0F">
              <w:rPr>
                <w:rFonts w:ascii="Arial" w:hAnsi="Arial" w:cs="Arial"/>
                <w:noProof/>
                <w:webHidden/>
                <w:sz w:val="24"/>
                <w:szCs w:val="24"/>
              </w:rPr>
            </w:r>
            <w:r w:rsidRPr="00D34D0F">
              <w:rPr>
                <w:rFonts w:ascii="Arial" w:hAnsi="Arial" w:cs="Arial"/>
                <w:noProof/>
                <w:webHidden/>
                <w:sz w:val="24"/>
                <w:szCs w:val="24"/>
              </w:rPr>
              <w:fldChar w:fldCharType="separate"/>
            </w:r>
            <w:r w:rsidRPr="00D34D0F">
              <w:rPr>
                <w:rFonts w:ascii="Arial" w:hAnsi="Arial" w:cs="Arial"/>
                <w:noProof/>
                <w:webHidden/>
                <w:sz w:val="24"/>
                <w:szCs w:val="24"/>
              </w:rPr>
              <w:t>10</w:t>
            </w:r>
            <w:r w:rsidRPr="00D34D0F">
              <w:rPr>
                <w:rFonts w:ascii="Arial" w:hAnsi="Arial" w:cs="Arial"/>
                <w:noProof/>
                <w:webHidden/>
                <w:sz w:val="24"/>
                <w:szCs w:val="24"/>
              </w:rPr>
              <w:fldChar w:fldCharType="end"/>
            </w:r>
          </w:hyperlink>
        </w:p>
        <w:p w14:paraId="0332C800" w14:textId="0AC92BAF" w:rsidR="00D34D0F" w:rsidRPr="00D34D0F" w:rsidRDefault="00D34D0F" w:rsidP="00D34D0F">
          <w:pPr>
            <w:pStyle w:val="TOC1"/>
            <w:tabs>
              <w:tab w:val="right" w:leader="dot" w:pos="9016"/>
            </w:tabs>
            <w:spacing w:line="360" w:lineRule="auto"/>
            <w:rPr>
              <w:rFonts w:ascii="Arial" w:hAnsi="Arial" w:cs="Arial"/>
              <w:noProof/>
              <w:sz w:val="24"/>
              <w:szCs w:val="24"/>
            </w:rPr>
          </w:pPr>
          <w:hyperlink w:anchor="_Toc212074427" w:history="1">
            <w:r w:rsidRPr="00D34D0F">
              <w:rPr>
                <w:rStyle w:val="Hyperlink"/>
                <w:rFonts w:ascii="Arial" w:hAnsi="Arial" w:cs="Arial"/>
                <w:bCs/>
                <w:noProof/>
                <w:sz w:val="24"/>
                <w:szCs w:val="24"/>
              </w:rPr>
              <w:t>4. Conclusion</w:t>
            </w:r>
            <w:r w:rsidRPr="00D34D0F">
              <w:rPr>
                <w:rFonts w:ascii="Arial" w:hAnsi="Arial" w:cs="Arial"/>
                <w:noProof/>
                <w:webHidden/>
                <w:sz w:val="24"/>
                <w:szCs w:val="24"/>
              </w:rPr>
              <w:tab/>
            </w:r>
            <w:r w:rsidRPr="00D34D0F">
              <w:rPr>
                <w:rFonts w:ascii="Arial" w:hAnsi="Arial" w:cs="Arial"/>
                <w:noProof/>
                <w:webHidden/>
                <w:sz w:val="24"/>
                <w:szCs w:val="24"/>
              </w:rPr>
              <w:fldChar w:fldCharType="begin"/>
            </w:r>
            <w:r w:rsidRPr="00D34D0F">
              <w:rPr>
                <w:rFonts w:ascii="Arial" w:hAnsi="Arial" w:cs="Arial"/>
                <w:noProof/>
                <w:webHidden/>
                <w:sz w:val="24"/>
                <w:szCs w:val="24"/>
              </w:rPr>
              <w:instrText xml:space="preserve"> PAGEREF _Toc212074427 \h </w:instrText>
            </w:r>
            <w:r w:rsidRPr="00D34D0F">
              <w:rPr>
                <w:rFonts w:ascii="Arial" w:hAnsi="Arial" w:cs="Arial"/>
                <w:noProof/>
                <w:webHidden/>
                <w:sz w:val="24"/>
                <w:szCs w:val="24"/>
              </w:rPr>
            </w:r>
            <w:r w:rsidRPr="00D34D0F">
              <w:rPr>
                <w:rFonts w:ascii="Arial" w:hAnsi="Arial" w:cs="Arial"/>
                <w:noProof/>
                <w:webHidden/>
                <w:sz w:val="24"/>
                <w:szCs w:val="24"/>
              </w:rPr>
              <w:fldChar w:fldCharType="separate"/>
            </w:r>
            <w:r w:rsidRPr="00D34D0F">
              <w:rPr>
                <w:rFonts w:ascii="Arial" w:hAnsi="Arial" w:cs="Arial"/>
                <w:noProof/>
                <w:webHidden/>
                <w:sz w:val="24"/>
                <w:szCs w:val="24"/>
              </w:rPr>
              <w:t>12</w:t>
            </w:r>
            <w:r w:rsidRPr="00D34D0F">
              <w:rPr>
                <w:rFonts w:ascii="Arial" w:hAnsi="Arial" w:cs="Arial"/>
                <w:noProof/>
                <w:webHidden/>
                <w:sz w:val="24"/>
                <w:szCs w:val="24"/>
              </w:rPr>
              <w:fldChar w:fldCharType="end"/>
            </w:r>
          </w:hyperlink>
        </w:p>
        <w:p w14:paraId="4E2F5C00" w14:textId="4F7A72C2" w:rsidR="00D34D0F" w:rsidRPr="00D34D0F" w:rsidRDefault="00D34D0F" w:rsidP="00D34D0F">
          <w:pPr>
            <w:pStyle w:val="TOC1"/>
            <w:tabs>
              <w:tab w:val="right" w:leader="dot" w:pos="9016"/>
            </w:tabs>
            <w:spacing w:line="360" w:lineRule="auto"/>
            <w:rPr>
              <w:rFonts w:ascii="Arial" w:hAnsi="Arial" w:cs="Arial"/>
              <w:noProof/>
              <w:sz w:val="24"/>
              <w:szCs w:val="24"/>
            </w:rPr>
          </w:pPr>
          <w:hyperlink w:anchor="_Toc212074428" w:history="1">
            <w:r w:rsidRPr="00D34D0F">
              <w:rPr>
                <w:rStyle w:val="Hyperlink"/>
                <w:rFonts w:ascii="Arial" w:hAnsi="Arial" w:cs="Arial"/>
                <w:noProof/>
                <w:sz w:val="24"/>
                <w:szCs w:val="24"/>
              </w:rPr>
              <w:t>5. References</w:t>
            </w:r>
            <w:r w:rsidRPr="00D34D0F">
              <w:rPr>
                <w:rFonts w:ascii="Arial" w:hAnsi="Arial" w:cs="Arial"/>
                <w:noProof/>
                <w:webHidden/>
                <w:sz w:val="24"/>
                <w:szCs w:val="24"/>
              </w:rPr>
              <w:tab/>
            </w:r>
            <w:r w:rsidRPr="00D34D0F">
              <w:rPr>
                <w:rFonts w:ascii="Arial" w:hAnsi="Arial" w:cs="Arial"/>
                <w:noProof/>
                <w:webHidden/>
                <w:sz w:val="24"/>
                <w:szCs w:val="24"/>
              </w:rPr>
              <w:fldChar w:fldCharType="begin"/>
            </w:r>
            <w:r w:rsidRPr="00D34D0F">
              <w:rPr>
                <w:rFonts w:ascii="Arial" w:hAnsi="Arial" w:cs="Arial"/>
                <w:noProof/>
                <w:webHidden/>
                <w:sz w:val="24"/>
                <w:szCs w:val="24"/>
              </w:rPr>
              <w:instrText xml:space="preserve"> PAGEREF _Toc212074428 \h </w:instrText>
            </w:r>
            <w:r w:rsidRPr="00D34D0F">
              <w:rPr>
                <w:rFonts w:ascii="Arial" w:hAnsi="Arial" w:cs="Arial"/>
                <w:noProof/>
                <w:webHidden/>
                <w:sz w:val="24"/>
                <w:szCs w:val="24"/>
              </w:rPr>
            </w:r>
            <w:r w:rsidRPr="00D34D0F">
              <w:rPr>
                <w:rFonts w:ascii="Arial" w:hAnsi="Arial" w:cs="Arial"/>
                <w:noProof/>
                <w:webHidden/>
                <w:sz w:val="24"/>
                <w:szCs w:val="24"/>
              </w:rPr>
              <w:fldChar w:fldCharType="separate"/>
            </w:r>
            <w:r w:rsidRPr="00D34D0F">
              <w:rPr>
                <w:rFonts w:ascii="Arial" w:hAnsi="Arial" w:cs="Arial"/>
                <w:noProof/>
                <w:webHidden/>
                <w:sz w:val="24"/>
                <w:szCs w:val="24"/>
              </w:rPr>
              <w:t>13</w:t>
            </w:r>
            <w:r w:rsidRPr="00D34D0F">
              <w:rPr>
                <w:rFonts w:ascii="Arial" w:hAnsi="Arial" w:cs="Arial"/>
                <w:noProof/>
                <w:webHidden/>
                <w:sz w:val="24"/>
                <w:szCs w:val="24"/>
              </w:rPr>
              <w:fldChar w:fldCharType="end"/>
            </w:r>
          </w:hyperlink>
        </w:p>
        <w:p w14:paraId="109F6D3C" w14:textId="27915F9C" w:rsidR="00D34D0F" w:rsidRDefault="00D34D0F" w:rsidP="00D34D0F">
          <w:pPr>
            <w:spacing w:line="360" w:lineRule="auto"/>
          </w:pPr>
          <w:r w:rsidRPr="00D34D0F">
            <w:rPr>
              <w:rFonts w:ascii="Arial" w:hAnsi="Arial" w:cs="Arial"/>
              <w:b/>
              <w:bCs/>
              <w:noProof/>
              <w:sz w:val="24"/>
              <w:szCs w:val="24"/>
            </w:rPr>
            <w:fldChar w:fldCharType="end"/>
          </w:r>
        </w:p>
      </w:sdtContent>
    </w:sdt>
    <w:p w14:paraId="11C67FC8" w14:textId="77777777" w:rsidR="00D34D0F" w:rsidRDefault="00D34D0F" w:rsidP="0069189A">
      <w:pPr>
        <w:spacing w:line="360" w:lineRule="auto"/>
        <w:jc w:val="both"/>
        <w:rPr>
          <w:rFonts w:ascii="Arial" w:hAnsi="Arial" w:cs="Arial"/>
          <w:sz w:val="24"/>
          <w:szCs w:val="24"/>
        </w:rPr>
      </w:pPr>
    </w:p>
    <w:p w14:paraId="0FDCA6DB" w14:textId="77777777" w:rsidR="00D34D0F" w:rsidRDefault="00D34D0F" w:rsidP="0069189A">
      <w:pPr>
        <w:spacing w:line="360" w:lineRule="auto"/>
        <w:jc w:val="both"/>
        <w:rPr>
          <w:rFonts w:ascii="Arial" w:hAnsi="Arial" w:cs="Arial"/>
          <w:sz w:val="24"/>
          <w:szCs w:val="24"/>
        </w:rPr>
      </w:pPr>
    </w:p>
    <w:p w14:paraId="720207DA" w14:textId="77777777" w:rsidR="00D34D0F" w:rsidRDefault="00D34D0F" w:rsidP="0069189A">
      <w:pPr>
        <w:spacing w:line="360" w:lineRule="auto"/>
        <w:jc w:val="both"/>
        <w:rPr>
          <w:rFonts w:ascii="Arial" w:hAnsi="Arial" w:cs="Arial"/>
          <w:sz w:val="24"/>
          <w:szCs w:val="24"/>
        </w:rPr>
      </w:pPr>
    </w:p>
    <w:p w14:paraId="7B98D2AA" w14:textId="77777777" w:rsidR="00D34D0F" w:rsidRDefault="00D34D0F" w:rsidP="0069189A">
      <w:pPr>
        <w:spacing w:line="360" w:lineRule="auto"/>
        <w:jc w:val="both"/>
        <w:rPr>
          <w:rFonts w:ascii="Arial" w:hAnsi="Arial" w:cs="Arial"/>
          <w:sz w:val="24"/>
          <w:szCs w:val="24"/>
        </w:rPr>
      </w:pPr>
    </w:p>
    <w:p w14:paraId="382BBD15" w14:textId="77777777" w:rsidR="00D34D0F" w:rsidRDefault="00D34D0F" w:rsidP="0069189A">
      <w:pPr>
        <w:spacing w:line="360" w:lineRule="auto"/>
        <w:jc w:val="both"/>
        <w:rPr>
          <w:rFonts w:ascii="Arial" w:hAnsi="Arial" w:cs="Arial"/>
          <w:sz w:val="24"/>
          <w:szCs w:val="24"/>
        </w:rPr>
      </w:pPr>
    </w:p>
    <w:p w14:paraId="34029F4C" w14:textId="77777777" w:rsidR="00D34D0F" w:rsidRDefault="00D34D0F" w:rsidP="0069189A">
      <w:pPr>
        <w:spacing w:line="360" w:lineRule="auto"/>
        <w:jc w:val="both"/>
        <w:rPr>
          <w:rFonts w:ascii="Arial" w:hAnsi="Arial" w:cs="Arial"/>
          <w:sz w:val="24"/>
          <w:szCs w:val="24"/>
        </w:rPr>
      </w:pPr>
    </w:p>
    <w:p w14:paraId="71D97F8B" w14:textId="77777777" w:rsidR="00D34D0F" w:rsidRDefault="00D34D0F" w:rsidP="0069189A">
      <w:pPr>
        <w:spacing w:line="360" w:lineRule="auto"/>
        <w:jc w:val="both"/>
        <w:rPr>
          <w:rFonts w:ascii="Arial" w:hAnsi="Arial" w:cs="Arial"/>
          <w:sz w:val="24"/>
          <w:szCs w:val="24"/>
        </w:rPr>
      </w:pPr>
    </w:p>
    <w:p w14:paraId="329409CF" w14:textId="77777777" w:rsidR="00D34D0F" w:rsidRDefault="00D34D0F" w:rsidP="0069189A">
      <w:pPr>
        <w:spacing w:line="360" w:lineRule="auto"/>
        <w:jc w:val="both"/>
        <w:rPr>
          <w:rFonts w:ascii="Arial" w:hAnsi="Arial" w:cs="Arial"/>
          <w:sz w:val="24"/>
          <w:szCs w:val="24"/>
        </w:rPr>
      </w:pPr>
    </w:p>
    <w:p w14:paraId="32CD9E44" w14:textId="77777777" w:rsidR="00D34D0F" w:rsidRDefault="00D34D0F" w:rsidP="0069189A">
      <w:pPr>
        <w:spacing w:line="360" w:lineRule="auto"/>
        <w:jc w:val="both"/>
        <w:rPr>
          <w:rFonts w:ascii="Arial" w:hAnsi="Arial" w:cs="Arial"/>
          <w:sz w:val="24"/>
          <w:szCs w:val="24"/>
        </w:rPr>
      </w:pPr>
    </w:p>
    <w:p w14:paraId="2E9733E2" w14:textId="77777777" w:rsidR="00D34D0F" w:rsidRDefault="00D34D0F" w:rsidP="0069189A">
      <w:pPr>
        <w:spacing w:line="360" w:lineRule="auto"/>
        <w:jc w:val="both"/>
        <w:rPr>
          <w:rFonts w:ascii="Arial" w:hAnsi="Arial" w:cs="Arial"/>
          <w:sz w:val="24"/>
          <w:szCs w:val="24"/>
        </w:rPr>
      </w:pPr>
    </w:p>
    <w:p w14:paraId="2CB734F7" w14:textId="77777777" w:rsidR="00D34D0F" w:rsidRDefault="00D34D0F" w:rsidP="0069189A">
      <w:pPr>
        <w:spacing w:line="360" w:lineRule="auto"/>
        <w:jc w:val="both"/>
        <w:rPr>
          <w:rFonts w:ascii="Arial" w:hAnsi="Arial" w:cs="Arial"/>
          <w:sz w:val="24"/>
          <w:szCs w:val="24"/>
        </w:rPr>
      </w:pPr>
    </w:p>
    <w:p w14:paraId="55A736AF" w14:textId="79AE3F16" w:rsidR="00A0307C" w:rsidRPr="0069189A" w:rsidRDefault="00A77AC5" w:rsidP="0069189A">
      <w:pPr>
        <w:spacing w:line="360" w:lineRule="auto"/>
        <w:jc w:val="both"/>
        <w:rPr>
          <w:rFonts w:ascii="Arial" w:hAnsi="Arial" w:cs="Arial"/>
          <w:sz w:val="24"/>
          <w:szCs w:val="24"/>
        </w:rPr>
      </w:pPr>
      <w:r w:rsidRPr="0069189A">
        <w:rPr>
          <w:rFonts w:ascii="Arial" w:hAnsi="Arial" w:cs="Arial"/>
          <w:sz w:val="24"/>
          <w:szCs w:val="24"/>
        </w:rPr>
        <w:lastRenderedPageBreak/>
        <w:t>The energy industry of the UK is undergoing a very fast change through technological innovation, environmental policy as well as the changing consumer expectations. To comply with the Net Zero 2050 goal, businesses are reshaping their marketing strategies to make them more sustainable and digital (Department for Energy Security and Net Zero, 2024). An example of ground breakers is now Octopus Energy; the company resorts to artificial intelligence (AI) through its Kraken platform to enhance efficiency and customer interactions (</w:t>
      </w:r>
      <w:proofErr w:type="spellStart"/>
      <w:r w:rsidRPr="0069189A">
        <w:rPr>
          <w:rFonts w:ascii="Arial" w:hAnsi="Arial" w:cs="Arial"/>
          <w:sz w:val="24"/>
          <w:szCs w:val="24"/>
        </w:rPr>
        <w:t>techUK</w:t>
      </w:r>
      <w:proofErr w:type="spellEnd"/>
      <w:r w:rsidRPr="0069189A">
        <w:rPr>
          <w:rFonts w:ascii="Arial" w:hAnsi="Arial" w:cs="Arial"/>
          <w:sz w:val="24"/>
          <w:szCs w:val="24"/>
        </w:rPr>
        <w:t xml:space="preserve">, 2024). By contrast, British Gas, which is a subsidiary of Centrica plc, is a conventional market leader changing via digital modernisation and green marketing (Centrica plc, 2025). This report is a critical analysis of how technological and environmental macro factors are an opportunity as well as a challenge to these firms. </w:t>
      </w:r>
    </w:p>
    <w:p w14:paraId="2812CF55" w14:textId="2CFC0F56" w:rsidR="00A0307C" w:rsidRPr="00A0307C" w:rsidRDefault="00A77AC5" w:rsidP="00DD5F17">
      <w:pPr>
        <w:pStyle w:val="Heading1"/>
      </w:pPr>
      <w:bookmarkStart w:id="0" w:name="_Toc212074418"/>
      <w:r w:rsidRPr="004D1F45">
        <w:rPr>
          <w:bCs/>
        </w:rPr>
        <w:t>1</w:t>
      </w:r>
      <w:r w:rsidR="00A0307C" w:rsidRPr="004D1F45">
        <w:rPr>
          <w:bCs/>
        </w:rPr>
        <w:t>. C</w:t>
      </w:r>
      <w:r w:rsidR="00A0307C" w:rsidRPr="00A0307C">
        <w:t>ompany Overview</w:t>
      </w:r>
      <w:bookmarkEnd w:id="0"/>
    </w:p>
    <w:p w14:paraId="1B63710D" w14:textId="77777777" w:rsidR="00A77AC5" w:rsidRPr="0069189A" w:rsidRDefault="00A77AC5" w:rsidP="0069189A">
      <w:pPr>
        <w:spacing w:line="360" w:lineRule="auto"/>
        <w:jc w:val="both"/>
        <w:rPr>
          <w:rFonts w:ascii="Arial" w:hAnsi="Arial" w:cs="Arial"/>
          <w:sz w:val="24"/>
          <w:szCs w:val="24"/>
        </w:rPr>
      </w:pPr>
      <w:r w:rsidRPr="0069189A">
        <w:rPr>
          <w:rFonts w:ascii="Arial" w:hAnsi="Arial" w:cs="Arial"/>
          <w:sz w:val="24"/>
          <w:szCs w:val="24"/>
        </w:rPr>
        <w:t>British Gas and Octopus Energy are two market giants in the UK energy market, which are in opposite strategic positions. Established in 2016, Octopus Energy is rated as the disruptor in the traditional models of the renewable energy industry by adopting 100 per cent green electricity and using the data to drive customer innovation (Octopus Energy Group Ltd, 2023). The Kraken Technology Platform created by the company uses artificial intelligence (AI) and predictive analytics to streamline supply, price, and customer interaction and was named one of the fastest-growing private companies in the UK (</w:t>
      </w:r>
      <w:proofErr w:type="spellStart"/>
      <w:r w:rsidRPr="0069189A">
        <w:rPr>
          <w:rFonts w:ascii="Arial" w:hAnsi="Arial" w:cs="Arial"/>
          <w:sz w:val="24"/>
          <w:szCs w:val="24"/>
        </w:rPr>
        <w:t>techUK</w:t>
      </w:r>
      <w:proofErr w:type="spellEnd"/>
      <w:r w:rsidRPr="0069189A">
        <w:rPr>
          <w:rFonts w:ascii="Arial" w:hAnsi="Arial" w:cs="Arial"/>
          <w:sz w:val="24"/>
          <w:szCs w:val="24"/>
        </w:rPr>
        <w:t xml:space="preserve">, 2024). The ease and place customer focus has made it so far that it has gone global, and it has grown the renewable generation capacity </w:t>
      </w:r>
      <w:proofErr w:type="spellStart"/>
      <w:r w:rsidRPr="0069189A">
        <w:rPr>
          <w:rFonts w:ascii="Arial" w:hAnsi="Arial" w:cs="Arial"/>
          <w:sz w:val="24"/>
          <w:szCs w:val="24"/>
        </w:rPr>
        <w:t>capacity</w:t>
      </w:r>
      <w:proofErr w:type="spellEnd"/>
      <w:r w:rsidRPr="0069189A">
        <w:rPr>
          <w:rFonts w:ascii="Arial" w:hAnsi="Arial" w:cs="Arial"/>
          <w:sz w:val="24"/>
          <w:szCs w:val="24"/>
        </w:rPr>
        <w:t xml:space="preserve"> to fit its brand with the aims of Net Zero 2050 in the UK (Department for Energy Security and Net Zero, 2024).</w:t>
      </w:r>
    </w:p>
    <w:p w14:paraId="4389F2B2" w14:textId="7A480F52" w:rsidR="00A0307C" w:rsidRPr="0069189A" w:rsidRDefault="00A77AC5" w:rsidP="0069189A">
      <w:pPr>
        <w:spacing w:line="360" w:lineRule="auto"/>
        <w:jc w:val="both"/>
        <w:rPr>
          <w:rFonts w:ascii="Arial" w:hAnsi="Arial" w:cs="Arial"/>
          <w:sz w:val="24"/>
          <w:szCs w:val="24"/>
        </w:rPr>
      </w:pPr>
      <w:r w:rsidRPr="0069189A">
        <w:rPr>
          <w:rFonts w:ascii="Arial" w:hAnsi="Arial" w:cs="Arial"/>
          <w:sz w:val="24"/>
          <w:szCs w:val="24"/>
        </w:rPr>
        <w:t>On the other hand, British Gas as a subsidiary of Centrica plc is a long-standing energy provider in the UK and largest in the country. Regardless of a huge number of customers and a good brand equity, it is often seen as a trail-blazer in the process of digitalisation and green energy innovation (Centrica plc, 2025). Over the past few years, British Gas has been working on restructuring its business, investing in smart home, like Hive Energy Management, and rebranding its services to emphasize sustainability (</w:t>
      </w:r>
      <w:proofErr w:type="spellStart"/>
      <w:r w:rsidRPr="0069189A">
        <w:rPr>
          <w:rFonts w:ascii="Arial" w:hAnsi="Arial" w:cs="Arial"/>
          <w:sz w:val="24"/>
          <w:szCs w:val="24"/>
        </w:rPr>
        <w:t>Makortoff</w:t>
      </w:r>
      <w:proofErr w:type="spellEnd"/>
      <w:r w:rsidRPr="0069189A">
        <w:rPr>
          <w:rFonts w:ascii="Arial" w:hAnsi="Arial" w:cs="Arial"/>
          <w:sz w:val="24"/>
          <w:szCs w:val="24"/>
        </w:rPr>
        <w:t>, 2024). Nevertheless, its age-old infrastructure and regulatory difference still inhibit flexibility at the same level as Octopus of digital-first (Ofgem, 2025).</w:t>
      </w:r>
    </w:p>
    <w:p w14:paraId="7FAD7F15" w14:textId="41FD2B00" w:rsidR="00A0307C" w:rsidRPr="0069189A" w:rsidRDefault="00A77AC5" w:rsidP="00DD5F17">
      <w:pPr>
        <w:pStyle w:val="Heading1"/>
      </w:pPr>
      <w:bookmarkStart w:id="1" w:name="_Toc212074419"/>
      <w:r w:rsidRPr="0069189A">
        <w:t>2</w:t>
      </w:r>
      <w:r w:rsidR="00A0307C" w:rsidRPr="0069189A">
        <w:t xml:space="preserve">. Task 1 </w:t>
      </w:r>
      <w:r w:rsidR="00DD5F17">
        <w:t>-</w:t>
      </w:r>
      <w:r w:rsidR="00A0307C" w:rsidRPr="0069189A">
        <w:t xml:space="preserve"> Macro Marketing Environment Analysis</w:t>
      </w:r>
      <w:bookmarkEnd w:id="1"/>
    </w:p>
    <w:p w14:paraId="607172AA" w14:textId="2362F124" w:rsidR="00A77AC5" w:rsidRPr="00A77AC5" w:rsidRDefault="00A77AC5" w:rsidP="0069189A">
      <w:pPr>
        <w:spacing w:line="360" w:lineRule="auto"/>
        <w:jc w:val="both"/>
        <w:rPr>
          <w:rFonts w:ascii="Arial" w:hAnsi="Arial" w:cs="Arial"/>
          <w:sz w:val="24"/>
          <w:szCs w:val="24"/>
        </w:rPr>
      </w:pPr>
      <w:r w:rsidRPr="00A77AC5">
        <w:rPr>
          <w:rFonts w:ascii="Arial" w:hAnsi="Arial" w:cs="Arial"/>
          <w:sz w:val="24"/>
          <w:szCs w:val="24"/>
        </w:rPr>
        <w:t xml:space="preserve">Strategic marketing management must entail a systematic study of the macro marketing environment whereby it helps firms predict and react strategically to the external changes that influence competitiveness and market behaviour. In the case of organisations dealing in the energy sector in the UK, like Octopus Energy, and British Gas two macro-environmental forces: technological force and environmental force are especially relevant to market dynamics, consumer preferences, and strategic direction </w:t>
      </w:r>
      <w:proofErr w:type="spellStart"/>
      <w:r w:rsidRPr="00A77AC5">
        <w:rPr>
          <w:rFonts w:ascii="Arial" w:hAnsi="Arial" w:cs="Arial"/>
          <w:sz w:val="24"/>
          <w:szCs w:val="24"/>
        </w:rPr>
        <w:t>redefinements</w:t>
      </w:r>
      <w:proofErr w:type="spellEnd"/>
      <w:r w:rsidRPr="00A77AC5">
        <w:rPr>
          <w:rFonts w:ascii="Arial" w:hAnsi="Arial" w:cs="Arial"/>
          <w:sz w:val="24"/>
          <w:szCs w:val="24"/>
        </w:rPr>
        <w:t xml:space="preserve">. </w:t>
      </w:r>
    </w:p>
    <w:p w14:paraId="252F97C6" w14:textId="04ABA32E" w:rsidR="004461A5" w:rsidRPr="004461A5" w:rsidRDefault="00A77AC5" w:rsidP="006934E9">
      <w:pPr>
        <w:pStyle w:val="Heading2"/>
        <w:rPr>
          <w:b w:val="0"/>
        </w:rPr>
      </w:pPr>
      <w:bookmarkStart w:id="2" w:name="_Toc212074420"/>
      <w:r w:rsidRPr="0069189A">
        <w:t>2</w:t>
      </w:r>
      <w:r w:rsidR="004461A5" w:rsidRPr="004461A5">
        <w:t>.1 Technological Factors</w:t>
      </w:r>
      <w:bookmarkEnd w:id="2"/>
    </w:p>
    <w:p w14:paraId="2CA21A57" w14:textId="58B9B7A9" w:rsidR="004461A5" w:rsidRPr="004461A5" w:rsidRDefault="00A77AC5" w:rsidP="0069189A">
      <w:pPr>
        <w:spacing w:line="360" w:lineRule="auto"/>
        <w:jc w:val="both"/>
        <w:rPr>
          <w:rFonts w:ascii="Arial" w:hAnsi="Arial" w:cs="Arial"/>
          <w:b/>
          <w:bCs/>
          <w:sz w:val="24"/>
          <w:szCs w:val="24"/>
        </w:rPr>
      </w:pPr>
      <w:r w:rsidRPr="0069189A">
        <w:rPr>
          <w:rFonts w:ascii="Arial" w:hAnsi="Arial" w:cs="Arial"/>
          <w:b/>
          <w:bCs/>
          <w:sz w:val="24"/>
          <w:szCs w:val="24"/>
        </w:rPr>
        <w:t>2</w:t>
      </w:r>
      <w:r w:rsidR="004461A5" w:rsidRPr="004461A5">
        <w:rPr>
          <w:rFonts w:ascii="Arial" w:hAnsi="Arial" w:cs="Arial"/>
          <w:b/>
          <w:bCs/>
          <w:sz w:val="24"/>
          <w:szCs w:val="24"/>
        </w:rPr>
        <w:t>.1.1 Technological Transformation in the UK Energy Sector</w:t>
      </w:r>
    </w:p>
    <w:p w14:paraId="120BD6C7" w14:textId="5E52AF54" w:rsidR="00A77AC5" w:rsidRPr="0069189A" w:rsidRDefault="00A77AC5" w:rsidP="0069189A">
      <w:pPr>
        <w:spacing w:line="360" w:lineRule="auto"/>
        <w:jc w:val="both"/>
        <w:rPr>
          <w:rFonts w:ascii="Arial" w:hAnsi="Arial" w:cs="Arial"/>
          <w:sz w:val="24"/>
          <w:szCs w:val="24"/>
        </w:rPr>
      </w:pPr>
      <w:r w:rsidRPr="0069189A">
        <w:rPr>
          <w:rFonts w:ascii="Arial" w:hAnsi="Arial" w:cs="Arial"/>
          <w:sz w:val="24"/>
          <w:szCs w:val="24"/>
        </w:rPr>
        <w:t>One of the most radical powers of competitiveness and marketing in UK energy industry is technology. The market adoption of artificial intelligence (AI), data analytics, and smart-grids has altered the way companies produce, distribute, and market energy to consumers. Customer engagement and operation strategy are now characterized by digitalisation (Ofgem, 2025). In this context, the case of Octopus Energy and British Gas demonstrates opposite technological reactions, namely proactive and adaptive.</w:t>
      </w:r>
    </w:p>
    <w:p w14:paraId="373C7D9F" w14:textId="1A74E898" w:rsidR="004461A5" w:rsidRPr="004461A5" w:rsidRDefault="004461A5" w:rsidP="0069189A">
      <w:pPr>
        <w:spacing w:line="360" w:lineRule="auto"/>
        <w:jc w:val="both"/>
        <w:rPr>
          <w:rFonts w:ascii="Arial" w:hAnsi="Arial" w:cs="Arial"/>
          <w:b/>
          <w:bCs/>
          <w:sz w:val="24"/>
          <w:szCs w:val="24"/>
        </w:rPr>
      </w:pPr>
      <w:r w:rsidRPr="004461A5">
        <w:rPr>
          <w:rFonts w:ascii="Arial" w:hAnsi="Arial" w:cs="Arial"/>
          <w:b/>
          <w:bCs/>
          <w:sz w:val="24"/>
          <w:szCs w:val="24"/>
        </w:rPr>
        <w:t>3.1.2 Opportunities for Pioneers – Octopus Energy</w:t>
      </w:r>
    </w:p>
    <w:p w14:paraId="031B3EA2" w14:textId="77777777" w:rsidR="00A77AC5" w:rsidRDefault="00A77AC5" w:rsidP="0069189A">
      <w:pPr>
        <w:spacing w:line="360" w:lineRule="auto"/>
        <w:jc w:val="both"/>
        <w:rPr>
          <w:rFonts w:ascii="Arial" w:hAnsi="Arial" w:cs="Arial"/>
          <w:sz w:val="24"/>
          <w:szCs w:val="24"/>
        </w:rPr>
      </w:pPr>
      <w:r w:rsidRPr="0069189A">
        <w:rPr>
          <w:rFonts w:ascii="Arial" w:hAnsi="Arial" w:cs="Arial"/>
          <w:sz w:val="24"/>
          <w:szCs w:val="24"/>
        </w:rPr>
        <w:t>In the case of Octopus Energy, technology is one of the strategic resources and differentiators. It has an exclusive Kraken Technology Platform that combines AI algorithms to automate billing, streamline energy flows and customise services (</w:t>
      </w:r>
      <w:proofErr w:type="spellStart"/>
      <w:r w:rsidRPr="0069189A">
        <w:rPr>
          <w:rFonts w:ascii="Arial" w:hAnsi="Arial" w:cs="Arial"/>
          <w:sz w:val="24"/>
          <w:szCs w:val="24"/>
        </w:rPr>
        <w:t>techUK</w:t>
      </w:r>
      <w:proofErr w:type="spellEnd"/>
      <w:r w:rsidRPr="0069189A">
        <w:rPr>
          <w:rFonts w:ascii="Arial" w:hAnsi="Arial" w:cs="Arial"/>
          <w:sz w:val="24"/>
          <w:szCs w:val="24"/>
        </w:rPr>
        <w:t>, 2024). It allows setting prices dynamically and forecasting demand, reduces expenses, and enhances satisfaction (Octopus Energy Group Ltd, 2023). According to the Diffusion of Innovation Theory by Rogers, Octopus is an innovator, and it focuses on early adopters who attach importance to transparency and online convenience. The early adopted investment in the firm gives it a definite first-mover option, the technology at the core of its customer-centric marketing and makes its sustainable brand image a solid one.</w:t>
      </w:r>
    </w:p>
    <w:p w14:paraId="10B388B4" w14:textId="77777777" w:rsidR="005E25E2" w:rsidRDefault="005E25E2" w:rsidP="0069189A">
      <w:pPr>
        <w:spacing w:line="360" w:lineRule="auto"/>
        <w:jc w:val="both"/>
        <w:rPr>
          <w:rFonts w:ascii="Arial" w:hAnsi="Arial" w:cs="Arial"/>
          <w:sz w:val="24"/>
          <w:szCs w:val="24"/>
        </w:rPr>
      </w:pPr>
    </w:p>
    <w:p w14:paraId="7E1867D3" w14:textId="77777777" w:rsidR="005E25E2" w:rsidRPr="0069189A" w:rsidRDefault="005E25E2" w:rsidP="0069189A">
      <w:pPr>
        <w:spacing w:line="360" w:lineRule="auto"/>
        <w:jc w:val="both"/>
        <w:rPr>
          <w:rFonts w:ascii="Arial" w:hAnsi="Arial" w:cs="Arial"/>
          <w:sz w:val="24"/>
          <w:szCs w:val="24"/>
        </w:rPr>
      </w:pPr>
    </w:p>
    <w:p w14:paraId="04BCA7CD" w14:textId="5B4BB994" w:rsidR="004461A5" w:rsidRPr="004461A5" w:rsidRDefault="004461A5" w:rsidP="0069189A">
      <w:pPr>
        <w:spacing w:line="360" w:lineRule="auto"/>
        <w:jc w:val="both"/>
        <w:rPr>
          <w:rFonts w:ascii="Arial" w:hAnsi="Arial" w:cs="Arial"/>
          <w:b/>
          <w:bCs/>
          <w:sz w:val="24"/>
          <w:szCs w:val="24"/>
        </w:rPr>
      </w:pPr>
      <w:r w:rsidRPr="004461A5">
        <w:rPr>
          <w:rFonts w:ascii="Arial" w:hAnsi="Arial" w:cs="Arial"/>
          <w:b/>
          <w:bCs/>
          <w:sz w:val="24"/>
          <w:szCs w:val="24"/>
        </w:rPr>
        <w:t>3.1.3 Challenges for Followers – British Gas</w:t>
      </w:r>
    </w:p>
    <w:p w14:paraId="1902A143" w14:textId="77777777" w:rsidR="00A77AC5" w:rsidRPr="0069189A" w:rsidRDefault="00A77AC5" w:rsidP="0069189A">
      <w:pPr>
        <w:spacing w:line="360" w:lineRule="auto"/>
        <w:jc w:val="both"/>
        <w:rPr>
          <w:rFonts w:ascii="Arial" w:hAnsi="Arial" w:cs="Arial"/>
          <w:sz w:val="24"/>
          <w:szCs w:val="24"/>
        </w:rPr>
      </w:pPr>
      <w:r w:rsidRPr="0069189A">
        <w:rPr>
          <w:rFonts w:ascii="Arial" w:hAnsi="Arial" w:cs="Arial"/>
          <w:sz w:val="24"/>
          <w:szCs w:val="24"/>
        </w:rPr>
        <w:t>British gas, a subsidiary of Centrica plc, on the other hand has been struggling with structural inertia due to the old IT systems which restricted agility (Centrica plc, 2025). With smart meters and Hive Home Automation being newly implemented, customer communication and efficiency are to be essentially digitalised and enhanced (Centrica plc, 2024). But these efforts are still marginal, which is common to a follower and launching proven technologies to protect market share. There is still high capital cost, reliance on third party vendors, reputational feeling that they are slow on the innovation front.</w:t>
      </w:r>
    </w:p>
    <w:p w14:paraId="72965EE8" w14:textId="3BCBEAFC" w:rsidR="004461A5" w:rsidRPr="004461A5" w:rsidRDefault="004461A5" w:rsidP="0069189A">
      <w:pPr>
        <w:spacing w:line="360" w:lineRule="auto"/>
        <w:jc w:val="both"/>
        <w:rPr>
          <w:rFonts w:ascii="Arial" w:hAnsi="Arial" w:cs="Arial"/>
          <w:b/>
          <w:bCs/>
          <w:sz w:val="24"/>
          <w:szCs w:val="24"/>
        </w:rPr>
      </w:pPr>
      <w:r w:rsidRPr="004461A5">
        <w:rPr>
          <w:rFonts w:ascii="Arial" w:hAnsi="Arial" w:cs="Arial"/>
          <w:b/>
          <w:bCs/>
          <w:sz w:val="24"/>
          <w:szCs w:val="24"/>
        </w:rPr>
        <w:t>3.1.4 Strategic Implications and Synthesis</w:t>
      </w:r>
    </w:p>
    <w:p w14:paraId="2BC36748" w14:textId="13D3569C" w:rsidR="004461A5" w:rsidRPr="0069189A" w:rsidRDefault="00A77AC5" w:rsidP="0069189A">
      <w:pPr>
        <w:spacing w:line="360" w:lineRule="auto"/>
        <w:jc w:val="both"/>
        <w:rPr>
          <w:rFonts w:ascii="Arial" w:hAnsi="Arial" w:cs="Arial"/>
          <w:sz w:val="24"/>
          <w:szCs w:val="24"/>
        </w:rPr>
      </w:pPr>
      <w:r w:rsidRPr="0069189A">
        <w:rPr>
          <w:rFonts w:ascii="Arial" w:hAnsi="Arial" w:cs="Arial"/>
          <w:sz w:val="24"/>
          <w:szCs w:val="24"/>
        </w:rPr>
        <w:t>The technological development is cost-efficient and economically provides opportunities of customer engagement but it has threats such as cybersecurity and obsolescence. Octopus energy builds a competitive advantage by using automation which is long lasting through proprietary innovation whereas British Gas uses external systems to modernise more slowly over time. This will increase the pioneer-follower gap, which benefits companies that have integrated digital capabilities into customer-centric value-generating marketing models (Energy UK, 2024).</w:t>
      </w:r>
    </w:p>
    <w:p w14:paraId="2D698327" w14:textId="0054549A" w:rsidR="005D6E3A" w:rsidRPr="0069189A" w:rsidRDefault="005D6E3A" w:rsidP="006934E9">
      <w:pPr>
        <w:spacing w:line="360" w:lineRule="auto"/>
        <w:jc w:val="center"/>
        <w:rPr>
          <w:rFonts w:ascii="Arial" w:hAnsi="Arial" w:cs="Arial"/>
          <w:sz w:val="24"/>
          <w:szCs w:val="24"/>
        </w:rPr>
      </w:pPr>
      <w:r w:rsidRPr="0069189A">
        <w:rPr>
          <w:rFonts w:ascii="Arial" w:hAnsi="Arial" w:cs="Arial"/>
          <w:noProof/>
          <w:sz w:val="24"/>
          <w:szCs w:val="24"/>
        </w:rPr>
        <w:drawing>
          <wp:inline distT="0" distB="0" distL="0" distR="0" wp14:anchorId="3E3E55FD" wp14:editId="73AE7D4A">
            <wp:extent cx="4588955" cy="3059135"/>
            <wp:effectExtent l="0" t="0" r="2540" b="8255"/>
            <wp:docPr id="1613485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85613" name="Picture 1613485613"/>
                    <pic:cNvPicPr/>
                  </pic:nvPicPr>
                  <pic:blipFill>
                    <a:blip r:embed="rId9"/>
                    <a:stretch>
                      <a:fillRect/>
                    </a:stretch>
                  </pic:blipFill>
                  <pic:spPr>
                    <a:xfrm>
                      <a:off x="0" y="0"/>
                      <a:ext cx="4602858" cy="3068403"/>
                    </a:xfrm>
                    <a:prstGeom prst="rect">
                      <a:avLst/>
                    </a:prstGeom>
                  </pic:spPr>
                </pic:pic>
              </a:graphicData>
            </a:graphic>
          </wp:inline>
        </w:drawing>
      </w:r>
    </w:p>
    <w:p w14:paraId="66644E9F" w14:textId="3E069821" w:rsidR="005D6E3A" w:rsidRPr="0069189A" w:rsidRDefault="005D6E3A" w:rsidP="0069189A">
      <w:pPr>
        <w:spacing w:line="360" w:lineRule="auto"/>
        <w:jc w:val="both"/>
        <w:rPr>
          <w:rFonts w:ascii="Arial" w:hAnsi="Arial" w:cs="Arial"/>
          <w:sz w:val="24"/>
          <w:szCs w:val="24"/>
        </w:rPr>
      </w:pPr>
      <w:r w:rsidRPr="0069189A">
        <w:rPr>
          <w:rFonts w:ascii="Arial" w:hAnsi="Arial" w:cs="Arial"/>
          <w:sz w:val="24"/>
          <w:szCs w:val="24"/>
        </w:rPr>
        <w:t>Figure 2: Diffusion of innovation curve comparing Octopus Energy (pioneer) and British Gas (follower) within the UK energy market.</w:t>
      </w:r>
    </w:p>
    <w:p w14:paraId="2669B439" w14:textId="0A541BAE" w:rsidR="004461A5" w:rsidRPr="0069189A" w:rsidRDefault="00A77AC5" w:rsidP="006934E9">
      <w:pPr>
        <w:pStyle w:val="Heading2"/>
      </w:pPr>
      <w:bookmarkStart w:id="3" w:name="_Toc212074421"/>
      <w:r w:rsidRPr="0069189A">
        <w:t>2</w:t>
      </w:r>
      <w:r w:rsidR="004461A5" w:rsidRPr="004461A5">
        <w:t>.2 Environmental Factors</w:t>
      </w:r>
      <w:bookmarkEnd w:id="3"/>
    </w:p>
    <w:p w14:paraId="70F9B041" w14:textId="224E7607" w:rsidR="004461A5" w:rsidRPr="004461A5" w:rsidRDefault="006934E9" w:rsidP="0069189A">
      <w:pPr>
        <w:spacing w:line="360" w:lineRule="auto"/>
        <w:jc w:val="both"/>
        <w:rPr>
          <w:rFonts w:ascii="Arial" w:hAnsi="Arial" w:cs="Arial"/>
          <w:b/>
          <w:bCs/>
          <w:sz w:val="24"/>
          <w:szCs w:val="24"/>
        </w:rPr>
      </w:pPr>
      <w:r>
        <w:rPr>
          <w:rFonts w:ascii="Arial" w:hAnsi="Arial" w:cs="Arial"/>
          <w:b/>
          <w:bCs/>
          <w:sz w:val="24"/>
          <w:szCs w:val="24"/>
        </w:rPr>
        <w:t>2</w:t>
      </w:r>
      <w:r w:rsidR="004461A5" w:rsidRPr="004461A5">
        <w:rPr>
          <w:rFonts w:ascii="Arial" w:hAnsi="Arial" w:cs="Arial"/>
          <w:b/>
          <w:bCs/>
          <w:sz w:val="24"/>
          <w:szCs w:val="24"/>
        </w:rPr>
        <w:t>.2.1 Environmental Transformation in the UK Energy Sector</w:t>
      </w:r>
    </w:p>
    <w:p w14:paraId="4787E971" w14:textId="4B69B45B" w:rsidR="00A77AC5" w:rsidRPr="00A77AC5" w:rsidRDefault="00A77AC5" w:rsidP="0069189A">
      <w:pPr>
        <w:spacing w:line="360" w:lineRule="auto"/>
        <w:jc w:val="both"/>
        <w:rPr>
          <w:rFonts w:ascii="Arial" w:hAnsi="Arial" w:cs="Arial"/>
          <w:sz w:val="24"/>
          <w:szCs w:val="24"/>
        </w:rPr>
      </w:pPr>
      <w:r w:rsidRPr="00A77AC5">
        <w:rPr>
          <w:rFonts w:ascii="Arial" w:hAnsi="Arial" w:cs="Arial"/>
          <w:sz w:val="24"/>
          <w:szCs w:val="24"/>
        </w:rPr>
        <w:t xml:space="preserve">Strategy marketing is being transformed by environmental pressures in the UK energy industry. Greens and the Net Zero by 2050 policy adopted by the government urge companies to lower their emissions and sell sustainability in a transparent manner (Department for Energy Security and Net Zero, 2024). The providers of energy </w:t>
      </w:r>
      <w:r w:rsidRPr="0069189A">
        <w:rPr>
          <w:rFonts w:ascii="Arial" w:hAnsi="Arial" w:cs="Arial"/>
          <w:sz w:val="24"/>
          <w:szCs w:val="24"/>
        </w:rPr>
        <w:t>must</w:t>
      </w:r>
      <w:r w:rsidRPr="00A77AC5">
        <w:rPr>
          <w:rFonts w:ascii="Arial" w:hAnsi="Arial" w:cs="Arial"/>
          <w:sz w:val="24"/>
          <w:szCs w:val="24"/>
        </w:rPr>
        <w:t xml:space="preserve"> now juggle regulation and consumer demands in respect of ethical and renewable energy. In this framework, Octopus Energy and British Gas exemplify opposite environmental approaches the former is active and innovation-driven the latter is reactive and image-based.</w:t>
      </w:r>
    </w:p>
    <w:p w14:paraId="55861DFE" w14:textId="62FC9831" w:rsidR="004461A5" w:rsidRPr="004461A5" w:rsidRDefault="006934E9" w:rsidP="0069189A">
      <w:pPr>
        <w:spacing w:line="360" w:lineRule="auto"/>
        <w:jc w:val="both"/>
        <w:rPr>
          <w:rFonts w:ascii="Arial" w:hAnsi="Arial" w:cs="Arial"/>
          <w:b/>
          <w:bCs/>
          <w:sz w:val="24"/>
          <w:szCs w:val="24"/>
        </w:rPr>
      </w:pPr>
      <w:r>
        <w:rPr>
          <w:rFonts w:ascii="Arial" w:hAnsi="Arial" w:cs="Arial"/>
          <w:b/>
          <w:bCs/>
          <w:sz w:val="24"/>
          <w:szCs w:val="24"/>
        </w:rPr>
        <w:t>2</w:t>
      </w:r>
      <w:r w:rsidR="004461A5" w:rsidRPr="004461A5">
        <w:rPr>
          <w:rFonts w:ascii="Arial" w:hAnsi="Arial" w:cs="Arial"/>
          <w:b/>
          <w:bCs/>
          <w:sz w:val="24"/>
          <w:szCs w:val="24"/>
        </w:rPr>
        <w:t>.2.2 Opportunities for Pioneers – Octopus Energy</w:t>
      </w:r>
    </w:p>
    <w:p w14:paraId="2F71488D" w14:textId="7ED7875A" w:rsidR="00A14FC7" w:rsidRPr="00A14FC7" w:rsidRDefault="004862C6" w:rsidP="0069189A">
      <w:pPr>
        <w:spacing w:line="360" w:lineRule="auto"/>
        <w:jc w:val="both"/>
        <w:rPr>
          <w:rFonts w:ascii="Arial" w:hAnsi="Arial" w:cs="Arial"/>
          <w:sz w:val="24"/>
          <w:szCs w:val="24"/>
        </w:rPr>
      </w:pPr>
      <w:r w:rsidRPr="004862C6">
        <w:rPr>
          <w:rFonts w:ascii="Arial" w:hAnsi="Arial" w:cs="Arial"/>
          <w:sz w:val="24"/>
          <w:szCs w:val="24"/>
        </w:rPr>
        <w:t xml:space="preserve">It became one of the core aspects of the business philosophy of Octopus energy which provides 100 percent renewable energy through solar and wind (Octopus Energy Ltd, 2024). </w:t>
      </w:r>
      <w:proofErr w:type="gramStart"/>
      <w:r w:rsidRPr="004862C6">
        <w:rPr>
          <w:rFonts w:ascii="Arial" w:hAnsi="Arial" w:cs="Arial"/>
          <w:sz w:val="24"/>
          <w:szCs w:val="24"/>
        </w:rPr>
        <w:t>It</w:t>
      </w:r>
      <w:proofErr w:type="gramEnd"/>
      <w:r w:rsidRPr="004862C6">
        <w:rPr>
          <w:rFonts w:ascii="Arial" w:hAnsi="Arial" w:cs="Arial"/>
          <w:sz w:val="24"/>
          <w:szCs w:val="24"/>
        </w:rPr>
        <w:t xml:space="preserve"> marketing is based on its transparency and affordability, and it lets customers be empowered through digital carbon-tracking tools (Energy UK, 2024).</w:t>
      </w:r>
      <w:r>
        <w:rPr>
          <w:rFonts w:ascii="Arial" w:hAnsi="Arial" w:cs="Arial"/>
          <w:sz w:val="24"/>
          <w:szCs w:val="24"/>
        </w:rPr>
        <w:t xml:space="preserve"> </w:t>
      </w:r>
      <w:r w:rsidR="00A14FC7" w:rsidRPr="00A14FC7">
        <w:rPr>
          <w:rFonts w:ascii="Arial" w:hAnsi="Arial" w:cs="Arial"/>
          <w:sz w:val="24"/>
          <w:szCs w:val="24"/>
        </w:rPr>
        <w:t xml:space="preserve">This strategy resembles Kotler Marketing 4.0, which connects authenticity with customer relations. In addition, the development of EV charging and dynamic green tariffs to the extent that it enhances sustainability in line with environmental innovation and technology at Octopus. </w:t>
      </w:r>
    </w:p>
    <w:p w14:paraId="2BA619E6" w14:textId="0D410AC5" w:rsidR="004461A5" w:rsidRPr="004461A5" w:rsidRDefault="006934E9" w:rsidP="0069189A">
      <w:pPr>
        <w:spacing w:line="360" w:lineRule="auto"/>
        <w:jc w:val="both"/>
        <w:rPr>
          <w:rFonts w:ascii="Arial" w:hAnsi="Arial" w:cs="Arial"/>
          <w:b/>
          <w:bCs/>
          <w:sz w:val="24"/>
          <w:szCs w:val="24"/>
        </w:rPr>
      </w:pPr>
      <w:r>
        <w:rPr>
          <w:rFonts w:ascii="Arial" w:hAnsi="Arial" w:cs="Arial"/>
          <w:b/>
          <w:bCs/>
          <w:sz w:val="24"/>
          <w:szCs w:val="24"/>
        </w:rPr>
        <w:t>2</w:t>
      </w:r>
      <w:r w:rsidR="004461A5" w:rsidRPr="004461A5">
        <w:rPr>
          <w:rFonts w:ascii="Arial" w:hAnsi="Arial" w:cs="Arial"/>
          <w:b/>
          <w:bCs/>
          <w:sz w:val="24"/>
          <w:szCs w:val="24"/>
        </w:rPr>
        <w:t>.2.3 Challenges for Followers – British Gas</w:t>
      </w:r>
    </w:p>
    <w:p w14:paraId="6D6FD5BD" w14:textId="3CB0C338" w:rsidR="005E25E2" w:rsidRPr="0069189A" w:rsidRDefault="00A14FC7" w:rsidP="0069189A">
      <w:pPr>
        <w:spacing w:line="360" w:lineRule="auto"/>
        <w:jc w:val="both"/>
        <w:rPr>
          <w:rFonts w:ascii="Arial" w:hAnsi="Arial" w:cs="Arial"/>
          <w:sz w:val="24"/>
          <w:szCs w:val="24"/>
        </w:rPr>
      </w:pPr>
      <w:r w:rsidRPr="0069189A">
        <w:rPr>
          <w:rFonts w:ascii="Arial" w:hAnsi="Arial" w:cs="Arial"/>
          <w:sz w:val="24"/>
          <w:szCs w:val="24"/>
        </w:rPr>
        <w:t>British Gas which is a subsidiary of Centrica plc has a difficult sustainability transition. Since it is currently bound to fossil fuels, it has since implemented its Greener Futures initiative as an expression of sentiment to environmental change (Centrica plc, 2025). There is improvement in renewable tariffs and carbon offset programs, which are good signs but ancient infrastructure and expenses reduce benefits of such programs. Consumer scepticism also exists, whereby the efforts are seen as responsive and not innovative (</w:t>
      </w:r>
      <w:proofErr w:type="spellStart"/>
      <w:r w:rsidRPr="0069189A">
        <w:rPr>
          <w:rFonts w:ascii="Arial" w:hAnsi="Arial" w:cs="Arial"/>
          <w:sz w:val="24"/>
          <w:szCs w:val="24"/>
        </w:rPr>
        <w:t>Makortoff</w:t>
      </w:r>
      <w:proofErr w:type="spellEnd"/>
      <w:r w:rsidRPr="0069189A">
        <w:rPr>
          <w:rFonts w:ascii="Arial" w:hAnsi="Arial" w:cs="Arial"/>
          <w:sz w:val="24"/>
          <w:szCs w:val="24"/>
        </w:rPr>
        <w:t xml:space="preserve">, 2024). </w:t>
      </w:r>
    </w:p>
    <w:p w14:paraId="4849E541" w14:textId="22B52AFF" w:rsidR="004461A5" w:rsidRPr="004461A5" w:rsidRDefault="006934E9" w:rsidP="0069189A">
      <w:pPr>
        <w:spacing w:line="360" w:lineRule="auto"/>
        <w:jc w:val="both"/>
        <w:rPr>
          <w:rFonts w:ascii="Arial" w:hAnsi="Arial" w:cs="Arial"/>
          <w:b/>
          <w:bCs/>
          <w:sz w:val="24"/>
          <w:szCs w:val="24"/>
        </w:rPr>
      </w:pPr>
      <w:r>
        <w:rPr>
          <w:rFonts w:ascii="Arial" w:hAnsi="Arial" w:cs="Arial"/>
          <w:b/>
          <w:bCs/>
          <w:sz w:val="24"/>
          <w:szCs w:val="24"/>
        </w:rPr>
        <w:t>2</w:t>
      </w:r>
      <w:r w:rsidR="004461A5" w:rsidRPr="004461A5">
        <w:rPr>
          <w:rFonts w:ascii="Arial" w:hAnsi="Arial" w:cs="Arial"/>
          <w:b/>
          <w:bCs/>
          <w:sz w:val="24"/>
          <w:szCs w:val="24"/>
        </w:rPr>
        <w:t>.2.4 Strategic Implications and Synthesis</w:t>
      </w:r>
    </w:p>
    <w:p w14:paraId="51C885A1" w14:textId="14BB4603" w:rsidR="00A14FC7" w:rsidRPr="0069189A" w:rsidRDefault="00A14FC7" w:rsidP="0069189A">
      <w:pPr>
        <w:spacing w:line="360" w:lineRule="auto"/>
        <w:jc w:val="both"/>
        <w:rPr>
          <w:rFonts w:ascii="Arial" w:hAnsi="Arial" w:cs="Arial"/>
          <w:sz w:val="24"/>
          <w:szCs w:val="24"/>
        </w:rPr>
      </w:pPr>
      <w:r w:rsidRPr="0069189A">
        <w:rPr>
          <w:rFonts w:ascii="Arial" w:hAnsi="Arial" w:cs="Arial"/>
          <w:sz w:val="24"/>
          <w:szCs w:val="24"/>
        </w:rPr>
        <w:t>There are opportunities and threats that are brought about by environmental forces. Using the Stakeholder Theory (</w:t>
      </w:r>
      <w:proofErr w:type="spellStart"/>
      <w:r w:rsidRPr="0069189A">
        <w:rPr>
          <w:rFonts w:ascii="Arial" w:hAnsi="Arial" w:cs="Arial"/>
          <w:sz w:val="24"/>
          <w:szCs w:val="24"/>
        </w:rPr>
        <w:t>Bridoux</w:t>
      </w:r>
      <w:proofErr w:type="spellEnd"/>
      <w:r w:rsidRPr="0069189A">
        <w:rPr>
          <w:rFonts w:ascii="Arial" w:hAnsi="Arial" w:cs="Arial"/>
          <w:sz w:val="24"/>
          <w:szCs w:val="24"/>
        </w:rPr>
        <w:t xml:space="preserve"> and </w:t>
      </w:r>
      <w:proofErr w:type="spellStart"/>
      <w:r w:rsidRPr="0069189A">
        <w:rPr>
          <w:rFonts w:ascii="Arial" w:hAnsi="Arial" w:cs="Arial"/>
          <w:sz w:val="24"/>
          <w:szCs w:val="24"/>
        </w:rPr>
        <w:t>Stoelhorst</w:t>
      </w:r>
      <w:proofErr w:type="spellEnd"/>
      <w:r w:rsidRPr="0069189A">
        <w:rPr>
          <w:rFonts w:ascii="Arial" w:hAnsi="Arial" w:cs="Arial"/>
          <w:sz w:val="24"/>
          <w:szCs w:val="24"/>
        </w:rPr>
        <w:t>, 2022), Octopus Energy balances consumer, community, and regulatory demands due to transparent practice. However, British Gas focuses more on the returns that shareholders get rather than long-term sustainability. Thereby, the environmental change broadens the pioneer-follower gap, benefitting businesses that entrench ethics and sustainability as a key component of competitive marketing approach.</w:t>
      </w:r>
    </w:p>
    <w:p w14:paraId="2AF749BC" w14:textId="17AC8DCC" w:rsidR="004461A5" w:rsidRPr="004D1F45" w:rsidRDefault="00F440E7" w:rsidP="0069189A">
      <w:pPr>
        <w:spacing w:line="360" w:lineRule="auto"/>
        <w:jc w:val="both"/>
        <w:rPr>
          <w:rFonts w:ascii="Arial" w:hAnsi="Arial" w:cs="Arial"/>
          <w:b/>
          <w:bCs/>
          <w:sz w:val="24"/>
          <w:szCs w:val="24"/>
        </w:rPr>
      </w:pPr>
      <w:r w:rsidRPr="004D1F45">
        <w:rPr>
          <w:rFonts w:ascii="Arial" w:hAnsi="Arial" w:cs="Arial"/>
          <w:b/>
          <w:bCs/>
          <w:sz w:val="24"/>
          <w:szCs w:val="24"/>
        </w:rPr>
        <w:t>Table 1: Comparative Strategic Overview of Pioneer and Follower Firms in the UK Energy Sector</w:t>
      </w:r>
    </w:p>
    <w:tbl>
      <w:tblPr>
        <w:tblStyle w:val="GridTable4-Accent3"/>
        <w:tblW w:w="0" w:type="auto"/>
        <w:tblLook w:val="04A0" w:firstRow="1" w:lastRow="0" w:firstColumn="1" w:lastColumn="0" w:noHBand="0" w:noVBand="1"/>
      </w:tblPr>
      <w:tblGrid>
        <w:gridCol w:w="1988"/>
        <w:gridCol w:w="2768"/>
        <w:gridCol w:w="2139"/>
        <w:gridCol w:w="2347"/>
      </w:tblGrid>
      <w:tr w:rsidR="00F440E7" w:rsidRPr="004D1F45" w14:paraId="2BD7BB25" w14:textId="77777777" w:rsidTr="004D1F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9465AD" w14:textId="77777777" w:rsidR="00F440E7" w:rsidRPr="004D1F45" w:rsidRDefault="00F440E7" w:rsidP="004D1F45">
            <w:pPr>
              <w:spacing w:line="276" w:lineRule="auto"/>
              <w:rPr>
                <w:rFonts w:ascii="Arial" w:hAnsi="Arial" w:cs="Arial"/>
                <w:b w:val="0"/>
                <w:bCs w:val="0"/>
                <w:sz w:val="24"/>
                <w:szCs w:val="24"/>
              </w:rPr>
            </w:pPr>
            <w:r w:rsidRPr="004D1F45">
              <w:rPr>
                <w:rFonts w:ascii="Arial" w:hAnsi="Arial" w:cs="Arial"/>
                <w:sz w:val="24"/>
                <w:szCs w:val="24"/>
              </w:rPr>
              <w:t>Aspect</w:t>
            </w:r>
          </w:p>
        </w:tc>
        <w:tc>
          <w:tcPr>
            <w:tcW w:w="0" w:type="auto"/>
            <w:hideMark/>
          </w:tcPr>
          <w:p w14:paraId="750D86F8" w14:textId="77777777" w:rsidR="00F440E7" w:rsidRPr="004D1F45" w:rsidRDefault="00F440E7" w:rsidP="004D1F45">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D1F45">
              <w:rPr>
                <w:rFonts w:ascii="Arial" w:hAnsi="Arial" w:cs="Arial"/>
                <w:sz w:val="24"/>
                <w:szCs w:val="24"/>
              </w:rPr>
              <w:t>Octopus Energy (Pioneer)</w:t>
            </w:r>
          </w:p>
        </w:tc>
        <w:tc>
          <w:tcPr>
            <w:tcW w:w="0" w:type="auto"/>
            <w:hideMark/>
          </w:tcPr>
          <w:p w14:paraId="22FFD23B" w14:textId="77777777" w:rsidR="00F440E7" w:rsidRPr="004D1F45" w:rsidRDefault="00F440E7" w:rsidP="004D1F45">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D1F45">
              <w:rPr>
                <w:rFonts w:ascii="Arial" w:hAnsi="Arial" w:cs="Arial"/>
                <w:sz w:val="24"/>
                <w:szCs w:val="24"/>
              </w:rPr>
              <w:t>British Gas (Follower)</w:t>
            </w:r>
          </w:p>
        </w:tc>
        <w:tc>
          <w:tcPr>
            <w:tcW w:w="0" w:type="auto"/>
            <w:hideMark/>
          </w:tcPr>
          <w:p w14:paraId="4B30D7E8" w14:textId="77777777" w:rsidR="00F440E7" w:rsidRPr="004D1F45" w:rsidRDefault="00F440E7" w:rsidP="004D1F45">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D1F45">
              <w:rPr>
                <w:rFonts w:ascii="Arial" w:hAnsi="Arial" w:cs="Arial"/>
                <w:sz w:val="24"/>
                <w:szCs w:val="24"/>
              </w:rPr>
              <w:t>Strategic Implication</w:t>
            </w:r>
          </w:p>
        </w:tc>
      </w:tr>
      <w:tr w:rsidR="00F440E7" w:rsidRPr="004D1F45" w14:paraId="34E0292E" w14:textId="77777777" w:rsidTr="004D1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334872" w14:textId="77777777" w:rsidR="00F440E7" w:rsidRPr="004D1F45" w:rsidRDefault="00F440E7" w:rsidP="004D1F45">
            <w:pPr>
              <w:spacing w:line="276" w:lineRule="auto"/>
              <w:rPr>
                <w:rFonts w:ascii="Arial" w:hAnsi="Arial" w:cs="Arial"/>
                <w:sz w:val="24"/>
                <w:szCs w:val="24"/>
              </w:rPr>
            </w:pPr>
            <w:r w:rsidRPr="004D1F45">
              <w:rPr>
                <w:rFonts w:ascii="Arial" w:hAnsi="Arial" w:cs="Arial"/>
                <w:sz w:val="24"/>
                <w:szCs w:val="24"/>
              </w:rPr>
              <w:t>Technology Orientation</w:t>
            </w:r>
          </w:p>
        </w:tc>
        <w:tc>
          <w:tcPr>
            <w:tcW w:w="0" w:type="auto"/>
            <w:hideMark/>
          </w:tcPr>
          <w:p w14:paraId="606EF443" w14:textId="77777777" w:rsidR="00F440E7" w:rsidRPr="004D1F45" w:rsidRDefault="00F440E7" w:rsidP="004D1F45">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D1F45">
              <w:rPr>
                <w:rFonts w:ascii="Arial" w:hAnsi="Arial" w:cs="Arial"/>
                <w:sz w:val="24"/>
                <w:szCs w:val="24"/>
              </w:rPr>
              <w:t>AI-driven Kraken platform enables automation, predictive analytics, and customer personalisation (</w:t>
            </w:r>
            <w:proofErr w:type="spellStart"/>
            <w:r w:rsidRPr="004D1F45">
              <w:rPr>
                <w:rFonts w:ascii="Arial" w:hAnsi="Arial" w:cs="Arial"/>
                <w:sz w:val="24"/>
                <w:szCs w:val="24"/>
              </w:rPr>
              <w:t>techUK</w:t>
            </w:r>
            <w:proofErr w:type="spellEnd"/>
            <w:r w:rsidRPr="004D1F45">
              <w:rPr>
                <w:rFonts w:ascii="Arial" w:hAnsi="Arial" w:cs="Arial"/>
                <w:sz w:val="24"/>
                <w:szCs w:val="24"/>
              </w:rPr>
              <w:t>, 2024).</w:t>
            </w:r>
          </w:p>
        </w:tc>
        <w:tc>
          <w:tcPr>
            <w:tcW w:w="0" w:type="auto"/>
            <w:hideMark/>
          </w:tcPr>
          <w:p w14:paraId="1B9D86AF" w14:textId="77777777" w:rsidR="00F440E7" w:rsidRPr="004D1F45" w:rsidRDefault="00F440E7" w:rsidP="004D1F45">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D1F45">
              <w:rPr>
                <w:rFonts w:ascii="Arial" w:hAnsi="Arial" w:cs="Arial"/>
                <w:sz w:val="24"/>
                <w:szCs w:val="24"/>
              </w:rPr>
              <w:t>Gradual digital adoption through Hive automation and smart meters (Centrica plc, 2025).</w:t>
            </w:r>
          </w:p>
        </w:tc>
        <w:tc>
          <w:tcPr>
            <w:tcW w:w="0" w:type="auto"/>
            <w:hideMark/>
          </w:tcPr>
          <w:p w14:paraId="0544A0F9" w14:textId="77777777" w:rsidR="00F440E7" w:rsidRPr="004D1F45" w:rsidRDefault="00F440E7" w:rsidP="004D1F45">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D1F45">
              <w:rPr>
                <w:rFonts w:ascii="Arial" w:hAnsi="Arial" w:cs="Arial"/>
                <w:sz w:val="24"/>
                <w:szCs w:val="24"/>
              </w:rPr>
              <w:t>Technological leadership vs. incremental transformation.</w:t>
            </w:r>
          </w:p>
        </w:tc>
      </w:tr>
      <w:tr w:rsidR="00F440E7" w:rsidRPr="004D1F45" w14:paraId="52AEC875" w14:textId="77777777" w:rsidTr="004D1F45">
        <w:tc>
          <w:tcPr>
            <w:cnfStyle w:val="001000000000" w:firstRow="0" w:lastRow="0" w:firstColumn="1" w:lastColumn="0" w:oddVBand="0" w:evenVBand="0" w:oddHBand="0" w:evenHBand="0" w:firstRowFirstColumn="0" w:firstRowLastColumn="0" w:lastRowFirstColumn="0" w:lastRowLastColumn="0"/>
            <w:tcW w:w="0" w:type="auto"/>
            <w:hideMark/>
          </w:tcPr>
          <w:p w14:paraId="16989072" w14:textId="77777777" w:rsidR="00F440E7" w:rsidRPr="004D1F45" w:rsidRDefault="00F440E7" w:rsidP="004D1F45">
            <w:pPr>
              <w:spacing w:line="276" w:lineRule="auto"/>
              <w:rPr>
                <w:rFonts w:ascii="Arial" w:hAnsi="Arial" w:cs="Arial"/>
                <w:sz w:val="24"/>
                <w:szCs w:val="24"/>
              </w:rPr>
            </w:pPr>
            <w:r w:rsidRPr="004D1F45">
              <w:rPr>
                <w:rFonts w:ascii="Arial" w:hAnsi="Arial" w:cs="Arial"/>
                <w:sz w:val="24"/>
                <w:szCs w:val="24"/>
              </w:rPr>
              <w:t>Environmental Approach</w:t>
            </w:r>
          </w:p>
        </w:tc>
        <w:tc>
          <w:tcPr>
            <w:tcW w:w="0" w:type="auto"/>
            <w:hideMark/>
          </w:tcPr>
          <w:p w14:paraId="75EA2ADF" w14:textId="77777777" w:rsidR="00F440E7" w:rsidRPr="004D1F45" w:rsidRDefault="00F440E7" w:rsidP="004D1F4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D1F45">
              <w:rPr>
                <w:rFonts w:ascii="Arial" w:hAnsi="Arial" w:cs="Arial"/>
                <w:sz w:val="24"/>
                <w:szCs w:val="24"/>
              </w:rPr>
              <w:t>100% renewable energy and EV integration (Octopus Energy Ltd, 2024).</w:t>
            </w:r>
          </w:p>
        </w:tc>
        <w:tc>
          <w:tcPr>
            <w:tcW w:w="0" w:type="auto"/>
            <w:hideMark/>
          </w:tcPr>
          <w:p w14:paraId="337B9576" w14:textId="77777777" w:rsidR="00F440E7" w:rsidRPr="004D1F45" w:rsidRDefault="00F440E7" w:rsidP="004D1F4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D1F45">
              <w:rPr>
                <w:rFonts w:ascii="Arial" w:hAnsi="Arial" w:cs="Arial"/>
                <w:sz w:val="24"/>
                <w:szCs w:val="24"/>
              </w:rPr>
              <w:t>Hybrid model with carbon offsets and green tariffs (Centrica plc, 2025).</w:t>
            </w:r>
          </w:p>
        </w:tc>
        <w:tc>
          <w:tcPr>
            <w:tcW w:w="0" w:type="auto"/>
            <w:hideMark/>
          </w:tcPr>
          <w:p w14:paraId="2721B1CD" w14:textId="77777777" w:rsidR="00F440E7" w:rsidRPr="004D1F45" w:rsidRDefault="00F440E7" w:rsidP="004D1F4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D1F45">
              <w:rPr>
                <w:rFonts w:ascii="Arial" w:hAnsi="Arial" w:cs="Arial"/>
                <w:sz w:val="24"/>
                <w:szCs w:val="24"/>
              </w:rPr>
              <w:t>Pioneer achieves brand differentiation; follower works on repositioning.</w:t>
            </w:r>
          </w:p>
        </w:tc>
      </w:tr>
      <w:tr w:rsidR="00F440E7" w:rsidRPr="004D1F45" w14:paraId="2BC9BBC1" w14:textId="77777777" w:rsidTr="004D1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4D192E" w14:textId="77777777" w:rsidR="00F440E7" w:rsidRPr="004D1F45" w:rsidRDefault="00F440E7" w:rsidP="004D1F45">
            <w:pPr>
              <w:spacing w:line="276" w:lineRule="auto"/>
              <w:rPr>
                <w:rFonts w:ascii="Arial" w:hAnsi="Arial" w:cs="Arial"/>
                <w:sz w:val="24"/>
                <w:szCs w:val="24"/>
              </w:rPr>
            </w:pPr>
            <w:r w:rsidRPr="004D1F45">
              <w:rPr>
                <w:rFonts w:ascii="Arial" w:hAnsi="Arial" w:cs="Arial"/>
                <w:sz w:val="24"/>
                <w:szCs w:val="24"/>
              </w:rPr>
              <w:t>Market Strategy</w:t>
            </w:r>
          </w:p>
        </w:tc>
        <w:tc>
          <w:tcPr>
            <w:tcW w:w="0" w:type="auto"/>
            <w:hideMark/>
          </w:tcPr>
          <w:p w14:paraId="26CBCA09" w14:textId="77777777" w:rsidR="00F440E7" w:rsidRPr="004D1F45" w:rsidRDefault="00F440E7" w:rsidP="004D1F45">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D1F45">
              <w:rPr>
                <w:rFonts w:ascii="Arial" w:hAnsi="Arial" w:cs="Arial"/>
                <w:sz w:val="24"/>
                <w:szCs w:val="24"/>
              </w:rPr>
              <w:t>Digital-first, customer-centric, sustainability-focused.</w:t>
            </w:r>
          </w:p>
        </w:tc>
        <w:tc>
          <w:tcPr>
            <w:tcW w:w="0" w:type="auto"/>
            <w:hideMark/>
          </w:tcPr>
          <w:p w14:paraId="73128A51" w14:textId="77777777" w:rsidR="00F440E7" w:rsidRPr="004D1F45" w:rsidRDefault="00F440E7" w:rsidP="004D1F45">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D1F45">
              <w:rPr>
                <w:rFonts w:ascii="Arial" w:hAnsi="Arial" w:cs="Arial"/>
                <w:sz w:val="24"/>
                <w:szCs w:val="24"/>
              </w:rPr>
              <w:t>Mass-market, reliability-driven, adapting to green trends.</w:t>
            </w:r>
          </w:p>
        </w:tc>
        <w:tc>
          <w:tcPr>
            <w:tcW w:w="0" w:type="auto"/>
            <w:hideMark/>
          </w:tcPr>
          <w:p w14:paraId="29513778" w14:textId="77777777" w:rsidR="00F440E7" w:rsidRPr="004D1F45" w:rsidRDefault="00F440E7" w:rsidP="004D1F45">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D1F45">
              <w:rPr>
                <w:rFonts w:ascii="Arial" w:hAnsi="Arial" w:cs="Arial"/>
                <w:sz w:val="24"/>
                <w:szCs w:val="24"/>
              </w:rPr>
              <w:t>Proactive innovation vs. reactive adaptation.</w:t>
            </w:r>
          </w:p>
        </w:tc>
      </w:tr>
    </w:tbl>
    <w:p w14:paraId="6F792101" w14:textId="77777777" w:rsidR="00F440E7" w:rsidRPr="004461A5" w:rsidRDefault="00F440E7" w:rsidP="0069189A">
      <w:pPr>
        <w:spacing w:line="360" w:lineRule="auto"/>
        <w:jc w:val="both"/>
        <w:rPr>
          <w:rFonts w:ascii="Arial" w:hAnsi="Arial" w:cs="Arial"/>
          <w:sz w:val="24"/>
          <w:szCs w:val="24"/>
        </w:rPr>
      </w:pPr>
    </w:p>
    <w:p w14:paraId="77B23415" w14:textId="618C2635" w:rsidR="004461A5" w:rsidRPr="004461A5" w:rsidRDefault="006934E9" w:rsidP="006934E9">
      <w:pPr>
        <w:pStyle w:val="Heading2"/>
      </w:pPr>
      <w:bookmarkStart w:id="4" w:name="_Toc212074422"/>
      <w:r>
        <w:t>2</w:t>
      </w:r>
      <w:r w:rsidR="004461A5" w:rsidRPr="004461A5">
        <w:t>.3 Synthesis and Evaluation</w:t>
      </w:r>
      <w:bookmarkEnd w:id="4"/>
    </w:p>
    <w:p w14:paraId="682A6445" w14:textId="74C7EE34" w:rsidR="00C77F32" w:rsidRPr="0069189A" w:rsidRDefault="00A14FC7" w:rsidP="0069189A">
      <w:pPr>
        <w:spacing w:line="360" w:lineRule="auto"/>
        <w:jc w:val="both"/>
        <w:rPr>
          <w:rFonts w:ascii="Arial" w:hAnsi="Arial" w:cs="Arial"/>
          <w:sz w:val="24"/>
          <w:szCs w:val="24"/>
        </w:rPr>
      </w:pPr>
      <w:r w:rsidRPr="0069189A">
        <w:rPr>
          <w:rFonts w:ascii="Arial" w:hAnsi="Arial" w:cs="Arial"/>
          <w:sz w:val="24"/>
          <w:szCs w:val="24"/>
        </w:rPr>
        <w:t>Strategic marketing in the UK energy sector is predetermined (techno-environmental forces) and requires agility and innovation. The example of proactive alignment is Octopus Energy which implements AI-driven systems and renewable integration, establishing a blue ocean of sustainable, digital energy solutions (</w:t>
      </w:r>
      <w:proofErr w:type="spellStart"/>
      <w:r w:rsidRPr="0069189A">
        <w:rPr>
          <w:rFonts w:ascii="Arial" w:hAnsi="Arial" w:cs="Arial"/>
          <w:sz w:val="24"/>
          <w:szCs w:val="24"/>
        </w:rPr>
        <w:t>Aqmala</w:t>
      </w:r>
      <w:proofErr w:type="spellEnd"/>
      <w:r w:rsidRPr="0069189A">
        <w:rPr>
          <w:rFonts w:ascii="Arial" w:hAnsi="Arial" w:cs="Arial"/>
          <w:sz w:val="24"/>
          <w:szCs w:val="24"/>
        </w:rPr>
        <w:t xml:space="preserve"> et al., 2025). British Gas, on the other hand, is in a red ocean of past competition which is slowly adjusting to technological change and sustainability. Whereas the macro pressures relate to the opportunities of Octopus, the vast resources of British Gas promise the sense of renewal.</w:t>
      </w:r>
    </w:p>
    <w:p w14:paraId="757DDECD" w14:textId="625F4AD8" w:rsidR="00C77F32" w:rsidRPr="00C77F32" w:rsidRDefault="00A14FC7" w:rsidP="00DD5F17">
      <w:pPr>
        <w:pStyle w:val="Heading1"/>
      </w:pPr>
      <w:bookmarkStart w:id="5" w:name="_Toc212074423"/>
      <w:r w:rsidRPr="004D1F45">
        <w:rPr>
          <w:bCs/>
        </w:rPr>
        <w:t>3</w:t>
      </w:r>
      <w:r w:rsidR="00C77F32" w:rsidRPr="004D1F45">
        <w:rPr>
          <w:bCs/>
        </w:rPr>
        <w:t>. Task</w:t>
      </w:r>
      <w:r w:rsidR="00C77F32" w:rsidRPr="00C77F32">
        <w:t xml:space="preserve"> 2 </w:t>
      </w:r>
      <w:r w:rsidR="006934E9">
        <w:t>-</w:t>
      </w:r>
      <w:r w:rsidR="00C77F32" w:rsidRPr="00C77F32">
        <w:t xml:space="preserve"> Strategic Marketing Responses</w:t>
      </w:r>
      <w:bookmarkEnd w:id="5"/>
    </w:p>
    <w:p w14:paraId="78D952D5" w14:textId="13654BB1" w:rsidR="00C77F32" w:rsidRPr="00C77F32" w:rsidRDefault="00A14FC7" w:rsidP="006934E9">
      <w:pPr>
        <w:pStyle w:val="Heading2"/>
      </w:pPr>
      <w:bookmarkStart w:id="6" w:name="_Toc212074424"/>
      <w:r w:rsidRPr="0069189A">
        <w:t>3</w:t>
      </w:r>
      <w:r w:rsidR="00C77F32" w:rsidRPr="00C77F32">
        <w:t>.1 Strategic Overview</w:t>
      </w:r>
      <w:bookmarkEnd w:id="6"/>
    </w:p>
    <w:p w14:paraId="2678B49C" w14:textId="1AC1BD3B" w:rsidR="00A14FC7" w:rsidRPr="00A14FC7" w:rsidRDefault="00A14FC7" w:rsidP="0069189A">
      <w:pPr>
        <w:spacing w:line="360" w:lineRule="auto"/>
        <w:jc w:val="both"/>
        <w:rPr>
          <w:rFonts w:ascii="Arial" w:hAnsi="Arial" w:cs="Arial"/>
          <w:sz w:val="24"/>
          <w:szCs w:val="24"/>
        </w:rPr>
      </w:pPr>
      <w:r w:rsidRPr="00A14FC7">
        <w:rPr>
          <w:rFonts w:ascii="Arial" w:hAnsi="Arial" w:cs="Arial"/>
          <w:sz w:val="24"/>
          <w:szCs w:val="24"/>
        </w:rPr>
        <w:t xml:space="preserve">The strategic marketing responses identify the </w:t>
      </w:r>
      <w:r w:rsidRPr="0069189A">
        <w:rPr>
          <w:rFonts w:ascii="Arial" w:hAnsi="Arial" w:cs="Arial"/>
          <w:sz w:val="24"/>
          <w:szCs w:val="24"/>
        </w:rPr>
        <w:t>way</w:t>
      </w:r>
      <w:r w:rsidRPr="00A14FC7">
        <w:rPr>
          <w:rFonts w:ascii="Arial" w:hAnsi="Arial" w:cs="Arial"/>
          <w:sz w:val="24"/>
          <w:szCs w:val="24"/>
        </w:rPr>
        <w:t xml:space="preserve"> firms create values based on the macro-environmental pressures. In the case of Russia, the core of the competitive identity of Octopus Energy is near to technological agility and sustainability, whereas British Gas is guided by the understanding that scale and brand trust will assist it in overcoming the challenge of transformation. As both companies respond to changing UK energy environment, the innovation will see them segment, differentiate their positions as well as integrated their marketing-mix to stay competitive (Ofgem, 2025).</w:t>
      </w:r>
    </w:p>
    <w:p w14:paraId="65F422D2" w14:textId="5C4BBD7B" w:rsidR="005D6E3A" w:rsidRPr="0069189A" w:rsidRDefault="005D6E3A" w:rsidP="006934E9">
      <w:pPr>
        <w:spacing w:line="360" w:lineRule="auto"/>
        <w:jc w:val="center"/>
        <w:rPr>
          <w:rFonts w:ascii="Arial" w:hAnsi="Arial" w:cs="Arial"/>
          <w:sz w:val="24"/>
          <w:szCs w:val="24"/>
        </w:rPr>
      </w:pPr>
      <w:r w:rsidRPr="0069189A">
        <w:rPr>
          <w:rFonts w:ascii="Arial" w:hAnsi="Arial" w:cs="Arial"/>
          <w:noProof/>
          <w:sz w:val="24"/>
          <w:szCs w:val="24"/>
        </w:rPr>
        <w:drawing>
          <wp:inline distT="0" distB="0" distL="0" distR="0" wp14:anchorId="60B0ED53" wp14:editId="5F669D65">
            <wp:extent cx="3238500" cy="3137297"/>
            <wp:effectExtent l="0" t="0" r="0" b="6350"/>
            <wp:docPr id="18959623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962375" name="Picture 1895962375"/>
                    <pic:cNvPicPr/>
                  </pic:nvPicPr>
                  <pic:blipFill rotWithShape="1">
                    <a:blip r:embed="rId10" cstate="print">
                      <a:extLst>
                        <a:ext uri="{28A0092B-C50C-407E-A947-70E740481C1C}">
                          <a14:useLocalDpi xmlns:a14="http://schemas.microsoft.com/office/drawing/2010/main" val="0"/>
                        </a:ext>
                      </a:extLst>
                    </a:blip>
                    <a:srcRect l="7645" t="7977" r="7269" b="9594"/>
                    <a:stretch>
                      <a:fillRect/>
                    </a:stretch>
                  </pic:blipFill>
                  <pic:spPr bwMode="auto">
                    <a:xfrm>
                      <a:off x="0" y="0"/>
                      <a:ext cx="3240842" cy="3139566"/>
                    </a:xfrm>
                    <a:prstGeom prst="rect">
                      <a:avLst/>
                    </a:prstGeom>
                    <a:ln>
                      <a:noFill/>
                    </a:ln>
                    <a:extLst>
                      <a:ext uri="{53640926-AAD7-44D8-BBD7-CCE9431645EC}">
                        <a14:shadowObscured xmlns:a14="http://schemas.microsoft.com/office/drawing/2010/main"/>
                      </a:ext>
                    </a:extLst>
                  </pic:spPr>
                </pic:pic>
              </a:graphicData>
            </a:graphic>
          </wp:inline>
        </w:drawing>
      </w:r>
    </w:p>
    <w:p w14:paraId="3AEE884F" w14:textId="4CB1425E" w:rsidR="005D6E3A" w:rsidRPr="00C77F32" w:rsidRDefault="005D6E3A" w:rsidP="0069189A">
      <w:pPr>
        <w:spacing w:line="360" w:lineRule="auto"/>
        <w:jc w:val="both"/>
        <w:rPr>
          <w:rFonts w:ascii="Arial" w:hAnsi="Arial" w:cs="Arial"/>
          <w:sz w:val="24"/>
          <w:szCs w:val="24"/>
        </w:rPr>
      </w:pPr>
      <w:r w:rsidRPr="0069189A">
        <w:rPr>
          <w:rFonts w:ascii="Arial" w:hAnsi="Arial" w:cs="Arial"/>
          <w:sz w:val="24"/>
          <w:szCs w:val="24"/>
        </w:rPr>
        <w:t>Figure 3: Integration of STP and 7Ps frameworks for strategic marketing response in the UK energy sector.</w:t>
      </w:r>
    </w:p>
    <w:p w14:paraId="69C2B0E0" w14:textId="2F8AE809" w:rsidR="00C77F32" w:rsidRPr="00C77F32" w:rsidRDefault="00A14FC7" w:rsidP="006934E9">
      <w:pPr>
        <w:pStyle w:val="Heading2"/>
      </w:pPr>
      <w:bookmarkStart w:id="7" w:name="_Toc212074425"/>
      <w:r w:rsidRPr="0069189A">
        <w:t>3</w:t>
      </w:r>
      <w:r w:rsidR="00C77F32" w:rsidRPr="00C77F32">
        <w:t>.2 STP Framework Analysis</w:t>
      </w:r>
      <w:bookmarkEnd w:id="7"/>
    </w:p>
    <w:p w14:paraId="6D087AAE" w14:textId="04DE8A71" w:rsidR="00C77F32" w:rsidRPr="00C77F32" w:rsidRDefault="00A14FC7" w:rsidP="0069189A">
      <w:pPr>
        <w:spacing w:line="360" w:lineRule="auto"/>
        <w:jc w:val="both"/>
        <w:rPr>
          <w:rFonts w:ascii="Arial" w:hAnsi="Arial" w:cs="Arial"/>
          <w:b/>
          <w:bCs/>
          <w:sz w:val="24"/>
          <w:szCs w:val="24"/>
        </w:rPr>
      </w:pPr>
      <w:r w:rsidRPr="0069189A">
        <w:rPr>
          <w:rFonts w:ascii="Arial" w:hAnsi="Arial" w:cs="Arial"/>
          <w:b/>
          <w:bCs/>
          <w:sz w:val="24"/>
          <w:szCs w:val="24"/>
        </w:rPr>
        <w:t>3</w:t>
      </w:r>
      <w:r w:rsidR="00C77F32" w:rsidRPr="00C77F32">
        <w:rPr>
          <w:rFonts w:ascii="Arial" w:hAnsi="Arial" w:cs="Arial"/>
          <w:b/>
          <w:bCs/>
          <w:sz w:val="24"/>
          <w:szCs w:val="24"/>
        </w:rPr>
        <w:t>.2.1 Segmentation</w:t>
      </w:r>
    </w:p>
    <w:p w14:paraId="0D2631B4" w14:textId="72657301" w:rsidR="00A14FC7" w:rsidRPr="0069189A" w:rsidRDefault="00A14FC7" w:rsidP="0069189A">
      <w:pPr>
        <w:spacing w:line="360" w:lineRule="auto"/>
        <w:jc w:val="both"/>
        <w:rPr>
          <w:rFonts w:ascii="Arial" w:hAnsi="Arial" w:cs="Arial"/>
          <w:sz w:val="24"/>
          <w:szCs w:val="24"/>
        </w:rPr>
      </w:pPr>
      <w:r w:rsidRPr="0069189A">
        <w:rPr>
          <w:rFonts w:ascii="Arial" w:hAnsi="Arial" w:cs="Arial"/>
          <w:sz w:val="24"/>
          <w:szCs w:val="24"/>
        </w:rPr>
        <w:t xml:space="preserve">Octopus Energy divides the market into various groups by demographics and psychographics, targeting digitally driven and environmentally-conscious customers that require tech-driven solutions that are transparent. It has a segmentation strategy that fits with Marketing 4.0, which focuses on human-centric connected experiences (Kotler, </w:t>
      </w:r>
      <w:proofErr w:type="spellStart"/>
      <w:r w:rsidRPr="0069189A">
        <w:rPr>
          <w:rFonts w:ascii="Arial" w:hAnsi="Arial" w:cs="Arial"/>
          <w:sz w:val="24"/>
          <w:szCs w:val="24"/>
        </w:rPr>
        <w:t>Kartajaya</w:t>
      </w:r>
      <w:proofErr w:type="spellEnd"/>
      <w:r w:rsidRPr="0069189A">
        <w:rPr>
          <w:rFonts w:ascii="Arial" w:hAnsi="Arial" w:cs="Arial"/>
          <w:sz w:val="24"/>
          <w:szCs w:val="24"/>
        </w:rPr>
        <w:t xml:space="preserve"> and Setiawan, 2017). British Gas is a mass-market segmented firm and targets both business and residential clients. Nevertheless, it is also paying more attention to niche markets like smart-home users and low-carbon fans by its Hive products (Centrica plc, 2025). Whereas Octopus has focused on micro-segments that are driven by innovativeness, British Gas still relies on conventional customer bases that are gradually moving to digital platforms.</w:t>
      </w:r>
    </w:p>
    <w:p w14:paraId="294A804A" w14:textId="6F98C032" w:rsidR="00C77F32" w:rsidRPr="00C77F32" w:rsidRDefault="00A14FC7" w:rsidP="0069189A">
      <w:pPr>
        <w:spacing w:line="360" w:lineRule="auto"/>
        <w:jc w:val="both"/>
        <w:rPr>
          <w:rFonts w:ascii="Arial" w:hAnsi="Arial" w:cs="Arial"/>
          <w:b/>
          <w:bCs/>
          <w:sz w:val="24"/>
          <w:szCs w:val="24"/>
        </w:rPr>
      </w:pPr>
      <w:r w:rsidRPr="0069189A">
        <w:rPr>
          <w:rFonts w:ascii="Arial" w:hAnsi="Arial" w:cs="Arial"/>
          <w:b/>
          <w:bCs/>
          <w:sz w:val="24"/>
          <w:szCs w:val="24"/>
        </w:rPr>
        <w:t>3</w:t>
      </w:r>
      <w:r w:rsidR="00C77F32" w:rsidRPr="00C77F32">
        <w:rPr>
          <w:rFonts w:ascii="Arial" w:hAnsi="Arial" w:cs="Arial"/>
          <w:b/>
          <w:bCs/>
          <w:sz w:val="24"/>
          <w:szCs w:val="24"/>
        </w:rPr>
        <w:t>.2.2 Targeting</w:t>
      </w:r>
    </w:p>
    <w:p w14:paraId="19F273FD" w14:textId="3068CC14" w:rsidR="00A14FC7" w:rsidRPr="0069189A" w:rsidRDefault="00A14FC7" w:rsidP="0069189A">
      <w:pPr>
        <w:spacing w:line="360" w:lineRule="auto"/>
        <w:jc w:val="both"/>
        <w:rPr>
          <w:rFonts w:ascii="Arial" w:hAnsi="Arial" w:cs="Arial"/>
          <w:sz w:val="24"/>
          <w:szCs w:val="24"/>
        </w:rPr>
      </w:pPr>
      <w:r w:rsidRPr="0069189A">
        <w:rPr>
          <w:rFonts w:ascii="Arial" w:hAnsi="Arial" w:cs="Arial"/>
          <w:sz w:val="24"/>
          <w:szCs w:val="24"/>
        </w:rPr>
        <w:t>Octopus will use data analytics to apply differentiated targeting by setting tariffs and services based on behavioural tendencies and usage patterns (</w:t>
      </w:r>
      <w:proofErr w:type="spellStart"/>
      <w:r w:rsidRPr="0069189A">
        <w:rPr>
          <w:rFonts w:ascii="Arial" w:hAnsi="Arial" w:cs="Arial"/>
          <w:sz w:val="24"/>
          <w:szCs w:val="24"/>
        </w:rPr>
        <w:t>techUK</w:t>
      </w:r>
      <w:proofErr w:type="spellEnd"/>
      <w:r w:rsidRPr="0069189A">
        <w:rPr>
          <w:rFonts w:ascii="Arial" w:hAnsi="Arial" w:cs="Arial"/>
          <w:sz w:val="24"/>
          <w:szCs w:val="24"/>
        </w:rPr>
        <w:t>, 2024). It provides hyper-personalised communication using the Kraken platform and adaptable billing schemes (Octopus Energy Group Ltd, 2023). British Gas has been maintaining a wide targeting strategy which is based on loyalty programs and standard tariffs. This is helpful in supporting the stability of the market but it restricts agility as compared to the data-driven targeting model of Octopus.</w:t>
      </w:r>
    </w:p>
    <w:p w14:paraId="67AAF23A" w14:textId="1E65CB20" w:rsidR="00C77F32" w:rsidRPr="00C77F32" w:rsidRDefault="00A14FC7" w:rsidP="0069189A">
      <w:pPr>
        <w:spacing w:line="360" w:lineRule="auto"/>
        <w:jc w:val="both"/>
        <w:rPr>
          <w:rFonts w:ascii="Arial" w:hAnsi="Arial" w:cs="Arial"/>
          <w:b/>
          <w:bCs/>
          <w:sz w:val="24"/>
          <w:szCs w:val="24"/>
        </w:rPr>
      </w:pPr>
      <w:r w:rsidRPr="0069189A">
        <w:rPr>
          <w:rFonts w:ascii="Arial" w:hAnsi="Arial" w:cs="Arial"/>
          <w:b/>
          <w:bCs/>
          <w:sz w:val="24"/>
          <w:szCs w:val="24"/>
        </w:rPr>
        <w:t>3</w:t>
      </w:r>
      <w:r w:rsidR="00C77F32" w:rsidRPr="00C77F32">
        <w:rPr>
          <w:rFonts w:ascii="Arial" w:hAnsi="Arial" w:cs="Arial"/>
          <w:b/>
          <w:bCs/>
          <w:sz w:val="24"/>
          <w:szCs w:val="24"/>
        </w:rPr>
        <w:t>.2.3 Positioning</w:t>
      </w:r>
    </w:p>
    <w:p w14:paraId="035E283B" w14:textId="1F905721" w:rsidR="00F440E7" w:rsidRPr="0069189A" w:rsidRDefault="00A14FC7" w:rsidP="0069189A">
      <w:pPr>
        <w:spacing w:line="360" w:lineRule="auto"/>
        <w:jc w:val="both"/>
        <w:rPr>
          <w:rFonts w:ascii="Arial" w:hAnsi="Arial" w:cs="Arial"/>
          <w:sz w:val="24"/>
          <w:szCs w:val="24"/>
        </w:rPr>
      </w:pPr>
      <w:r w:rsidRPr="0069189A">
        <w:rPr>
          <w:rFonts w:ascii="Arial" w:hAnsi="Arial" w:cs="Arial"/>
          <w:sz w:val="24"/>
          <w:szCs w:val="24"/>
        </w:rPr>
        <w:t>Octopus presents itself as a new, transparent, and sustainable online utility. Its position policy projects a sense of authenticity and credibility and is targeted at eco-conscious consumers (Energy UK, 2024). British Gas, in its turn, brands itself in terms of tradition, trustworthiness, and serving the whole nation by trying to revitalize the brand with sustainability practices like the Greener Futures. Although the positioning of the Blue Ocean Strategy by creating a vacuity in the green tech markets is met by the creation of space by Octopus, British Gas still exists in a Red Ocean of conventional competition with price and service retention (</w:t>
      </w:r>
      <w:proofErr w:type="spellStart"/>
      <w:r w:rsidRPr="0069189A">
        <w:rPr>
          <w:rFonts w:ascii="Arial" w:hAnsi="Arial" w:cs="Arial"/>
          <w:sz w:val="24"/>
          <w:szCs w:val="24"/>
        </w:rPr>
        <w:t>Aqmala</w:t>
      </w:r>
      <w:proofErr w:type="spellEnd"/>
      <w:r w:rsidRPr="0069189A">
        <w:rPr>
          <w:rFonts w:ascii="Arial" w:hAnsi="Arial" w:cs="Arial"/>
          <w:sz w:val="24"/>
          <w:szCs w:val="24"/>
        </w:rPr>
        <w:t xml:space="preserve"> et al., 2025).</w:t>
      </w:r>
    </w:p>
    <w:p w14:paraId="25646146" w14:textId="77777777" w:rsidR="00F440E7" w:rsidRDefault="00F440E7" w:rsidP="0069189A">
      <w:pPr>
        <w:spacing w:line="360" w:lineRule="auto"/>
        <w:jc w:val="both"/>
        <w:rPr>
          <w:rFonts w:ascii="Arial" w:hAnsi="Arial" w:cs="Arial"/>
          <w:sz w:val="24"/>
          <w:szCs w:val="24"/>
        </w:rPr>
      </w:pPr>
    </w:p>
    <w:p w14:paraId="48E6035B" w14:textId="77777777" w:rsidR="006934E9" w:rsidRDefault="006934E9" w:rsidP="0069189A">
      <w:pPr>
        <w:spacing w:line="360" w:lineRule="auto"/>
        <w:jc w:val="both"/>
        <w:rPr>
          <w:rFonts w:ascii="Arial" w:hAnsi="Arial" w:cs="Arial"/>
          <w:sz w:val="24"/>
          <w:szCs w:val="24"/>
        </w:rPr>
      </w:pPr>
    </w:p>
    <w:p w14:paraId="2A5C435E" w14:textId="77777777" w:rsidR="006934E9" w:rsidRDefault="006934E9" w:rsidP="0069189A">
      <w:pPr>
        <w:spacing w:line="360" w:lineRule="auto"/>
        <w:jc w:val="both"/>
        <w:rPr>
          <w:rFonts w:ascii="Arial" w:hAnsi="Arial" w:cs="Arial"/>
          <w:sz w:val="24"/>
          <w:szCs w:val="24"/>
        </w:rPr>
      </w:pPr>
    </w:p>
    <w:p w14:paraId="4FB67115" w14:textId="77777777" w:rsidR="006934E9" w:rsidRDefault="006934E9" w:rsidP="0069189A">
      <w:pPr>
        <w:spacing w:line="360" w:lineRule="auto"/>
        <w:jc w:val="both"/>
        <w:rPr>
          <w:rFonts w:ascii="Arial" w:hAnsi="Arial" w:cs="Arial"/>
          <w:sz w:val="24"/>
          <w:szCs w:val="24"/>
        </w:rPr>
      </w:pPr>
    </w:p>
    <w:p w14:paraId="67B61AC7" w14:textId="77777777" w:rsidR="006934E9" w:rsidRPr="0069189A" w:rsidRDefault="006934E9" w:rsidP="0069189A">
      <w:pPr>
        <w:spacing w:line="360" w:lineRule="auto"/>
        <w:jc w:val="both"/>
        <w:rPr>
          <w:rFonts w:ascii="Arial" w:hAnsi="Arial" w:cs="Arial"/>
          <w:sz w:val="24"/>
          <w:szCs w:val="24"/>
        </w:rPr>
      </w:pPr>
    </w:p>
    <w:p w14:paraId="3EC0DA0F" w14:textId="25D4F1BF" w:rsidR="00F440E7" w:rsidRPr="0069189A" w:rsidRDefault="00F440E7" w:rsidP="0069189A">
      <w:pPr>
        <w:spacing w:line="360" w:lineRule="auto"/>
        <w:jc w:val="both"/>
        <w:rPr>
          <w:rFonts w:ascii="Arial" w:hAnsi="Arial" w:cs="Arial"/>
          <w:b/>
          <w:bCs/>
          <w:sz w:val="24"/>
          <w:szCs w:val="24"/>
        </w:rPr>
      </w:pPr>
      <w:r w:rsidRPr="0069189A">
        <w:rPr>
          <w:rFonts w:ascii="Arial" w:hAnsi="Arial" w:cs="Arial"/>
          <w:b/>
          <w:bCs/>
          <w:sz w:val="24"/>
          <w:szCs w:val="24"/>
        </w:rPr>
        <w:t>Table 2: Comparison of Segmentation, Targeting, and Positioning (STP) Strategies between Octopus Energy and British Gas</w:t>
      </w:r>
    </w:p>
    <w:tbl>
      <w:tblPr>
        <w:tblStyle w:val="GridTable7Colorful-Accent5"/>
        <w:tblW w:w="0" w:type="auto"/>
        <w:tblLook w:val="04A0" w:firstRow="1" w:lastRow="0" w:firstColumn="1" w:lastColumn="0" w:noHBand="0" w:noVBand="1"/>
      </w:tblPr>
      <w:tblGrid>
        <w:gridCol w:w="1803"/>
        <w:gridCol w:w="3802"/>
        <w:gridCol w:w="3637"/>
      </w:tblGrid>
      <w:tr w:rsidR="00F440E7" w:rsidRPr="00F440E7" w14:paraId="0DCE628C" w14:textId="77777777" w:rsidTr="004D1F4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22F80419" w14:textId="77777777" w:rsidR="00F440E7" w:rsidRPr="00F440E7" w:rsidRDefault="00F440E7" w:rsidP="004D1F45">
            <w:pPr>
              <w:spacing w:line="360" w:lineRule="auto"/>
              <w:jc w:val="left"/>
              <w:rPr>
                <w:rFonts w:ascii="Arial" w:hAnsi="Arial" w:cs="Arial"/>
                <w:b w:val="0"/>
                <w:bCs w:val="0"/>
                <w:sz w:val="24"/>
                <w:szCs w:val="24"/>
              </w:rPr>
            </w:pPr>
            <w:r w:rsidRPr="00F440E7">
              <w:rPr>
                <w:rFonts w:ascii="Arial" w:hAnsi="Arial" w:cs="Arial"/>
                <w:sz w:val="24"/>
                <w:szCs w:val="24"/>
              </w:rPr>
              <w:t>Element</w:t>
            </w:r>
          </w:p>
        </w:tc>
        <w:tc>
          <w:tcPr>
            <w:tcW w:w="0" w:type="auto"/>
            <w:hideMark/>
          </w:tcPr>
          <w:p w14:paraId="1FC209ED" w14:textId="77777777" w:rsidR="00F440E7" w:rsidRPr="00F440E7" w:rsidRDefault="00F440E7" w:rsidP="004D1F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440E7">
              <w:rPr>
                <w:rFonts w:ascii="Arial" w:hAnsi="Arial" w:cs="Arial"/>
                <w:sz w:val="24"/>
                <w:szCs w:val="24"/>
              </w:rPr>
              <w:t>Octopus Energy</w:t>
            </w:r>
          </w:p>
        </w:tc>
        <w:tc>
          <w:tcPr>
            <w:tcW w:w="0" w:type="auto"/>
            <w:hideMark/>
          </w:tcPr>
          <w:p w14:paraId="72039094" w14:textId="77777777" w:rsidR="00F440E7" w:rsidRPr="00F440E7" w:rsidRDefault="00F440E7" w:rsidP="004D1F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440E7">
              <w:rPr>
                <w:rFonts w:ascii="Arial" w:hAnsi="Arial" w:cs="Arial"/>
                <w:sz w:val="24"/>
                <w:szCs w:val="24"/>
              </w:rPr>
              <w:t>British Gas</w:t>
            </w:r>
          </w:p>
        </w:tc>
      </w:tr>
      <w:tr w:rsidR="00F440E7" w:rsidRPr="00F440E7" w14:paraId="7EF05550" w14:textId="77777777" w:rsidTr="004D1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A7542D" w14:textId="77777777" w:rsidR="00F440E7" w:rsidRPr="00F440E7" w:rsidRDefault="00F440E7" w:rsidP="004D1F45">
            <w:pPr>
              <w:spacing w:line="360" w:lineRule="auto"/>
              <w:jc w:val="left"/>
              <w:rPr>
                <w:rFonts w:ascii="Arial" w:hAnsi="Arial" w:cs="Arial"/>
                <w:sz w:val="24"/>
                <w:szCs w:val="24"/>
              </w:rPr>
            </w:pPr>
            <w:r w:rsidRPr="00F440E7">
              <w:rPr>
                <w:rFonts w:ascii="Arial" w:hAnsi="Arial" w:cs="Arial"/>
                <w:b/>
                <w:bCs/>
                <w:sz w:val="24"/>
                <w:szCs w:val="24"/>
              </w:rPr>
              <w:t>Segmentation</w:t>
            </w:r>
          </w:p>
        </w:tc>
        <w:tc>
          <w:tcPr>
            <w:tcW w:w="0" w:type="auto"/>
            <w:hideMark/>
          </w:tcPr>
          <w:p w14:paraId="4B55087B" w14:textId="77777777" w:rsidR="00F440E7" w:rsidRPr="00F440E7" w:rsidRDefault="00F440E7" w:rsidP="004D1F4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440E7">
              <w:rPr>
                <w:rFonts w:ascii="Arial" w:hAnsi="Arial" w:cs="Arial"/>
                <w:sz w:val="24"/>
                <w:szCs w:val="24"/>
              </w:rPr>
              <w:t>Tech-savvy, eco-conscious, digital-first consumers.</w:t>
            </w:r>
          </w:p>
        </w:tc>
        <w:tc>
          <w:tcPr>
            <w:tcW w:w="0" w:type="auto"/>
            <w:hideMark/>
          </w:tcPr>
          <w:p w14:paraId="18333120" w14:textId="77777777" w:rsidR="00F440E7" w:rsidRPr="00F440E7" w:rsidRDefault="00F440E7" w:rsidP="004D1F4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440E7">
              <w:rPr>
                <w:rFonts w:ascii="Arial" w:hAnsi="Arial" w:cs="Arial"/>
                <w:sz w:val="24"/>
                <w:szCs w:val="24"/>
              </w:rPr>
              <w:t>Mass market, reliability-oriented customers.</w:t>
            </w:r>
          </w:p>
        </w:tc>
      </w:tr>
      <w:tr w:rsidR="00F440E7" w:rsidRPr="00F440E7" w14:paraId="0EEECA34" w14:textId="77777777" w:rsidTr="004D1F45">
        <w:tc>
          <w:tcPr>
            <w:cnfStyle w:val="001000000000" w:firstRow="0" w:lastRow="0" w:firstColumn="1" w:lastColumn="0" w:oddVBand="0" w:evenVBand="0" w:oddHBand="0" w:evenHBand="0" w:firstRowFirstColumn="0" w:firstRowLastColumn="0" w:lastRowFirstColumn="0" w:lastRowLastColumn="0"/>
            <w:tcW w:w="0" w:type="auto"/>
            <w:hideMark/>
          </w:tcPr>
          <w:p w14:paraId="6505E335" w14:textId="77777777" w:rsidR="00F440E7" w:rsidRPr="00F440E7" w:rsidRDefault="00F440E7" w:rsidP="004D1F45">
            <w:pPr>
              <w:spacing w:line="360" w:lineRule="auto"/>
              <w:jc w:val="left"/>
              <w:rPr>
                <w:rFonts w:ascii="Arial" w:hAnsi="Arial" w:cs="Arial"/>
                <w:sz w:val="24"/>
                <w:szCs w:val="24"/>
              </w:rPr>
            </w:pPr>
            <w:r w:rsidRPr="00F440E7">
              <w:rPr>
                <w:rFonts w:ascii="Arial" w:hAnsi="Arial" w:cs="Arial"/>
                <w:b/>
                <w:bCs/>
                <w:sz w:val="24"/>
                <w:szCs w:val="24"/>
              </w:rPr>
              <w:t>Targeting</w:t>
            </w:r>
          </w:p>
        </w:tc>
        <w:tc>
          <w:tcPr>
            <w:tcW w:w="0" w:type="auto"/>
            <w:hideMark/>
          </w:tcPr>
          <w:p w14:paraId="2DEA5FEA" w14:textId="77777777" w:rsidR="00F440E7" w:rsidRPr="00F440E7" w:rsidRDefault="00F440E7" w:rsidP="004D1F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440E7">
              <w:rPr>
                <w:rFonts w:ascii="Arial" w:hAnsi="Arial" w:cs="Arial"/>
                <w:sz w:val="24"/>
                <w:szCs w:val="24"/>
              </w:rPr>
              <w:t>Differentiated; tailored digital experiences using data analytics.</w:t>
            </w:r>
          </w:p>
        </w:tc>
        <w:tc>
          <w:tcPr>
            <w:tcW w:w="0" w:type="auto"/>
            <w:hideMark/>
          </w:tcPr>
          <w:p w14:paraId="136E70EC" w14:textId="77777777" w:rsidR="00F440E7" w:rsidRPr="00F440E7" w:rsidRDefault="00F440E7" w:rsidP="004D1F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440E7">
              <w:rPr>
                <w:rFonts w:ascii="Arial" w:hAnsi="Arial" w:cs="Arial"/>
                <w:sz w:val="24"/>
                <w:szCs w:val="24"/>
              </w:rPr>
              <w:t>Broad; focuses on large-scale retention and service reliability.</w:t>
            </w:r>
          </w:p>
        </w:tc>
      </w:tr>
      <w:tr w:rsidR="00F440E7" w:rsidRPr="00F440E7" w14:paraId="4E2499EF" w14:textId="77777777" w:rsidTr="004D1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CFF6C4" w14:textId="77777777" w:rsidR="00F440E7" w:rsidRPr="00F440E7" w:rsidRDefault="00F440E7" w:rsidP="004D1F45">
            <w:pPr>
              <w:spacing w:line="360" w:lineRule="auto"/>
              <w:jc w:val="left"/>
              <w:rPr>
                <w:rFonts w:ascii="Arial" w:hAnsi="Arial" w:cs="Arial"/>
                <w:sz w:val="24"/>
                <w:szCs w:val="24"/>
              </w:rPr>
            </w:pPr>
            <w:r w:rsidRPr="00F440E7">
              <w:rPr>
                <w:rFonts w:ascii="Arial" w:hAnsi="Arial" w:cs="Arial"/>
                <w:b/>
                <w:bCs/>
                <w:sz w:val="24"/>
                <w:szCs w:val="24"/>
              </w:rPr>
              <w:t>Positioning</w:t>
            </w:r>
          </w:p>
        </w:tc>
        <w:tc>
          <w:tcPr>
            <w:tcW w:w="0" w:type="auto"/>
            <w:hideMark/>
          </w:tcPr>
          <w:p w14:paraId="3A3AC127" w14:textId="77777777" w:rsidR="00F440E7" w:rsidRPr="00F440E7" w:rsidRDefault="00F440E7" w:rsidP="004D1F4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440E7">
              <w:rPr>
                <w:rFonts w:ascii="Arial" w:hAnsi="Arial" w:cs="Arial"/>
                <w:sz w:val="24"/>
                <w:szCs w:val="24"/>
              </w:rPr>
              <w:t>“Smart, transparent, sustainable energy provider.”</w:t>
            </w:r>
          </w:p>
        </w:tc>
        <w:tc>
          <w:tcPr>
            <w:tcW w:w="0" w:type="auto"/>
            <w:hideMark/>
          </w:tcPr>
          <w:p w14:paraId="7B10CA0F" w14:textId="77777777" w:rsidR="00F440E7" w:rsidRPr="00F440E7" w:rsidRDefault="00F440E7" w:rsidP="004D1F4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440E7">
              <w:rPr>
                <w:rFonts w:ascii="Arial" w:hAnsi="Arial" w:cs="Arial"/>
                <w:sz w:val="24"/>
                <w:szCs w:val="24"/>
              </w:rPr>
              <w:t>“Reliable, established, and transitioning to green.”</w:t>
            </w:r>
          </w:p>
        </w:tc>
      </w:tr>
    </w:tbl>
    <w:p w14:paraId="252AB238" w14:textId="77777777" w:rsidR="00F440E7" w:rsidRPr="00C77F32" w:rsidRDefault="00F440E7" w:rsidP="0069189A">
      <w:pPr>
        <w:spacing w:line="360" w:lineRule="auto"/>
        <w:jc w:val="both"/>
        <w:rPr>
          <w:rFonts w:ascii="Arial" w:hAnsi="Arial" w:cs="Arial"/>
          <w:sz w:val="24"/>
          <w:szCs w:val="24"/>
        </w:rPr>
      </w:pPr>
    </w:p>
    <w:p w14:paraId="71A0CDA2" w14:textId="735B2386" w:rsidR="00C77F32" w:rsidRPr="00C77F32" w:rsidRDefault="00440A62" w:rsidP="006934E9">
      <w:pPr>
        <w:pStyle w:val="Heading2"/>
      </w:pPr>
      <w:bookmarkStart w:id="8" w:name="_Toc212074426"/>
      <w:r w:rsidRPr="0069189A">
        <w:t>3</w:t>
      </w:r>
      <w:r w:rsidR="00C77F32" w:rsidRPr="00C77F32">
        <w:t>.3 Marketing Mix (7Ps) Responses</w:t>
      </w:r>
      <w:bookmarkEnd w:id="8"/>
    </w:p>
    <w:p w14:paraId="40FDBF4E" w14:textId="550C8BD1" w:rsidR="00C77F32" w:rsidRPr="00C77F32" w:rsidRDefault="00440A62" w:rsidP="0069189A">
      <w:pPr>
        <w:spacing w:line="360" w:lineRule="auto"/>
        <w:jc w:val="both"/>
        <w:rPr>
          <w:rFonts w:ascii="Arial" w:hAnsi="Arial" w:cs="Arial"/>
          <w:b/>
          <w:bCs/>
          <w:sz w:val="24"/>
          <w:szCs w:val="24"/>
        </w:rPr>
      </w:pPr>
      <w:r w:rsidRPr="0069189A">
        <w:rPr>
          <w:rFonts w:ascii="Arial" w:hAnsi="Arial" w:cs="Arial"/>
          <w:b/>
          <w:bCs/>
          <w:sz w:val="24"/>
          <w:szCs w:val="24"/>
        </w:rPr>
        <w:t>3</w:t>
      </w:r>
      <w:r w:rsidR="00C77F32" w:rsidRPr="00C77F32">
        <w:rPr>
          <w:rFonts w:ascii="Arial" w:hAnsi="Arial" w:cs="Arial"/>
          <w:b/>
          <w:bCs/>
          <w:sz w:val="24"/>
          <w:szCs w:val="24"/>
        </w:rPr>
        <w:t>.3.1 Product</w:t>
      </w:r>
    </w:p>
    <w:p w14:paraId="496E7FCC" w14:textId="77777777" w:rsidR="00A14FC7" w:rsidRPr="004D1F45" w:rsidRDefault="00A14FC7" w:rsidP="0069189A">
      <w:pPr>
        <w:spacing w:line="360" w:lineRule="auto"/>
        <w:jc w:val="both"/>
        <w:rPr>
          <w:rFonts w:ascii="Arial" w:hAnsi="Arial" w:cs="Arial"/>
          <w:sz w:val="24"/>
          <w:szCs w:val="24"/>
        </w:rPr>
      </w:pPr>
      <w:r w:rsidRPr="004D1F45">
        <w:rPr>
          <w:rFonts w:ascii="Arial" w:hAnsi="Arial" w:cs="Arial"/>
          <w:sz w:val="24"/>
          <w:szCs w:val="24"/>
        </w:rPr>
        <w:t>Octopus Energy integrates digital technology and sustainability through smart tariffs, EV charging, and 100% renewable electricity, enhancing ecological credibility and innovation leadership (Octopus Energy Ltd, 2024). British Gas expands gradually with Hive smart-home solutions and renewable tariffs (Centrica plc, 2024), but limited technological integration weakens overall differentiation and competitiveness.</w:t>
      </w:r>
    </w:p>
    <w:p w14:paraId="758F6AD4" w14:textId="4866037C" w:rsidR="00C77F32" w:rsidRPr="00C77F32" w:rsidRDefault="00440A62" w:rsidP="0069189A">
      <w:pPr>
        <w:spacing w:line="360" w:lineRule="auto"/>
        <w:jc w:val="both"/>
        <w:rPr>
          <w:rFonts w:ascii="Arial" w:hAnsi="Arial" w:cs="Arial"/>
          <w:b/>
          <w:bCs/>
          <w:sz w:val="24"/>
          <w:szCs w:val="24"/>
        </w:rPr>
      </w:pPr>
      <w:r w:rsidRPr="0069189A">
        <w:rPr>
          <w:rFonts w:ascii="Arial" w:hAnsi="Arial" w:cs="Arial"/>
          <w:b/>
          <w:bCs/>
          <w:sz w:val="24"/>
          <w:szCs w:val="24"/>
        </w:rPr>
        <w:t>3</w:t>
      </w:r>
      <w:r w:rsidR="00C77F32" w:rsidRPr="00C77F32">
        <w:rPr>
          <w:rFonts w:ascii="Arial" w:hAnsi="Arial" w:cs="Arial"/>
          <w:b/>
          <w:bCs/>
          <w:sz w:val="24"/>
          <w:szCs w:val="24"/>
        </w:rPr>
        <w:t>.3.2 Price</w:t>
      </w:r>
    </w:p>
    <w:p w14:paraId="0523C0FD" w14:textId="77777777" w:rsidR="00A14FC7" w:rsidRPr="0069189A" w:rsidRDefault="00A14FC7" w:rsidP="0069189A">
      <w:pPr>
        <w:spacing w:line="360" w:lineRule="auto"/>
        <w:jc w:val="both"/>
        <w:rPr>
          <w:rFonts w:ascii="Arial" w:hAnsi="Arial" w:cs="Arial"/>
          <w:sz w:val="24"/>
          <w:szCs w:val="24"/>
        </w:rPr>
      </w:pPr>
      <w:r w:rsidRPr="0069189A">
        <w:rPr>
          <w:rFonts w:ascii="Arial" w:hAnsi="Arial" w:cs="Arial"/>
          <w:sz w:val="24"/>
          <w:szCs w:val="24"/>
        </w:rPr>
        <w:t>Octopus Energy incorporates dynamic and data-driven pricing, which is rewarding in off-peak consumption and value-based strategies, which improves customer engagement and efficiency (Ofgem, 2025). By contrast, British Gas is dependent on standardised, controlled pricing schemes, which offer stability but make it less flexible- a position of a follower, more about retaining than creating.</w:t>
      </w:r>
    </w:p>
    <w:p w14:paraId="6187A2B7" w14:textId="066AF990" w:rsidR="00C77F32" w:rsidRPr="00C77F32" w:rsidRDefault="00440A62" w:rsidP="0069189A">
      <w:pPr>
        <w:spacing w:line="360" w:lineRule="auto"/>
        <w:jc w:val="both"/>
        <w:rPr>
          <w:rFonts w:ascii="Arial" w:hAnsi="Arial" w:cs="Arial"/>
          <w:b/>
          <w:bCs/>
          <w:sz w:val="24"/>
          <w:szCs w:val="24"/>
        </w:rPr>
      </w:pPr>
      <w:r w:rsidRPr="0069189A">
        <w:rPr>
          <w:rFonts w:ascii="Arial" w:hAnsi="Arial" w:cs="Arial"/>
          <w:b/>
          <w:bCs/>
          <w:sz w:val="24"/>
          <w:szCs w:val="24"/>
        </w:rPr>
        <w:t>3</w:t>
      </w:r>
      <w:r w:rsidR="00C77F32" w:rsidRPr="00C77F32">
        <w:rPr>
          <w:rFonts w:ascii="Arial" w:hAnsi="Arial" w:cs="Arial"/>
          <w:b/>
          <w:bCs/>
          <w:sz w:val="24"/>
          <w:szCs w:val="24"/>
        </w:rPr>
        <w:t>.3.3 Place (Distribution)</w:t>
      </w:r>
    </w:p>
    <w:p w14:paraId="036703ED" w14:textId="77777777" w:rsidR="00A14FC7" w:rsidRPr="0069189A" w:rsidRDefault="00A14FC7" w:rsidP="0069189A">
      <w:pPr>
        <w:spacing w:line="360" w:lineRule="auto"/>
        <w:jc w:val="both"/>
        <w:rPr>
          <w:rFonts w:ascii="Arial" w:hAnsi="Arial" w:cs="Arial"/>
          <w:sz w:val="24"/>
          <w:szCs w:val="24"/>
        </w:rPr>
      </w:pPr>
      <w:r w:rsidRPr="0069189A">
        <w:rPr>
          <w:rFonts w:ascii="Arial" w:hAnsi="Arial" w:cs="Arial"/>
          <w:sz w:val="24"/>
          <w:szCs w:val="24"/>
        </w:rPr>
        <w:t>The octopus has a fully digital distribution model therefore allowing one to sign up instantly and manage his account via the app. This solution makes it more accessible and reduces the physical overheads. British Gas insists on having both the online and call-centre which keep the traditional touchpoints with the older or less digital customers. This makes operations more costly but less responsive as it is inclusive.</w:t>
      </w:r>
    </w:p>
    <w:p w14:paraId="07C954DE" w14:textId="564F1653" w:rsidR="00C77F32" w:rsidRPr="00C77F32" w:rsidRDefault="00440A62" w:rsidP="0069189A">
      <w:pPr>
        <w:spacing w:line="360" w:lineRule="auto"/>
        <w:jc w:val="both"/>
        <w:rPr>
          <w:rFonts w:ascii="Arial" w:hAnsi="Arial" w:cs="Arial"/>
          <w:b/>
          <w:bCs/>
          <w:sz w:val="24"/>
          <w:szCs w:val="24"/>
        </w:rPr>
      </w:pPr>
      <w:r w:rsidRPr="0069189A">
        <w:rPr>
          <w:rFonts w:ascii="Arial" w:hAnsi="Arial" w:cs="Arial"/>
          <w:b/>
          <w:bCs/>
          <w:sz w:val="24"/>
          <w:szCs w:val="24"/>
        </w:rPr>
        <w:t>3</w:t>
      </w:r>
      <w:r w:rsidR="00C77F32" w:rsidRPr="00C77F32">
        <w:rPr>
          <w:rFonts w:ascii="Arial" w:hAnsi="Arial" w:cs="Arial"/>
          <w:b/>
          <w:bCs/>
          <w:sz w:val="24"/>
          <w:szCs w:val="24"/>
        </w:rPr>
        <w:t>.3.4 Promotion</w:t>
      </w:r>
    </w:p>
    <w:p w14:paraId="3C19C1AB" w14:textId="77777777" w:rsidR="00A14FC7" w:rsidRPr="00A14FC7" w:rsidRDefault="00A14FC7" w:rsidP="0069189A">
      <w:pPr>
        <w:spacing w:line="360" w:lineRule="auto"/>
        <w:jc w:val="both"/>
        <w:rPr>
          <w:rFonts w:ascii="Arial" w:hAnsi="Arial" w:cs="Arial"/>
          <w:sz w:val="24"/>
          <w:szCs w:val="24"/>
        </w:rPr>
      </w:pPr>
      <w:r w:rsidRPr="00A14FC7">
        <w:rPr>
          <w:rFonts w:ascii="Arial" w:hAnsi="Arial" w:cs="Arial"/>
          <w:sz w:val="24"/>
          <w:szCs w:val="24"/>
        </w:rPr>
        <w:t xml:space="preserve">The octopus has a fully digital distribution model therefore allowing one to sign up instantly and manage his account via the app. This solution makes it more accessible and reduces the physical overheads. British Gas insists on having both the online and call-centre which keep the traditional touchpoints with the older or less digital customers. This makes operations more costly but less responsive as it is inclusive. </w:t>
      </w:r>
    </w:p>
    <w:p w14:paraId="3C99E78B" w14:textId="45860D55" w:rsidR="00C77F32" w:rsidRPr="00C77F32" w:rsidRDefault="00440A62" w:rsidP="0069189A">
      <w:pPr>
        <w:spacing w:line="360" w:lineRule="auto"/>
        <w:jc w:val="both"/>
        <w:rPr>
          <w:rFonts w:ascii="Arial" w:hAnsi="Arial" w:cs="Arial"/>
          <w:b/>
          <w:bCs/>
          <w:sz w:val="24"/>
          <w:szCs w:val="24"/>
        </w:rPr>
      </w:pPr>
      <w:r w:rsidRPr="0069189A">
        <w:rPr>
          <w:rFonts w:ascii="Arial" w:hAnsi="Arial" w:cs="Arial"/>
          <w:b/>
          <w:bCs/>
          <w:sz w:val="24"/>
          <w:szCs w:val="24"/>
        </w:rPr>
        <w:t>3</w:t>
      </w:r>
      <w:r w:rsidR="00C77F32" w:rsidRPr="00C77F32">
        <w:rPr>
          <w:rFonts w:ascii="Arial" w:hAnsi="Arial" w:cs="Arial"/>
          <w:b/>
          <w:bCs/>
          <w:sz w:val="24"/>
          <w:szCs w:val="24"/>
        </w:rPr>
        <w:t>.3.5 People</w:t>
      </w:r>
    </w:p>
    <w:p w14:paraId="3D340DEB" w14:textId="77777777" w:rsidR="00A14FC7" w:rsidRPr="0069189A" w:rsidRDefault="00A14FC7" w:rsidP="0069189A">
      <w:pPr>
        <w:spacing w:line="360" w:lineRule="auto"/>
        <w:jc w:val="both"/>
        <w:rPr>
          <w:rFonts w:ascii="Arial" w:hAnsi="Arial" w:cs="Arial"/>
          <w:sz w:val="24"/>
          <w:szCs w:val="24"/>
        </w:rPr>
      </w:pPr>
      <w:r w:rsidRPr="0069189A">
        <w:rPr>
          <w:rFonts w:ascii="Arial" w:hAnsi="Arial" w:cs="Arial"/>
          <w:sz w:val="24"/>
          <w:szCs w:val="24"/>
        </w:rPr>
        <w:t>Employee empowerment and service empathy are the key principles in Octopus, as well as a culture of innovative choices focusing on the needs of customers (Octopus Energy Group Ltd, 2023). British Gas has expanded its training on skill on digital skills but reports internal resistance to the use of the legacy culture (Centrica plc, 2025). Organisational culture will therefore have an impact in the effectiveness with which each firm adopts technological and environmental change.</w:t>
      </w:r>
    </w:p>
    <w:p w14:paraId="03436D27" w14:textId="025A22F5" w:rsidR="00C77F32" w:rsidRPr="00C77F32" w:rsidRDefault="00440A62" w:rsidP="0069189A">
      <w:pPr>
        <w:spacing w:line="360" w:lineRule="auto"/>
        <w:jc w:val="both"/>
        <w:rPr>
          <w:rFonts w:ascii="Arial" w:hAnsi="Arial" w:cs="Arial"/>
          <w:b/>
          <w:bCs/>
          <w:sz w:val="24"/>
          <w:szCs w:val="24"/>
        </w:rPr>
      </w:pPr>
      <w:r w:rsidRPr="0069189A">
        <w:rPr>
          <w:rFonts w:ascii="Arial" w:hAnsi="Arial" w:cs="Arial"/>
          <w:b/>
          <w:bCs/>
          <w:sz w:val="24"/>
          <w:szCs w:val="24"/>
        </w:rPr>
        <w:t>3</w:t>
      </w:r>
      <w:r w:rsidR="00C77F32" w:rsidRPr="00C77F32">
        <w:rPr>
          <w:rFonts w:ascii="Arial" w:hAnsi="Arial" w:cs="Arial"/>
          <w:b/>
          <w:bCs/>
          <w:sz w:val="24"/>
          <w:szCs w:val="24"/>
        </w:rPr>
        <w:t>.3.6 Process</w:t>
      </w:r>
    </w:p>
    <w:p w14:paraId="52C3D171" w14:textId="77777777" w:rsidR="00A14FC7" w:rsidRPr="0069189A" w:rsidRDefault="00A14FC7" w:rsidP="0069189A">
      <w:pPr>
        <w:spacing w:line="360" w:lineRule="auto"/>
        <w:jc w:val="both"/>
        <w:rPr>
          <w:rFonts w:ascii="Arial" w:hAnsi="Arial" w:cs="Arial"/>
          <w:sz w:val="24"/>
          <w:szCs w:val="24"/>
        </w:rPr>
      </w:pPr>
      <w:r w:rsidRPr="0069189A">
        <w:rPr>
          <w:rFonts w:ascii="Arial" w:hAnsi="Arial" w:cs="Arial"/>
          <w:sz w:val="24"/>
          <w:szCs w:val="24"/>
        </w:rPr>
        <w:t>The automation of processes in the AI of Octopus in billing, support, and energy optimisation promotes consistency and convenience. Manual processes in British Gas result in a slower issue resolution process and less flexibility. To enhance customer perception, process modernisation is important.</w:t>
      </w:r>
    </w:p>
    <w:p w14:paraId="5A107515" w14:textId="13265A70" w:rsidR="00C77F32" w:rsidRPr="00C77F32" w:rsidRDefault="00440A62" w:rsidP="0069189A">
      <w:pPr>
        <w:spacing w:line="360" w:lineRule="auto"/>
        <w:jc w:val="both"/>
        <w:rPr>
          <w:rFonts w:ascii="Arial" w:hAnsi="Arial" w:cs="Arial"/>
          <w:b/>
          <w:bCs/>
          <w:sz w:val="24"/>
          <w:szCs w:val="24"/>
        </w:rPr>
      </w:pPr>
      <w:r w:rsidRPr="0069189A">
        <w:rPr>
          <w:rFonts w:ascii="Arial" w:hAnsi="Arial" w:cs="Arial"/>
          <w:b/>
          <w:bCs/>
          <w:sz w:val="24"/>
          <w:szCs w:val="24"/>
        </w:rPr>
        <w:t>3</w:t>
      </w:r>
      <w:r w:rsidR="00C77F32" w:rsidRPr="00C77F32">
        <w:rPr>
          <w:rFonts w:ascii="Arial" w:hAnsi="Arial" w:cs="Arial"/>
          <w:b/>
          <w:bCs/>
          <w:sz w:val="24"/>
          <w:szCs w:val="24"/>
        </w:rPr>
        <w:t>.3.7 Physical Evidence</w:t>
      </w:r>
    </w:p>
    <w:p w14:paraId="59C7B5EA" w14:textId="74F48E6F" w:rsidR="00F440E7" w:rsidRPr="00C77F32" w:rsidRDefault="00B312E0" w:rsidP="0069189A">
      <w:pPr>
        <w:spacing w:line="360" w:lineRule="auto"/>
        <w:jc w:val="both"/>
        <w:rPr>
          <w:rFonts w:ascii="Arial" w:hAnsi="Arial" w:cs="Arial"/>
          <w:sz w:val="24"/>
          <w:szCs w:val="24"/>
        </w:rPr>
      </w:pPr>
      <w:r w:rsidRPr="0069189A">
        <w:rPr>
          <w:rFonts w:ascii="Arial" w:hAnsi="Arial" w:cs="Arial"/>
          <w:sz w:val="24"/>
          <w:szCs w:val="24"/>
        </w:rPr>
        <w:t>The automation of processes in the AI of Octopus in billing, support, and energy optimisation promotes consistency and convenience. Manual processes in British Gas result in a slower issue resolution process and less flexibility. To enhance customer perception, process modernisation is important.</w:t>
      </w:r>
    </w:p>
    <w:p w14:paraId="22992354" w14:textId="5868E8C5" w:rsidR="00C77F32" w:rsidRPr="00C77F32" w:rsidRDefault="00440A62" w:rsidP="0069189A">
      <w:pPr>
        <w:spacing w:line="360" w:lineRule="auto"/>
        <w:jc w:val="both"/>
        <w:rPr>
          <w:rFonts w:ascii="Arial" w:hAnsi="Arial" w:cs="Arial"/>
          <w:b/>
          <w:bCs/>
          <w:sz w:val="24"/>
          <w:szCs w:val="24"/>
        </w:rPr>
      </w:pPr>
      <w:r w:rsidRPr="0069189A">
        <w:rPr>
          <w:rFonts w:ascii="Arial" w:hAnsi="Arial" w:cs="Arial"/>
          <w:b/>
          <w:bCs/>
          <w:sz w:val="24"/>
          <w:szCs w:val="24"/>
        </w:rPr>
        <w:t>3</w:t>
      </w:r>
      <w:r w:rsidR="00C77F32" w:rsidRPr="00C77F32">
        <w:rPr>
          <w:rFonts w:ascii="Arial" w:hAnsi="Arial" w:cs="Arial"/>
          <w:b/>
          <w:bCs/>
          <w:sz w:val="24"/>
          <w:szCs w:val="24"/>
        </w:rPr>
        <w:t>.4 Strategic Evaluation</w:t>
      </w:r>
    </w:p>
    <w:p w14:paraId="719D7E2B" w14:textId="0ABE882C" w:rsidR="00C77F32" w:rsidRPr="0069189A" w:rsidRDefault="00B312E0" w:rsidP="0069189A">
      <w:pPr>
        <w:spacing w:line="360" w:lineRule="auto"/>
        <w:jc w:val="both"/>
        <w:rPr>
          <w:rFonts w:ascii="Arial" w:hAnsi="Arial" w:cs="Arial"/>
          <w:sz w:val="24"/>
          <w:szCs w:val="24"/>
        </w:rPr>
      </w:pPr>
      <w:r w:rsidRPr="0069189A">
        <w:rPr>
          <w:rFonts w:ascii="Arial" w:hAnsi="Arial" w:cs="Arial"/>
          <w:sz w:val="24"/>
          <w:szCs w:val="24"/>
        </w:rPr>
        <w:t xml:space="preserve">Using the Resource-Based View, the Kraken platform of the company as an inimitable resource that leads to innovation and customer loyalty is the proprietary Kraken platform of Octopus, and British Gas depends on scale instead of differentiation (Khanra et al., 2021). In the light of Marketing 4.0, British Gas is transactional whereas in the case of the Octopus, it becomes </w:t>
      </w:r>
      <w:r w:rsidR="002A336E" w:rsidRPr="0069189A">
        <w:rPr>
          <w:rFonts w:ascii="Arial" w:hAnsi="Arial" w:cs="Arial"/>
          <w:sz w:val="24"/>
          <w:szCs w:val="24"/>
        </w:rPr>
        <w:t>digital human</w:t>
      </w:r>
      <w:r w:rsidRPr="0069189A">
        <w:rPr>
          <w:rFonts w:ascii="Arial" w:hAnsi="Arial" w:cs="Arial"/>
          <w:sz w:val="24"/>
          <w:szCs w:val="24"/>
        </w:rPr>
        <w:t xml:space="preserve"> because of interactive campaigns. Finally, there are innovators such as Octopus who are strategic proactive, and there are adaptive </w:t>
      </w:r>
      <w:proofErr w:type="spellStart"/>
      <w:r w:rsidRPr="0069189A">
        <w:rPr>
          <w:rFonts w:ascii="Arial" w:hAnsi="Arial" w:cs="Arial"/>
          <w:sz w:val="24"/>
          <w:szCs w:val="24"/>
        </w:rPr>
        <w:t>progressers</w:t>
      </w:r>
      <w:proofErr w:type="spellEnd"/>
      <w:r w:rsidRPr="0069189A">
        <w:rPr>
          <w:rFonts w:ascii="Arial" w:hAnsi="Arial" w:cs="Arial"/>
          <w:sz w:val="24"/>
          <w:szCs w:val="24"/>
        </w:rPr>
        <w:t xml:space="preserve"> such as British Gas. Long-term competitive power relies on the combination of technology, sustainability and customer centric agility, to provide long term marketing value.</w:t>
      </w:r>
    </w:p>
    <w:p w14:paraId="7C734853" w14:textId="6844D3F7" w:rsidR="00C77F32" w:rsidRPr="004D1F45" w:rsidRDefault="00440A62" w:rsidP="00DD5F17">
      <w:pPr>
        <w:pStyle w:val="Heading1"/>
        <w:rPr>
          <w:bCs/>
        </w:rPr>
      </w:pPr>
      <w:bookmarkStart w:id="9" w:name="_Toc212074427"/>
      <w:r w:rsidRPr="004D1F45">
        <w:rPr>
          <w:bCs/>
        </w:rPr>
        <w:t>4</w:t>
      </w:r>
      <w:r w:rsidR="00C77F32" w:rsidRPr="004D1F45">
        <w:rPr>
          <w:bCs/>
        </w:rPr>
        <w:t>. Conclusion</w:t>
      </w:r>
      <w:bookmarkEnd w:id="9"/>
    </w:p>
    <w:p w14:paraId="4D970F18" w14:textId="4896C4A3" w:rsidR="00C77F32" w:rsidRPr="0069189A" w:rsidRDefault="002A336E" w:rsidP="0069189A">
      <w:pPr>
        <w:spacing w:line="360" w:lineRule="auto"/>
        <w:jc w:val="both"/>
        <w:rPr>
          <w:rFonts w:ascii="Arial" w:hAnsi="Arial" w:cs="Arial"/>
          <w:sz w:val="24"/>
          <w:szCs w:val="24"/>
        </w:rPr>
      </w:pPr>
      <w:r w:rsidRPr="002A336E">
        <w:rPr>
          <w:rFonts w:ascii="Arial" w:hAnsi="Arial" w:cs="Arial"/>
          <w:sz w:val="24"/>
          <w:szCs w:val="24"/>
        </w:rPr>
        <w:t>The evaluation reveals that the technology and environmental forces characterize the strategic marketing management in the UK energy market. Octopus Energy being an innovator has applied the elements of innovation, digitalisation and sustainability to re-imagine the relationship with customers and their market demands. Its use of technology and development of green values are a fine example of strategic agility and response to macro-environmental threats as competitive advantages.</w:t>
      </w:r>
      <w:r>
        <w:rPr>
          <w:rFonts w:ascii="Arial" w:hAnsi="Arial" w:cs="Arial"/>
          <w:sz w:val="24"/>
          <w:szCs w:val="24"/>
        </w:rPr>
        <w:t xml:space="preserve"> </w:t>
      </w:r>
      <w:r w:rsidR="00B312E0" w:rsidRPr="0069189A">
        <w:rPr>
          <w:rFonts w:ascii="Arial" w:hAnsi="Arial" w:cs="Arial"/>
          <w:sz w:val="24"/>
          <w:szCs w:val="24"/>
        </w:rPr>
        <w:t xml:space="preserve">On the other hand, having solid financial and infrastructural competences, British Gas keeps developing via adaptive approaches to defending a market share. Its transformation is still in its </w:t>
      </w:r>
      <w:r w:rsidR="006677C6" w:rsidRPr="0069189A">
        <w:rPr>
          <w:rFonts w:ascii="Arial" w:hAnsi="Arial" w:cs="Arial"/>
          <w:sz w:val="24"/>
          <w:szCs w:val="24"/>
        </w:rPr>
        <w:t>stride,</w:t>
      </w:r>
      <w:r w:rsidR="00B312E0" w:rsidRPr="0069189A">
        <w:rPr>
          <w:rFonts w:ascii="Arial" w:hAnsi="Arial" w:cs="Arial"/>
          <w:sz w:val="24"/>
          <w:szCs w:val="24"/>
        </w:rPr>
        <w:t xml:space="preserve"> and it is indicative of the limitations of legacy and traditional market positioning. The long-term competitiveness in this business sector is finally determined by the capacity of each respective firm to match the technological competence with environmental accountability through models like STP, 7Ps, and Resource-Based View. Innovations and sustainability as marketing requirements will not only keep organisations alive but will spearhead the process of achieving an energy future that is smarter and greener.</w:t>
      </w:r>
    </w:p>
    <w:p w14:paraId="59FA4D37" w14:textId="77777777" w:rsidR="00440A62" w:rsidRDefault="00440A62" w:rsidP="0069189A">
      <w:pPr>
        <w:spacing w:line="360" w:lineRule="auto"/>
        <w:jc w:val="both"/>
        <w:rPr>
          <w:rFonts w:ascii="Arial" w:hAnsi="Arial" w:cs="Arial"/>
          <w:sz w:val="24"/>
          <w:szCs w:val="24"/>
        </w:rPr>
      </w:pPr>
    </w:p>
    <w:p w14:paraId="19C750A8" w14:textId="77777777" w:rsidR="006934E9" w:rsidRDefault="006934E9" w:rsidP="0069189A">
      <w:pPr>
        <w:spacing w:line="360" w:lineRule="auto"/>
        <w:jc w:val="both"/>
        <w:rPr>
          <w:rFonts w:ascii="Arial" w:hAnsi="Arial" w:cs="Arial"/>
          <w:sz w:val="24"/>
          <w:szCs w:val="24"/>
        </w:rPr>
      </w:pPr>
    </w:p>
    <w:p w14:paraId="2CB5E59F" w14:textId="77777777" w:rsidR="006934E9" w:rsidRDefault="006934E9" w:rsidP="0069189A">
      <w:pPr>
        <w:spacing w:line="360" w:lineRule="auto"/>
        <w:jc w:val="both"/>
        <w:rPr>
          <w:rFonts w:ascii="Arial" w:hAnsi="Arial" w:cs="Arial"/>
          <w:sz w:val="24"/>
          <w:szCs w:val="24"/>
        </w:rPr>
      </w:pPr>
    </w:p>
    <w:p w14:paraId="2706E2A4" w14:textId="77777777" w:rsidR="006934E9" w:rsidRDefault="006934E9" w:rsidP="0069189A">
      <w:pPr>
        <w:spacing w:line="360" w:lineRule="auto"/>
        <w:jc w:val="both"/>
        <w:rPr>
          <w:rFonts w:ascii="Arial" w:hAnsi="Arial" w:cs="Arial"/>
          <w:sz w:val="24"/>
          <w:szCs w:val="24"/>
        </w:rPr>
      </w:pPr>
    </w:p>
    <w:p w14:paraId="58062084" w14:textId="77777777" w:rsidR="006934E9" w:rsidRDefault="006934E9" w:rsidP="0069189A">
      <w:pPr>
        <w:spacing w:line="360" w:lineRule="auto"/>
        <w:jc w:val="both"/>
        <w:rPr>
          <w:rFonts w:ascii="Arial" w:hAnsi="Arial" w:cs="Arial"/>
          <w:sz w:val="24"/>
          <w:szCs w:val="24"/>
        </w:rPr>
      </w:pPr>
    </w:p>
    <w:p w14:paraId="50329C3A" w14:textId="77777777" w:rsidR="006934E9" w:rsidRPr="0069189A" w:rsidRDefault="006934E9" w:rsidP="0069189A">
      <w:pPr>
        <w:spacing w:line="360" w:lineRule="auto"/>
        <w:jc w:val="both"/>
        <w:rPr>
          <w:rFonts w:ascii="Arial" w:hAnsi="Arial" w:cs="Arial"/>
          <w:sz w:val="24"/>
          <w:szCs w:val="24"/>
        </w:rPr>
      </w:pPr>
    </w:p>
    <w:p w14:paraId="784886D1" w14:textId="1864BC95" w:rsidR="00440A62" w:rsidRPr="004D1F45" w:rsidRDefault="00440A62" w:rsidP="00DD5F17">
      <w:pPr>
        <w:pStyle w:val="Heading1"/>
      </w:pPr>
      <w:bookmarkStart w:id="10" w:name="_Toc212074428"/>
      <w:r w:rsidRPr="004D1F45">
        <w:t>5. References</w:t>
      </w:r>
      <w:bookmarkEnd w:id="10"/>
    </w:p>
    <w:p w14:paraId="6BB79BDA" w14:textId="77777777" w:rsidR="00440A62" w:rsidRPr="00440A62" w:rsidRDefault="00440A62" w:rsidP="00DD5F17">
      <w:pPr>
        <w:spacing w:line="360" w:lineRule="auto"/>
        <w:rPr>
          <w:rFonts w:ascii="Arial" w:hAnsi="Arial" w:cs="Arial"/>
          <w:sz w:val="24"/>
          <w:szCs w:val="24"/>
        </w:rPr>
      </w:pPr>
      <w:proofErr w:type="spellStart"/>
      <w:r w:rsidRPr="00440A62">
        <w:rPr>
          <w:rFonts w:ascii="Arial" w:hAnsi="Arial" w:cs="Arial"/>
          <w:sz w:val="24"/>
          <w:szCs w:val="24"/>
        </w:rPr>
        <w:t>Aqmala</w:t>
      </w:r>
      <w:proofErr w:type="spellEnd"/>
      <w:r w:rsidRPr="00440A62">
        <w:rPr>
          <w:rFonts w:ascii="Arial" w:hAnsi="Arial" w:cs="Arial"/>
          <w:sz w:val="24"/>
          <w:szCs w:val="24"/>
        </w:rPr>
        <w:t xml:space="preserve">, D. et al. (2025) ‘The role of green blue ocean strategy in enhancing frugal innovation through IoT and AI: A resource-based view perspective,’ Journal of Entrepreneurship Management and Innovation, 21(2), pp. 56–81. </w:t>
      </w:r>
      <w:hyperlink r:id="rId11" w:tgtFrame="_new" w:history="1">
        <w:r w:rsidRPr="00440A62">
          <w:rPr>
            <w:rStyle w:val="Hyperlink"/>
            <w:rFonts w:ascii="Arial" w:hAnsi="Arial" w:cs="Arial"/>
            <w:sz w:val="24"/>
            <w:szCs w:val="24"/>
          </w:rPr>
          <w:t>https://doi.org/10.7341/20252124</w:t>
        </w:r>
      </w:hyperlink>
      <w:r w:rsidRPr="00440A62">
        <w:rPr>
          <w:rFonts w:ascii="Arial" w:hAnsi="Arial" w:cs="Arial"/>
          <w:sz w:val="24"/>
          <w:szCs w:val="24"/>
        </w:rPr>
        <w:t>.</w:t>
      </w:r>
    </w:p>
    <w:p w14:paraId="7DE2E138" w14:textId="77777777" w:rsidR="00440A62" w:rsidRPr="00440A62" w:rsidRDefault="00440A62" w:rsidP="00DD5F17">
      <w:pPr>
        <w:spacing w:line="360" w:lineRule="auto"/>
        <w:rPr>
          <w:rFonts w:ascii="Arial" w:hAnsi="Arial" w:cs="Arial"/>
          <w:sz w:val="24"/>
          <w:szCs w:val="24"/>
        </w:rPr>
      </w:pPr>
      <w:proofErr w:type="spellStart"/>
      <w:r w:rsidRPr="00440A62">
        <w:rPr>
          <w:rFonts w:ascii="Arial" w:hAnsi="Arial" w:cs="Arial"/>
          <w:sz w:val="24"/>
          <w:szCs w:val="24"/>
        </w:rPr>
        <w:t>Bridoux</w:t>
      </w:r>
      <w:proofErr w:type="spellEnd"/>
      <w:r w:rsidRPr="00440A62">
        <w:rPr>
          <w:rFonts w:ascii="Arial" w:hAnsi="Arial" w:cs="Arial"/>
          <w:sz w:val="24"/>
          <w:szCs w:val="24"/>
        </w:rPr>
        <w:t xml:space="preserve">, F. and </w:t>
      </w:r>
      <w:proofErr w:type="spellStart"/>
      <w:r w:rsidRPr="00440A62">
        <w:rPr>
          <w:rFonts w:ascii="Arial" w:hAnsi="Arial" w:cs="Arial"/>
          <w:sz w:val="24"/>
          <w:szCs w:val="24"/>
        </w:rPr>
        <w:t>Stoelhorst</w:t>
      </w:r>
      <w:proofErr w:type="spellEnd"/>
      <w:r w:rsidRPr="00440A62">
        <w:rPr>
          <w:rFonts w:ascii="Arial" w:hAnsi="Arial" w:cs="Arial"/>
          <w:sz w:val="24"/>
          <w:szCs w:val="24"/>
        </w:rPr>
        <w:t xml:space="preserve">, J. (2022) ‘Stakeholder theory, strategy, and organization: Past, present, and future,’ Strategic Organization, 20(4), pp. 797–809. </w:t>
      </w:r>
      <w:hyperlink r:id="rId12" w:tgtFrame="_new" w:history="1">
        <w:r w:rsidRPr="00440A62">
          <w:rPr>
            <w:rStyle w:val="Hyperlink"/>
            <w:rFonts w:ascii="Arial" w:hAnsi="Arial" w:cs="Arial"/>
            <w:sz w:val="24"/>
            <w:szCs w:val="24"/>
          </w:rPr>
          <w:t>https://doi.org/10.1177/14761270221127628</w:t>
        </w:r>
      </w:hyperlink>
      <w:r w:rsidRPr="00440A62">
        <w:rPr>
          <w:rFonts w:ascii="Arial" w:hAnsi="Arial" w:cs="Arial"/>
          <w:sz w:val="24"/>
          <w:szCs w:val="24"/>
        </w:rPr>
        <w:t>.</w:t>
      </w:r>
    </w:p>
    <w:p w14:paraId="03E71842" w14:textId="77777777" w:rsidR="00440A62" w:rsidRPr="00440A62" w:rsidRDefault="00440A62" w:rsidP="00DD5F17">
      <w:pPr>
        <w:spacing w:line="360" w:lineRule="auto"/>
        <w:rPr>
          <w:rFonts w:ascii="Arial" w:hAnsi="Arial" w:cs="Arial"/>
          <w:sz w:val="24"/>
          <w:szCs w:val="24"/>
        </w:rPr>
      </w:pPr>
      <w:r w:rsidRPr="00440A62">
        <w:rPr>
          <w:rFonts w:ascii="Arial" w:hAnsi="Arial" w:cs="Arial"/>
          <w:sz w:val="24"/>
          <w:szCs w:val="24"/>
        </w:rPr>
        <w:t xml:space="preserve">Centrica plc (2024) Annual report 2024 – Business overview (British Gas). London: Centrica plc. Available at: </w:t>
      </w:r>
      <w:hyperlink r:id="rId13" w:tgtFrame="_new" w:history="1">
        <w:r w:rsidRPr="00440A62">
          <w:rPr>
            <w:rStyle w:val="Hyperlink"/>
            <w:rFonts w:ascii="Arial" w:hAnsi="Arial" w:cs="Arial"/>
            <w:sz w:val="24"/>
            <w:szCs w:val="24"/>
          </w:rPr>
          <w:t>https://www.centrica.com/investors/annual-report-2024/</w:t>
        </w:r>
      </w:hyperlink>
      <w:r w:rsidRPr="00440A62">
        <w:rPr>
          <w:rFonts w:ascii="Arial" w:hAnsi="Arial" w:cs="Arial"/>
          <w:sz w:val="24"/>
          <w:szCs w:val="24"/>
        </w:rPr>
        <w:t xml:space="preserve"> (Accessed: 22 October 2025).</w:t>
      </w:r>
    </w:p>
    <w:p w14:paraId="539A59A4" w14:textId="77777777" w:rsidR="00440A62" w:rsidRPr="00440A62" w:rsidRDefault="00440A62" w:rsidP="00DD5F17">
      <w:pPr>
        <w:spacing w:line="360" w:lineRule="auto"/>
        <w:rPr>
          <w:rFonts w:ascii="Arial" w:hAnsi="Arial" w:cs="Arial"/>
          <w:sz w:val="24"/>
          <w:szCs w:val="24"/>
        </w:rPr>
      </w:pPr>
      <w:r w:rsidRPr="00440A62">
        <w:rPr>
          <w:rFonts w:ascii="Arial" w:hAnsi="Arial" w:cs="Arial"/>
          <w:sz w:val="24"/>
          <w:szCs w:val="24"/>
        </w:rPr>
        <w:t xml:space="preserve">Centrica plc (2025) Annual report and accounts 2024. London: Centrica plc. Available at: </w:t>
      </w:r>
      <w:hyperlink r:id="rId14" w:tgtFrame="_new" w:history="1">
        <w:r w:rsidRPr="00440A62">
          <w:rPr>
            <w:rStyle w:val="Hyperlink"/>
            <w:rFonts w:ascii="Arial" w:hAnsi="Arial" w:cs="Arial"/>
            <w:sz w:val="24"/>
            <w:szCs w:val="24"/>
          </w:rPr>
          <w:t>https://www.centrica.com/media/2pjoazw0/annual-report-and-accounts-2024-untagged.pdf</w:t>
        </w:r>
      </w:hyperlink>
      <w:r w:rsidRPr="00440A62">
        <w:rPr>
          <w:rFonts w:ascii="Arial" w:hAnsi="Arial" w:cs="Arial"/>
          <w:sz w:val="24"/>
          <w:szCs w:val="24"/>
        </w:rPr>
        <w:t xml:space="preserve"> (Accessed: 22 October 2025).</w:t>
      </w:r>
    </w:p>
    <w:p w14:paraId="636DD539" w14:textId="77777777" w:rsidR="00440A62" w:rsidRPr="00440A62" w:rsidRDefault="00440A62" w:rsidP="00DD5F17">
      <w:pPr>
        <w:spacing w:line="360" w:lineRule="auto"/>
        <w:rPr>
          <w:rFonts w:ascii="Arial" w:hAnsi="Arial" w:cs="Arial"/>
          <w:sz w:val="24"/>
          <w:szCs w:val="24"/>
        </w:rPr>
      </w:pPr>
      <w:r w:rsidRPr="00440A62">
        <w:rPr>
          <w:rFonts w:ascii="Arial" w:hAnsi="Arial" w:cs="Arial"/>
          <w:sz w:val="24"/>
          <w:szCs w:val="24"/>
        </w:rPr>
        <w:t xml:space="preserve">Department for Energy Security and Net Zero (2024) UK energy in brief 2024. London: UK Government. Available at: </w:t>
      </w:r>
      <w:hyperlink r:id="rId15" w:tgtFrame="_new" w:history="1">
        <w:r w:rsidRPr="00440A62">
          <w:rPr>
            <w:rStyle w:val="Hyperlink"/>
            <w:rFonts w:ascii="Arial" w:hAnsi="Arial" w:cs="Arial"/>
            <w:sz w:val="24"/>
            <w:szCs w:val="24"/>
          </w:rPr>
          <w:t>https://assets.publishing.service.gov.uk/media/687f4cf592957f2ec567c64f/UK_Energy_in_Brief_2024.pdf</w:t>
        </w:r>
      </w:hyperlink>
      <w:r w:rsidRPr="00440A62">
        <w:rPr>
          <w:rFonts w:ascii="Arial" w:hAnsi="Arial" w:cs="Arial"/>
          <w:sz w:val="24"/>
          <w:szCs w:val="24"/>
        </w:rPr>
        <w:t xml:space="preserve"> (Accessed: 22 October 2025).</w:t>
      </w:r>
    </w:p>
    <w:p w14:paraId="0799D416" w14:textId="77777777" w:rsidR="00440A62" w:rsidRPr="00440A62" w:rsidRDefault="00440A62" w:rsidP="00DD5F17">
      <w:pPr>
        <w:spacing w:line="360" w:lineRule="auto"/>
        <w:rPr>
          <w:rFonts w:ascii="Arial" w:hAnsi="Arial" w:cs="Arial"/>
          <w:sz w:val="24"/>
          <w:szCs w:val="24"/>
        </w:rPr>
      </w:pPr>
      <w:r w:rsidRPr="00440A62">
        <w:rPr>
          <w:rFonts w:ascii="Arial" w:hAnsi="Arial" w:cs="Arial"/>
          <w:sz w:val="24"/>
          <w:szCs w:val="24"/>
        </w:rPr>
        <w:t>Khanra, S. et al. (2021) ‘A resource</w:t>
      </w:r>
      <w:r w:rsidRPr="00440A62">
        <w:rPr>
          <w:rFonts w:ascii="Cambria Math" w:hAnsi="Cambria Math" w:cs="Cambria Math"/>
          <w:sz w:val="24"/>
          <w:szCs w:val="24"/>
        </w:rPr>
        <w:t>‐</w:t>
      </w:r>
      <w:r w:rsidRPr="00440A62">
        <w:rPr>
          <w:rFonts w:ascii="Arial" w:hAnsi="Arial" w:cs="Arial"/>
          <w:sz w:val="24"/>
          <w:szCs w:val="24"/>
        </w:rPr>
        <w:t xml:space="preserve">based view of green innovation as a strategic firm resource: Present status and future directions,’ Business Strategy and the Environment, 31(4), pp. 1395–1413. </w:t>
      </w:r>
      <w:hyperlink r:id="rId16" w:tgtFrame="_new" w:history="1">
        <w:r w:rsidRPr="00440A62">
          <w:rPr>
            <w:rStyle w:val="Hyperlink"/>
            <w:rFonts w:ascii="Arial" w:hAnsi="Arial" w:cs="Arial"/>
            <w:sz w:val="24"/>
            <w:szCs w:val="24"/>
          </w:rPr>
          <w:t>https://doi.org/10.1002/bse.2961</w:t>
        </w:r>
      </w:hyperlink>
      <w:r w:rsidRPr="00440A62">
        <w:rPr>
          <w:rFonts w:ascii="Arial" w:hAnsi="Arial" w:cs="Arial"/>
          <w:sz w:val="24"/>
          <w:szCs w:val="24"/>
        </w:rPr>
        <w:t>.</w:t>
      </w:r>
    </w:p>
    <w:p w14:paraId="336A0471" w14:textId="77777777" w:rsidR="00440A62" w:rsidRPr="00440A62" w:rsidRDefault="00440A62" w:rsidP="00DD5F17">
      <w:pPr>
        <w:spacing w:line="360" w:lineRule="auto"/>
        <w:rPr>
          <w:rFonts w:ascii="Arial" w:hAnsi="Arial" w:cs="Arial"/>
          <w:sz w:val="24"/>
          <w:szCs w:val="24"/>
        </w:rPr>
      </w:pPr>
      <w:r w:rsidRPr="00440A62">
        <w:rPr>
          <w:rFonts w:ascii="Arial" w:hAnsi="Arial" w:cs="Arial"/>
          <w:sz w:val="24"/>
          <w:szCs w:val="24"/>
        </w:rPr>
        <w:t xml:space="preserve">Kotler, P., </w:t>
      </w:r>
      <w:proofErr w:type="spellStart"/>
      <w:r w:rsidRPr="00440A62">
        <w:rPr>
          <w:rFonts w:ascii="Arial" w:hAnsi="Arial" w:cs="Arial"/>
          <w:sz w:val="24"/>
          <w:szCs w:val="24"/>
        </w:rPr>
        <w:t>Kartajaya</w:t>
      </w:r>
      <w:proofErr w:type="spellEnd"/>
      <w:r w:rsidRPr="00440A62">
        <w:rPr>
          <w:rFonts w:ascii="Arial" w:hAnsi="Arial" w:cs="Arial"/>
          <w:sz w:val="24"/>
          <w:szCs w:val="24"/>
        </w:rPr>
        <w:t>, H. and Setiawan, I. (2017) Marketing 4.0: Moving from traditional to digital. Hoboken, New Jersey: John Wiley &amp; Sons.</w:t>
      </w:r>
    </w:p>
    <w:p w14:paraId="05394297" w14:textId="77777777" w:rsidR="00440A62" w:rsidRPr="00440A62" w:rsidRDefault="00440A62" w:rsidP="00DD5F17">
      <w:pPr>
        <w:spacing w:line="360" w:lineRule="auto"/>
        <w:rPr>
          <w:rFonts w:ascii="Arial" w:hAnsi="Arial" w:cs="Arial"/>
          <w:sz w:val="24"/>
          <w:szCs w:val="24"/>
        </w:rPr>
      </w:pPr>
      <w:r w:rsidRPr="00440A62">
        <w:rPr>
          <w:rFonts w:ascii="Arial" w:hAnsi="Arial" w:cs="Arial"/>
          <w:sz w:val="24"/>
          <w:szCs w:val="24"/>
        </w:rPr>
        <w:t xml:space="preserve">Makortoff, K. (2024) ‘British Gas profits leap from £72m to £751m in a year,’ The Guardian, 15 February. Available at: </w:t>
      </w:r>
      <w:hyperlink r:id="rId17" w:tgtFrame="_new" w:history="1">
        <w:r w:rsidRPr="00440A62">
          <w:rPr>
            <w:rStyle w:val="Hyperlink"/>
            <w:rFonts w:ascii="Arial" w:hAnsi="Arial" w:cs="Arial"/>
            <w:sz w:val="24"/>
            <w:szCs w:val="24"/>
          </w:rPr>
          <w:t>https://www.theguardian.com/business/2024/feb/15/british-gas-profits-energy-bills-centrica</w:t>
        </w:r>
      </w:hyperlink>
      <w:r w:rsidRPr="00440A62">
        <w:rPr>
          <w:rFonts w:ascii="Arial" w:hAnsi="Arial" w:cs="Arial"/>
          <w:sz w:val="24"/>
          <w:szCs w:val="24"/>
        </w:rPr>
        <w:t xml:space="preserve"> (Accessed: 22 October 2025).</w:t>
      </w:r>
    </w:p>
    <w:p w14:paraId="00BC3EAD" w14:textId="77777777" w:rsidR="00440A62" w:rsidRPr="00440A62" w:rsidRDefault="00440A62" w:rsidP="00DD5F17">
      <w:pPr>
        <w:spacing w:line="360" w:lineRule="auto"/>
        <w:rPr>
          <w:rFonts w:ascii="Arial" w:hAnsi="Arial" w:cs="Arial"/>
          <w:sz w:val="24"/>
          <w:szCs w:val="24"/>
        </w:rPr>
      </w:pPr>
      <w:r w:rsidRPr="00440A62">
        <w:rPr>
          <w:rFonts w:ascii="Arial" w:hAnsi="Arial" w:cs="Arial"/>
          <w:sz w:val="24"/>
          <w:szCs w:val="24"/>
        </w:rPr>
        <w:t xml:space="preserve">Octopus Energy Group Ltd (2023) Annual report and financial statements 2023. London: Octopus Energy Group Ltd. Available at: </w:t>
      </w:r>
      <w:hyperlink r:id="rId18" w:tgtFrame="_new" w:history="1">
        <w:r w:rsidRPr="00440A62">
          <w:rPr>
            <w:rStyle w:val="Hyperlink"/>
            <w:rFonts w:ascii="Arial" w:hAnsi="Arial" w:cs="Arial"/>
            <w:sz w:val="24"/>
            <w:szCs w:val="24"/>
          </w:rPr>
          <w:t>https://octoenergy-production-media.s3.amazonaws.com/documents/A0659_Octopus_Energy_Group_Limited_AR_2023_prf16_ForPublication.pdf</w:t>
        </w:r>
      </w:hyperlink>
      <w:r w:rsidRPr="00440A62">
        <w:rPr>
          <w:rFonts w:ascii="Arial" w:hAnsi="Arial" w:cs="Arial"/>
          <w:sz w:val="24"/>
          <w:szCs w:val="24"/>
        </w:rPr>
        <w:t xml:space="preserve"> (Accessed: 22 October 2025).</w:t>
      </w:r>
    </w:p>
    <w:p w14:paraId="50BD1F94" w14:textId="77777777" w:rsidR="00440A62" w:rsidRPr="00440A62" w:rsidRDefault="00440A62" w:rsidP="00DD5F17">
      <w:pPr>
        <w:spacing w:line="360" w:lineRule="auto"/>
        <w:rPr>
          <w:rFonts w:ascii="Arial" w:hAnsi="Arial" w:cs="Arial"/>
          <w:sz w:val="24"/>
          <w:szCs w:val="24"/>
        </w:rPr>
      </w:pPr>
      <w:r w:rsidRPr="00440A62">
        <w:rPr>
          <w:rFonts w:ascii="Arial" w:hAnsi="Arial" w:cs="Arial"/>
          <w:sz w:val="24"/>
          <w:szCs w:val="24"/>
        </w:rPr>
        <w:t xml:space="preserve">Octopus Energy Ltd (2024) Sustainability report 2023–24. London: Octopus Energy Ltd. Available at: </w:t>
      </w:r>
      <w:hyperlink r:id="rId19" w:tgtFrame="_new" w:history="1">
        <w:r w:rsidRPr="00440A62">
          <w:rPr>
            <w:rStyle w:val="Hyperlink"/>
            <w:rFonts w:ascii="Arial" w:hAnsi="Arial" w:cs="Arial"/>
            <w:sz w:val="24"/>
            <w:szCs w:val="24"/>
          </w:rPr>
          <w:t>https://octopusenergy.group/static/documents/Octopus_Energy_Group_Limited_Signed_1.pdf</w:t>
        </w:r>
      </w:hyperlink>
      <w:r w:rsidRPr="00440A62">
        <w:rPr>
          <w:rFonts w:ascii="Arial" w:hAnsi="Arial" w:cs="Arial"/>
          <w:sz w:val="24"/>
          <w:szCs w:val="24"/>
        </w:rPr>
        <w:t xml:space="preserve"> (Accessed: 22 October 2025).</w:t>
      </w:r>
    </w:p>
    <w:p w14:paraId="02715B78" w14:textId="77777777" w:rsidR="00440A62" w:rsidRPr="00440A62" w:rsidRDefault="00440A62" w:rsidP="00DD5F17">
      <w:pPr>
        <w:spacing w:line="360" w:lineRule="auto"/>
        <w:rPr>
          <w:rFonts w:ascii="Arial" w:hAnsi="Arial" w:cs="Arial"/>
          <w:sz w:val="24"/>
          <w:szCs w:val="24"/>
        </w:rPr>
      </w:pPr>
      <w:r w:rsidRPr="00440A62">
        <w:rPr>
          <w:rFonts w:ascii="Arial" w:hAnsi="Arial" w:cs="Arial"/>
          <w:sz w:val="24"/>
          <w:szCs w:val="24"/>
        </w:rPr>
        <w:t xml:space="preserve">Ofgem (2025) Annual report and accounts 2023–24. London: Ofgem. Available at: </w:t>
      </w:r>
      <w:hyperlink r:id="rId20" w:tgtFrame="_new" w:history="1">
        <w:r w:rsidRPr="00440A62">
          <w:rPr>
            <w:rStyle w:val="Hyperlink"/>
            <w:rFonts w:ascii="Arial" w:hAnsi="Arial" w:cs="Arial"/>
            <w:sz w:val="24"/>
            <w:szCs w:val="24"/>
          </w:rPr>
          <w:t>https://www.ofgem.gov.uk/sites/default/files/2025-04/Ofgem-annual-report-and-accounts-2023-2024.pdf</w:t>
        </w:r>
      </w:hyperlink>
      <w:r w:rsidRPr="00440A62">
        <w:rPr>
          <w:rFonts w:ascii="Arial" w:hAnsi="Arial" w:cs="Arial"/>
          <w:sz w:val="24"/>
          <w:szCs w:val="24"/>
        </w:rPr>
        <w:t xml:space="preserve"> (Accessed: 22 October 2025).</w:t>
      </w:r>
    </w:p>
    <w:p w14:paraId="51CEBC58" w14:textId="77777777" w:rsidR="00440A62" w:rsidRPr="00440A62" w:rsidRDefault="00440A62" w:rsidP="00DD5F17">
      <w:pPr>
        <w:spacing w:line="360" w:lineRule="auto"/>
        <w:rPr>
          <w:rFonts w:ascii="Arial" w:hAnsi="Arial" w:cs="Arial"/>
          <w:sz w:val="24"/>
          <w:szCs w:val="24"/>
        </w:rPr>
      </w:pPr>
      <w:proofErr w:type="spellStart"/>
      <w:r w:rsidRPr="00440A62">
        <w:rPr>
          <w:rFonts w:ascii="Arial" w:hAnsi="Arial" w:cs="Arial"/>
          <w:sz w:val="24"/>
          <w:szCs w:val="24"/>
        </w:rPr>
        <w:t>techUK</w:t>
      </w:r>
      <w:proofErr w:type="spellEnd"/>
      <w:r w:rsidRPr="00440A62">
        <w:rPr>
          <w:rFonts w:ascii="Arial" w:hAnsi="Arial" w:cs="Arial"/>
          <w:sz w:val="24"/>
          <w:szCs w:val="24"/>
        </w:rPr>
        <w:t xml:space="preserve"> (2024) Case study: Kraken’s generative AI tool for customer service. London: </w:t>
      </w:r>
      <w:proofErr w:type="spellStart"/>
      <w:r w:rsidRPr="00440A62">
        <w:rPr>
          <w:rFonts w:ascii="Arial" w:hAnsi="Arial" w:cs="Arial"/>
          <w:sz w:val="24"/>
          <w:szCs w:val="24"/>
        </w:rPr>
        <w:t>techUK</w:t>
      </w:r>
      <w:proofErr w:type="spellEnd"/>
      <w:r w:rsidRPr="00440A62">
        <w:rPr>
          <w:rFonts w:ascii="Arial" w:hAnsi="Arial" w:cs="Arial"/>
          <w:sz w:val="24"/>
          <w:szCs w:val="24"/>
        </w:rPr>
        <w:t xml:space="preserve">. Available at: </w:t>
      </w:r>
      <w:hyperlink r:id="rId21" w:tgtFrame="_new" w:history="1">
        <w:r w:rsidRPr="00440A62">
          <w:rPr>
            <w:rStyle w:val="Hyperlink"/>
            <w:rFonts w:ascii="Arial" w:hAnsi="Arial" w:cs="Arial"/>
            <w:sz w:val="24"/>
            <w:szCs w:val="24"/>
          </w:rPr>
          <w:t>https://www.techuk.org/resource/case-study-kraken-tech-s-generative-ai-tool-for-customer-service.html</w:t>
        </w:r>
      </w:hyperlink>
      <w:r w:rsidRPr="00440A62">
        <w:rPr>
          <w:rFonts w:ascii="Arial" w:hAnsi="Arial" w:cs="Arial"/>
          <w:sz w:val="24"/>
          <w:szCs w:val="24"/>
        </w:rPr>
        <w:t xml:space="preserve"> (Accessed: 22 October 2025).</w:t>
      </w:r>
    </w:p>
    <w:p w14:paraId="57688047" w14:textId="403C7DEC" w:rsidR="00440A62" w:rsidRPr="0069189A" w:rsidRDefault="00440A62" w:rsidP="0069189A">
      <w:pPr>
        <w:spacing w:line="360" w:lineRule="auto"/>
        <w:jc w:val="both"/>
        <w:rPr>
          <w:rFonts w:ascii="Arial" w:hAnsi="Arial" w:cs="Arial"/>
          <w:sz w:val="24"/>
          <w:szCs w:val="24"/>
        </w:rPr>
      </w:pPr>
    </w:p>
    <w:sectPr w:rsidR="00440A62" w:rsidRPr="0069189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9B1DA" w14:textId="77777777" w:rsidR="00935FBC" w:rsidRDefault="00935FBC" w:rsidP="0069189A">
      <w:pPr>
        <w:spacing w:after="0" w:line="240" w:lineRule="auto"/>
      </w:pPr>
      <w:r>
        <w:separator/>
      </w:r>
    </w:p>
  </w:endnote>
  <w:endnote w:type="continuationSeparator" w:id="0">
    <w:p w14:paraId="7E2AE93A" w14:textId="77777777" w:rsidR="00935FBC" w:rsidRDefault="00935FBC" w:rsidP="00691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4064195"/>
      <w:docPartObj>
        <w:docPartGallery w:val="Page Numbers (Bottom of Page)"/>
        <w:docPartUnique/>
      </w:docPartObj>
    </w:sdtPr>
    <w:sdtEndPr>
      <w:rPr>
        <w:noProof/>
      </w:rPr>
    </w:sdtEndPr>
    <w:sdtContent>
      <w:p w14:paraId="25FBD9DB" w14:textId="67393211" w:rsidR="0069189A" w:rsidRDefault="006918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544649" w14:textId="77777777" w:rsidR="0069189A" w:rsidRDefault="006918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AB632" w14:textId="77777777" w:rsidR="00935FBC" w:rsidRDefault="00935FBC" w:rsidP="0069189A">
      <w:pPr>
        <w:spacing w:after="0" w:line="240" w:lineRule="auto"/>
      </w:pPr>
      <w:r>
        <w:separator/>
      </w:r>
    </w:p>
  </w:footnote>
  <w:footnote w:type="continuationSeparator" w:id="0">
    <w:p w14:paraId="3F5A3373" w14:textId="77777777" w:rsidR="00935FBC" w:rsidRDefault="00935FBC" w:rsidP="006918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0307C"/>
    <w:rsid w:val="0002501F"/>
    <w:rsid w:val="001169A1"/>
    <w:rsid w:val="002A336E"/>
    <w:rsid w:val="003307CA"/>
    <w:rsid w:val="0040156F"/>
    <w:rsid w:val="004219AA"/>
    <w:rsid w:val="00440A62"/>
    <w:rsid w:val="004461A5"/>
    <w:rsid w:val="004862C6"/>
    <w:rsid w:val="004D1F45"/>
    <w:rsid w:val="00514BE4"/>
    <w:rsid w:val="00575D15"/>
    <w:rsid w:val="005D6E3A"/>
    <w:rsid w:val="005E25E2"/>
    <w:rsid w:val="00635CFA"/>
    <w:rsid w:val="00641317"/>
    <w:rsid w:val="006577AC"/>
    <w:rsid w:val="006677C6"/>
    <w:rsid w:val="00685A9D"/>
    <w:rsid w:val="00686358"/>
    <w:rsid w:val="0069189A"/>
    <w:rsid w:val="006934E9"/>
    <w:rsid w:val="006D3858"/>
    <w:rsid w:val="006D531B"/>
    <w:rsid w:val="007C6BF7"/>
    <w:rsid w:val="007D4B25"/>
    <w:rsid w:val="00935FBC"/>
    <w:rsid w:val="00954FC2"/>
    <w:rsid w:val="00964A3B"/>
    <w:rsid w:val="00A0307C"/>
    <w:rsid w:val="00A14FC7"/>
    <w:rsid w:val="00A64A59"/>
    <w:rsid w:val="00A77AC5"/>
    <w:rsid w:val="00B002E6"/>
    <w:rsid w:val="00B312E0"/>
    <w:rsid w:val="00C021AE"/>
    <w:rsid w:val="00C77F32"/>
    <w:rsid w:val="00D34D0F"/>
    <w:rsid w:val="00D55BDB"/>
    <w:rsid w:val="00DD5F17"/>
    <w:rsid w:val="00E860E8"/>
    <w:rsid w:val="00ED223C"/>
    <w:rsid w:val="00F440E7"/>
    <w:rsid w:val="00F55AC3"/>
    <w:rsid w:val="00F75E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71D87"/>
  <w15:chartTrackingRefBased/>
  <w15:docId w15:val="{2D6A9069-551B-42E2-9358-5E992AA45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F17"/>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6934E9"/>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A0307C"/>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0307C"/>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0307C"/>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03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3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3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3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F17"/>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6934E9"/>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rsid w:val="00A0307C"/>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A0307C"/>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A0307C"/>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A03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3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3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307C"/>
    <w:rPr>
      <w:rFonts w:eastAsiaTheme="majorEastAsia" w:cstheme="majorBidi"/>
      <w:color w:val="272727" w:themeColor="text1" w:themeTint="D8"/>
    </w:rPr>
  </w:style>
  <w:style w:type="paragraph" w:styleId="Title">
    <w:name w:val="Title"/>
    <w:basedOn w:val="Normal"/>
    <w:next w:val="Normal"/>
    <w:link w:val="TitleChar"/>
    <w:uiPriority w:val="10"/>
    <w:qFormat/>
    <w:rsid w:val="00A03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3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307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3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307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0307C"/>
    <w:rPr>
      <w:i/>
      <w:iCs/>
      <w:color w:val="404040" w:themeColor="text1" w:themeTint="BF"/>
    </w:rPr>
  </w:style>
  <w:style w:type="paragraph" w:styleId="ListParagraph">
    <w:name w:val="List Paragraph"/>
    <w:basedOn w:val="Normal"/>
    <w:uiPriority w:val="34"/>
    <w:qFormat/>
    <w:rsid w:val="00A0307C"/>
    <w:pPr>
      <w:ind w:left="720"/>
      <w:contextualSpacing/>
    </w:pPr>
  </w:style>
  <w:style w:type="character" w:styleId="IntenseEmphasis">
    <w:name w:val="Intense Emphasis"/>
    <w:basedOn w:val="DefaultParagraphFont"/>
    <w:uiPriority w:val="21"/>
    <w:qFormat/>
    <w:rsid w:val="00A0307C"/>
    <w:rPr>
      <w:i/>
      <w:iCs/>
      <w:color w:val="365F91" w:themeColor="accent1" w:themeShade="BF"/>
    </w:rPr>
  </w:style>
  <w:style w:type="paragraph" w:styleId="IntenseQuote">
    <w:name w:val="Intense Quote"/>
    <w:basedOn w:val="Normal"/>
    <w:next w:val="Normal"/>
    <w:link w:val="IntenseQuoteChar"/>
    <w:uiPriority w:val="30"/>
    <w:qFormat/>
    <w:rsid w:val="00A0307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0307C"/>
    <w:rPr>
      <w:i/>
      <w:iCs/>
      <w:color w:val="365F91" w:themeColor="accent1" w:themeShade="BF"/>
    </w:rPr>
  </w:style>
  <w:style w:type="character" w:styleId="IntenseReference">
    <w:name w:val="Intense Reference"/>
    <w:basedOn w:val="DefaultParagraphFont"/>
    <w:uiPriority w:val="32"/>
    <w:qFormat/>
    <w:rsid w:val="00A0307C"/>
    <w:rPr>
      <w:b/>
      <w:bCs/>
      <w:smallCaps/>
      <w:color w:val="365F91" w:themeColor="accent1" w:themeShade="BF"/>
      <w:spacing w:val="5"/>
    </w:rPr>
  </w:style>
  <w:style w:type="character" w:styleId="Hyperlink">
    <w:name w:val="Hyperlink"/>
    <w:basedOn w:val="DefaultParagraphFont"/>
    <w:uiPriority w:val="99"/>
    <w:unhideWhenUsed/>
    <w:rsid w:val="00440A62"/>
    <w:rPr>
      <w:color w:val="0000FF" w:themeColor="hyperlink"/>
      <w:u w:val="single"/>
    </w:rPr>
  </w:style>
  <w:style w:type="character" w:styleId="UnresolvedMention">
    <w:name w:val="Unresolved Mention"/>
    <w:basedOn w:val="DefaultParagraphFont"/>
    <w:uiPriority w:val="99"/>
    <w:semiHidden/>
    <w:unhideWhenUsed/>
    <w:rsid w:val="00440A62"/>
    <w:rPr>
      <w:color w:val="605E5C"/>
      <w:shd w:val="clear" w:color="auto" w:fill="E1DFDD"/>
    </w:rPr>
  </w:style>
  <w:style w:type="paragraph" w:styleId="Header">
    <w:name w:val="header"/>
    <w:basedOn w:val="Normal"/>
    <w:link w:val="HeaderChar"/>
    <w:uiPriority w:val="99"/>
    <w:unhideWhenUsed/>
    <w:rsid w:val="006918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89A"/>
  </w:style>
  <w:style w:type="paragraph" w:styleId="Footer">
    <w:name w:val="footer"/>
    <w:basedOn w:val="Normal"/>
    <w:link w:val="FooterChar"/>
    <w:uiPriority w:val="99"/>
    <w:unhideWhenUsed/>
    <w:rsid w:val="006918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89A"/>
  </w:style>
  <w:style w:type="table" w:styleId="GridTable4-Accent3">
    <w:name w:val="Grid Table 4 Accent 3"/>
    <w:basedOn w:val="TableNormal"/>
    <w:uiPriority w:val="49"/>
    <w:rsid w:val="004D1F45"/>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7Colorful-Accent5">
    <w:name w:val="Grid Table 7 Colorful Accent 5"/>
    <w:basedOn w:val="TableNormal"/>
    <w:uiPriority w:val="52"/>
    <w:rsid w:val="004D1F45"/>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TOCHeading">
    <w:name w:val="TOC Heading"/>
    <w:basedOn w:val="Heading1"/>
    <w:next w:val="Normal"/>
    <w:uiPriority w:val="39"/>
    <w:unhideWhenUsed/>
    <w:qFormat/>
    <w:rsid w:val="00D34D0F"/>
    <w:pPr>
      <w:spacing w:before="240" w:after="0" w:line="259" w:lineRule="auto"/>
      <w:outlineLvl w:val="9"/>
    </w:pPr>
    <w:rPr>
      <w:rFonts w:asciiTheme="majorHAnsi" w:hAnsiTheme="majorHAnsi"/>
      <w:b w:val="0"/>
      <w:color w:val="365F91" w:themeColor="accent1" w:themeShade="BF"/>
      <w:kern w:val="0"/>
      <w:szCs w:val="32"/>
      <w:lang w:val="en-US"/>
      <w14:ligatures w14:val="none"/>
    </w:rPr>
  </w:style>
  <w:style w:type="paragraph" w:styleId="TOC1">
    <w:name w:val="toc 1"/>
    <w:basedOn w:val="Normal"/>
    <w:next w:val="Normal"/>
    <w:autoRedefine/>
    <w:uiPriority w:val="39"/>
    <w:unhideWhenUsed/>
    <w:rsid w:val="00D34D0F"/>
    <w:pPr>
      <w:spacing w:after="100"/>
    </w:pPr>
  </w:style>
  <w:style w:type="paragraph" w:styleId="TOC2">
    <w:name w:val="toc 2"/>
    <w:basedOn w:val="Normal"/>
    <w:next w:val="Normal"/>
    <w:autoRedefine/>
    <w:uiPriority w:val="39"/>
    <w:unhideWhenUsed/>
    <w:rsid w:val="00D34D0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centrica.com/investors/annual-report-2024/?utm_source=chatgpt.com" TargetMode="External"/><Relationship Id="rId18" Type="http://schemas.openxmlformats.org/officeDocument/2006/relationships/hyperlink" Target="https://octoenergy-production-media.s3.amazonaws.com/documents/A0659_Octopus_Energy_Group_Limited_AR_2023_prf16_ForPublication.pdf?utm_source=chatgpt.com" TargetMode="External"/><Relationship Id="rId3" Type="http://schemas.openxmlformats.org/officeDocument/2006/relationships/settings" Target="settings.xml"/><Relationship Id="rId21" Type="http://schemas.openxmlformats.org/officeDocument/2006/relationships/hyperlink" Target="https://www.techuk.org/resource/case-study-kraken-tech-s-generative-ai-tool-for-customer-service.html?utm_source=chatgpt.com" TargetMode="External"/><Relationship Id="rId7" Type="http://schemas.openxmlformats.org/officeDocument/2006/relationships/image" Target="media/image1.png"/><Relationship Id="rId12" Type="http://schemas.openxmlformats.org/officeDocument/2006/relationships/hyperlink" Target="https://doi.org/10.1177/14761270221127628" TargetMode="External"/><Relationship Id="rId17" Type="http://schemas.openxmlformats.org/officeDocument/2006/relationships/hyperlink" Target="https://www.theguardian.com/business/2024/feb/15/british-gas-profits-energy-bills-centrica?utm_source=chatgpt.com" TargetMode="External"/><Relationship Id="rId2" Type="http://schemas.openxmlformats.org/officeDocument/2006/relationships/styles" Target="styles.xml"/><Relationship Id="rId16" Type="http://schemas.openxmlformats.org/officeDocument/2006/relationships/hyperlink" Target="https://doi.org/10.1002/bse.2961" TargetMode="External"/><Relationship Id="rId20" Type="http://schemas.openxmlformats.org/officeDocument/2006/relationships/hyperlink" Target="https://www.ofgem.gov.uk/sites/default/files/2025-04/Ofgem-annual-report-and-accounts-2023-2024.pdf?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7341/20252124"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sets.publishing.service.gov.uk/media/687f4cf592957f2ec567c64f/UK_Energy_in_Brief_2024.pdf?utm_source=chatgpt.com"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octopusenergy.group/static/documents/Octopus_Energy_Group_Limited_Signed_1.pdf?utm_source=chatgpt.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entrica.com/media/2pjoazw0/annual-report-and-accounts-2024-untagged.pdf?utm_source=chatgpt.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5D769A-B54F-40C7-9A48-8EE821830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3498</Words>
  <Characters>19944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Aniket Rajvansh</cp:lastModifiedBy>
  <cp:revision>2</cp:revision>
  <dcterms:created xsi:type="dcterms:W3CDTF">2025-10-23T20:16:00Z</dcterms:created>
  <dcterms:modified xsi:type="dcterms:W3CDTF">2025-10-23T20:16:00Z</dcterms:modified>
</cp:coreProperties>
</file>