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F6722E" w14:paraId="66F7659B" w14:textId="77777777" w:rsidTr="00F6722E">
        <w:tc>
          <w:tcPr>
            <w:tcW w:w="4508" w:type="dxa"/>
          </w:tcPr>
          <w:p w14:paraId="1E40F55C" w14:textId="36BF0EEE" w:rsidR="00F6722E" w:rsidRDefault="00F6722E" w:rsidP="003A42CD">
            <w:pPr>
              <w:spacing w:line="360" w:lineRule="auto"/>
              <w:rPr>
                <w:rFonts w:ascii="Arial" w:hAnsi="Arial" w:cs="Arial"/>
                <w:sz w:val="24"/>
                <w:szCs w:val="24"/>
              </w:rPr>
            </w:pPr>
            <w:r w:rsidRPr="00F6722E">
              <w:rPr>
                <w:rFonts w:ascii="Arial" w:hAnsi="Arial" w:cs="Arial"/>
                <w:sz w:val="24"/>
                <w:szCs w:val="24"/>
              </w:rPr>
              <w:t>Student name:</w:t>
            </w:r>
          </w:p>
        </w:tc>
        <w:tc>
          <w:tcPr>
            <w:tcW w:w="4508" w:type="dxa"/>
          </w:tcPr>
          <w:p w14:paraId="3D1197C0" w14:textId="6C97C32C" w:rsidR="00F6722E" w:rsidRDefault="00F6722E" w:rsidP="003A42CD">
            <w:pPr>
              <w:spacing w:line="360" w:lineRule="auto"/>
              <w:rPr>
                <w:rFonts w:ascii="Arial" w:hAnsi="Arial" w:cs="Arial"/>
                <w:sz w:val="24"/>
                <w:szCs w:val="24"/>
              </w:rPr>
            </w:pPr>
            <w:r>
              <w:rPr>
                <w:rFonts w:ascii="Arial" w:hAnsi="Arial" w:cs="Arial"/>
                <w:sz w:val="24"/>
                <w:szCs w:val="24"/>
              </w:rPr>
              <w:t>Abdul Alim Miah</w:t>
            </w:r>
          </w:p>
        </w:tc>
      </w:tr>
      <w:tr w:rsidR="00F6722E" w14:paraId="33C5DFC7" w14:textId="77777777" w:rsidTr="00F6722E">
        <w:tc>
          <w:tcPr>
            <w:tcW w:w="4508" w:type="dxa"/>
          </w:tcPr>
          <w:p w14:paraId="3C01E8BD" w14:textId="39A2DEFE" w:rsidR="00F6722E" w:rsidRDefault="00F6722E" w:rsidP="003A42CD">
            <w:pPr>
              <w:spacing w:line="360" w:lineRule="auto"/>
              <w:rPr>
                <w:rFonts w:ascii="Arial" w:hAnsi="Arial" w:cs="Arial"/>
                <w:sz w:val="24"/>
                <w:szCs w:val="24"/>
              </w:rPr>
            </w:pPr>
            <w:r w:rsidRPr="00F6722E">
              <w:rPr>
                <w:rFonts w:ascii="Arial" w:hAnsi="Arial" w:cs="Arial"/>
                <w:sz w:val="24"/>
                <w:szCs w:val="24"/>
              </w:rPr>
              <w:t>Student number:</w:t>
            </w:r>
          </w:p>
        </w:tc>
        <w:tc>
          <w:tcPr>
            <w:tcW w:w="4508" w:type="dxa"/>
          </w:tcPr>
          <w:p w14:paraId="304A770C" w14:textId="55BA7142" w:rsidR="00F6722E" w:rsidRDefault="00F6722E" w:rsidP="003A42CD">
            <w:pPr>
              <w:spacing w:line="360" w:lineRule="auto"/>
              <w:rPr>
                <w:rFonts w:ascii="Arial" w:hAnsi="Arial" w:cs="Arial"/>
                <w:sz w:val="24"/>
                <w:szCs w:val="24"/>
              </w:rPr>
            </w:pPr>
            <w:r>
              <w:rPr>
                <w:rFonts w:ascii="Arial" w:hAnsi="Arial" w:cs="Arial"/>
                <w:sz w:val="24"/>
                <w:szCs w:val="24"/>
              </w:rPr>
              <w:t>2120983</w:t>
            </w:r>
          </w:p>
        </w:tc>
      </w:tr>
      <w:tr w:rsidR="00F6722E" w14:paraId="335985BF" w14:textId="77777777" w:rsidTr="00F6722E">
        <w:tc>
          <w:tcPr>
            <w:tcW w:w="4508" w:type="dxa"/>
          </w:tcPr>
          <w:p w14:paraId="492695A8" w14:textId="571E0F10" w:rsidR="00F6722E" w:rsidRDefault="00F6722E" w:rsidP="00F6722E">
            <w:pPr>
              <w:spacing w:line="360" w:lineRule="auto"/>
              <w:rPr>
                <w:rFonts w:ascii="Arial" w:hAnsi="Arial" w:cs="Arial"/>
                <w:sz w:val="24"/>
                <w:szCs w:val="24"/>
              </w:rPr>
            </w:pPr>
            <w:r w:rsidRPr="009E4DC2">
              <w:rPr>
                <w:rFonts w:ascii="Arial" w:hAnsi="Arial" w:cs="Arial"/>
                <w:sz w:val="24"/>
                <w:szCs w:val="24"/>
              </w:rPr>
              <w:t xml:space="preserve">Programmes: </w:t>
            </w:r>
          </w:p>
        </w:tc>
        <w:tc>
          <w:tcPr>
            <w:tcW w:w="4508" w:type="dxa"/>
          </w:tcPr>
          <w:p w14:paraId="684828FE" w14:textId="454A0803" w:rsidR="00F6722E" w:rsidRDefault="00F6722E" w:rsidP="00F6722E">
            <w:pPr>
              <w:spacing w:line="360" w:lineRule="auto"/>
              <w:rPr>
                <w:rFonts w:ascii="Arial" w:hAnsi="Arial" w:cs="Arial"/>
                <w:sz w:val="24"/>
                <w:szCs w:val="24"/>
              </w:rPr>
            </w:pPr>
            <w:r w:rsidRPr="009E4DC2">
              <w:rPr>
                <w:rFonts w:ascii="Arial" w:hAnsi="Arial" w:cs="Arial"/>
                <w:sz w:val="24"/>
                <w:szCs w:val="24"/>
              </w:rPr>
              <w:t xml:space="preserve">BA International Hotel Management </w:t>
            </w:r>
          </w:p>
        </w:tc>
      </w:tr>
      <w:tr w:rsidR="00F6722E" w14:paraId="0214334C" w14:textId="77777777" w:rsidTr="00F6722E">
        <w:tc>
          <w:tcPr>
            <w:tcW w:w="4508" w:type="dxa"/>
          </w:tcPr>
          <w:p w14:paraId="0C6CB254" w14:textId="3734AC22" w:rsidR="00F6722E" w:rsidRDefault="00F6722E" w:rsidP="00F6722E">
            <w:pPr>
              <w:spacing w:line="360" w:lineRule="auto"/>
              <w:rPr>
                <w:rFonts w:ascii="Arial" w:hAnsi="Arial" w:cs="Arial"/>
                <w:sz w:val="24"/>
                <w:szCs w:val="24"/>
              </w:rPr>
            </w:pPr>
            <w:r w:rsidRPr="009E4DC2">
              <w:rPr>
                <w:rFonts w:ascii="Arial" w:hAnsi="Arial" w:cs="Arial"/>
                <w:sz w:val="24"/>
                <w:szCs w:val="24"/>
              </w:rPr>
              <w:t xml:space="preserve">Module: </w:t>
            </w:r>
          </w:p>
        </w:tc>
        <w:tc>
          <w:tcPr>
            <w:tcW w:w="4508" w:type="dxa"/>
          </w:tcPr>
          <w:p w14:paraId="4101EDFF" w14:textId="101D0B5F" w:rsidR="00F6722E" w:rsidRDefault="00F6722E" w:rsidP="00F6722E">
            <w:pPr>
              <w:spacing w:line="360" w:lineRule="auto"/>
              <w:rPr>
                <w:rFonts w:ascii="Arial" w:hAnsi="Arial" w:cs="Arial"/>
                <w:sz w:val="24"/>
                <w:szCs w:val="24"/>
              </w:rPr>
            </w:pPr>
            <w:r w:rsidRPr="009E4DC2">
              <w:rPr>
                <w:rFonts w:ascii="Arial" w:hAnsi="Arial" w:cs="Arial"/>
                <w:sz w:val="24"/>
                <w:szCs w:val="24"/>
              </w:rPr>
              <w:t xml:space="preserve">Food &amp; Beverage Operations </w:t>
            </w:r>
          </w:p>
        </w:tc>
      </w:tr>
      <w:tr w:rsidR="00F6722E" w14:paraId="38947C8D" w14:textId="77777777" w:rsidTr="00F6722E">
        <w:tc>
          <w:tcPr>
            <w:tcW w:w="4508" w:type="dxa"/>
          </w:tcPr>
          <w:p w14:paraId="5C008E0D" w14:textId="7ABC6D97" w:rsidR="00F6722E" w:rsidRDefault="00F6722E" w:rsidP="00F6722E">
            <w:pPr>
              <w:spacing w:line="360" w:lineRule="auto"/>
              <w:rPr>
                <w:rFonts w:ascii="Arial" w:hAnsi="Arial" w:cs="Arial"/>
                <w:sz w:val="24"/>
                <w:szCs w:val="24"/>
              </w:rPr>
            </w:pPr>
            <w:r w:rsidRPr="009E4DC2">
              <w:rPr>
                <w:rFonts w:ascii="Arial" w:hAnsi="Arial" w:cs="Arial"/>
                <w:sz w:val="24"/>
                <w:szCs w:val="24"/>
              </w:rPr>
              <w:t xml:space="preserve">Module Level: </w:t>
            </w:r>
          </w:p>
        </w:tc>
        <w:tc>
          <w:tcPr>
            <w:tcW w:w="4508" w:type="dxa"/>
          </w:tcPr>
          <w:p w14:paraId="1C565F58" w14:textId="297BDEBF" w:rsidR="00F6722E" w:rsidRDefault="00F6722E" w:rsidP="00F6722E">
            <w:pPr>
              <w:spacing w:line="360" w:lineRule="auto"/>
              <w:rPr>
                <w:rFonts w:ascii="Arial" w:hAnsi="Arial" w:cs="Arial"/>
                <w:sz w:val="24"/>
                <w:szCs w:val="24"/>
              </w:rPr>
            </w:pPr>
            <w:r w:rsidRPr="009E4DC2">
              <w:rPr>
                <w:rFonts w:ascii="Arial" w:hAnsi="Arial" w:cs="Arial"/>
                <w:sz w:val="24"/>
                <w:szCs w:val="24"/>
              </w:rPr>
              <w:t xml:space="preserve">4 </w:t>
            </w:r>
          </w:p>
        </w:tc>
      </w:tr>
      <w:tr w:rsidR="00F6722E" w14:paraId="7602B7A4" w14:textId="77777777" w:rsidTr="00F6722E">
        <w:tc>
          <w:tcPr>
            <w:tcW w:w="4508" w:type="dxa"/>
          </w:tcPr>
          <w:p w14:paraId="337AEEF0" w14:textId="29C52082" w:rsidR="00F6722E" w:rsidRDefault="00F6722E" w:rsidP="00F6722E">
            <w:pPr>
              <w:spacing w:line="360" w:lineRule="auto"/>
              <w:rPr>
                <w:rFonts w:ascii="Arial" w:hAnsi="Arial" w:cs="Arial"/>
                <w:sz w:val="24"/>
                <w:szCs w:val="24"/>
              </w:rPr>
            </w:pPr>
            <w:r w:rsidRPr="009E4DC2">
              <w:rPr>
                <w:rFonts w:ascii="Arial" w:hAnsi="Arial" w:cs="Arial"/>
                <w:sz w:val="24"/>
                <w:szCs w:val="24"/>
              </w:rPr>
              <w:t xml:space="preserve">Module code: </w:t>
            </w:r>
          </w:p>
        </w:tc>
        <w:tc>
          <w:tcPr>
            <w:tcW w:w="4508" w:type="dxa"/>
          </w:tcPr>
          <w:p w14:paraId="0E2D2C21" w14:textId="41D52867" w:rsidR="00F6722E" w:rsidRDefault="00F6722E" w:rsidP="00F6722E">
            <w:pPr>
              <w:spacing w:line="360" w:lineRule="auto"/>
              <w:rPr>
                <w:rFonts w:ascii="Arial" w:hAnsi="Arial" w:cs="Arial"/>
                <w:sz w:val="24"/>
                <w:szCs w:val="24"/>
              </w:rPr>
            </w:pPr>
            <w:r w:rsidRPr="009E4DC2">
              <w:rPr>
                <w:rFonts w:ascii="Arial" w:hAnsi="Arial" w:cs="Arial"/>
                <w:sz w:val="24"/>
                <w:szCs w:val="24"/>
              </w:rPr>
              <w:t>BMIH4002</w:t>
            </w:r>
          </w:p>
        </w:tc>
      </w:tr>
      <w:tr w:rsidR="00F6722E" w14:paraId="2BB6D6B0" w14:textId="77777777" w:rsidTr="00F6722E">
        <w:tc>
          <w:tcPr>
            <w:tcW w:w="4508" w:type="dxa"/>
          </w:tcPr>
          <w:p w14:paraId="614BFD9F" w14:textId="0A7CEF60" w:rsidR="00F6722E" w:rsidRDefault="00F6722E" w:rsidP="00F6722E">
            <w:pPr>
              <w:spacing w:line="360" w:lineRule="auto"/>
              <w:rPr>
                <w:rFonts w:ascii="Arial" w:hAnsi="Arial" w:cs="Arial"/>
                <w:sz w:val="24"/>
                <w:szCs w:val="24"/>
              </w:rPr>
            </w:pPr>
            <w:r w:rsidRPr="009E4DC2">
              <w:rPr>
                <w:rFonts w:ascii="Arial" w:hAnsi="Arial" w:cs="Arial"/>
                <w:sz w:val="24"/>
                <w:szCs w:val="24"/>
              </w:rPr>
              <w:t xml:space="preserve">Lecturers: </w:t>
            </w:r>
          </w:p>
        </w:tc>
        <w:tc>
          <w:tcPr>
            <w:tcW w:w="4508" w:type="dxa"/>
          </w:tcPr>
          <w:p w14:paraId="3B4D9E18" w14:textId="786E7D98" w:rsidR="00F6722E" w:rsidRDefault="00F6722E" w:rsidP="00F6722E">
            <w:pPr>
              <w:spacing w:line="360" w:lineRule="auto"/>
              <w:rPr>
                <w:rFonts w:ascii="Arial" w:hAnsi="Arial" w:cs="Arial"/>
                <w:sz w:val="24"/>
                <w:szCs w:val="24"/>
              </w:rPr>
            </w:pPr>
            <w:r w:rsidRPr="009E4DC2">
              <w:rPr>
                <w:rFonts w:ascii="Arial" w:hAnsi="Arial" w:cs="Arial"/>
                <w:sz w:val="24"/>
                <w:szCs w:val="24"/>
              </w:rPr>
              <w:t>Tristan Hawkins</w:t>
            </w:r>
          </w:p>
        </w:tc>
      </w:tr>
      <w:tr w:rsidR="00F6722E" w14:paraId="69585952" w14:textId="77777777" w:rsidTr="00F6722E">
        <w:tc>
          <w:tcPr>
            <w:tcW w:w="4508" w:type="dxa"/>
          </w:tcPr>
          <w:p w14:paraId="2056DADB" w14:textId="75F7E8AC" w:rsidR="00F6722E" w:rsidRDefault="00F6722E" w:rsidP="00F6722E">
            <w:pPr>
              <w:spacing w:line="360" w:lineRule="auto"/>
              <w:rPr>
                <w:rFonts w:ascii="Arial" w:hAnsi="Arial" w:cs="Arial"/>
                <w:sz w:val="24"/>
                <w:szCs w:val="24"/>
              </w:rPr>
            </w:pPr>
            <w:r w:rsidRPr="009E4DC2">
              <w:rPr>
                <w:rFonts w:ascii="Arial" w:hAnsi="Arial" w:cs="Arial"/>
                <w:sz w:val="24"/>
                <w:szCs w:val="24"/>
              </w:rPr>
              <w:t xml:space="preserve">Wordcount: </w:t>
            </w:r>
          </w:p>
        </w:tc>
        <w:tc>
          <w:tcPr>
            <w:tcW w:w="4508" w:type="dxa"/>
          </w:tcPr>
          <w:p w14:paraId="3F16D0E3" w14:textId="42A61488" w:rsidR="00F6722E" w:rsidRDefault="00F6722E" w:rsidP="00F6722E">
            <w:pPr>
              <w:spacing w:line="360" w:lineRule="auto"/>
              <w:rPr>
                <w:rFonts w:ascii="Arial" w:hAnsi="Arial" w:cs="Arial"/>
                <w:sz w:val="24"/>
                <w:szCs w:val="24"/>
              </w:rPr>
            </w:pPr>
            <w:r w:rsidRPr="009E4DC2">
              <w:rPr>
                <w:rFonts w:ascii="Arial" w:hAnsi="Arial" w:cs="Arial"/>
                <w:sz w:val="24"/>
                <w:szCs w:val="24"/>
              </w:rPr>
              <w:t>756 words</w:t>
            </w:r>
          </w:p>
        </w:tc>
      </w:tr>
    </w:tbl>
    <w:p w14:paraId="1C41226B" w14:textId="72B79B55" w:rsidR="00F6722E" w:rsidRPr="00F6722E" w:rsidRDefault="00F6722E" w:rsidP="003A42CD">
      <w:pPr>
        <w:spacing w:line="360" w:lineRule="auto"/>
        <w:rPr>
          <w:rFonts w:ascii="Arial" w:hAnsi="Arial" w:cs="Arial"/>
          <w:sz w:val="24"/>
          <w:szCs w:val="24"/>
        </w:rPr>
      </w:pPr>
    </w:p>
    <w:p w14:paraId="32064F8C" w14:textId="3726897F" w:rsidR="00F6722E" w:rsidRDefault="00F6722E" w:rsidP="003A42CD">
      <w:pPr>
        <w:spacing w:line="360" w:lineRule="auto"/>
        <w:rPr>
          <w:rFonts w:ascii="Arial" w:hAnsi="Arial" w:cs="Arial"/>
          <w:sz w:val="24"/>
          <w:szCs w:val="24"/>
        </w:rPr>
      </w:pPr>
    </w:p>
    <w:p w14:paraId="5C75AC98" w14:textId="296B2CCB" w:rsidR="00F6722E" w:rsidRDefault="00F6722E" w:rsidP="003A42CD">
      <w:pPr>
        <w:spacing w:line="360" w:lineRule="auto"/>
        <w:rPr>
          <w:rFonts w:ascii="Arial" w:hAnsi="Arial" w:cs="Arial"/>
          <w:sz w:val="24"/>
          <w:szCs w:val="24"/>
        </w:rPr>
      </w:pPr>
    </w:p>
    <w:p w14:paraId="0FA23EF7" w14:textId="5E564DB0" w:rsidR="00F6722E" w:rsidRDefault="00F6722E" w:rsidP="003A42CD">
      <w:pPr>
        <w:spacing w:line="360" w:lineRule="auto"/>
        <w:rPr>
          <w:rFonts w:ascii="Arial" w:hAnsi="Arial" w:cs="Arial"/>
          <w:sz w:val="24"/>
          <w:szCs w:val="24"/>
        </w:rPr>
      </w:pPr>
    </w:p>
    <w:p w14:paraId="2FEF4F7A" w14:textId="0AC8BC70" w:rsidR="00F6722E" w:rsidRDefault="00F6722E" w:rsidP="003A42CD">
      <w:pPr>
        <w:spacing w:line="360" w:lineRule="auto"/>
        <w:rPr>
          <w:rFonts w:ascii="Arial" w:hAnsi="Arial" w:cs="Arial"/>
          <w:sz w:val="24"/>
          <w:szCs w:val="24"/>
        </w:rPr>
      </w:pPr>
    </w:p>
    <w:p w14:paraId="51F1C23E" w14:textId="42B5AF26" w:rsidR="00F6722E" w:rsidRDefault="00F6722E" w:rsidP="003A42CD">
      <w:pPr>
        <w:spacing w:line="360" w:lineRule="auto"/>
        <w:rPr>
          <w:rFonts w:ascii="Arial" w:hAnsi="Arial" w:cs="Arial"/>
          <w:sz w:val="24"/>
          <w:szCs w:val="24"/>
        </w:rPr>
      </w:pPr>
    </w:p>
    <w:p w14:paraId="4F0D0A7D" w14:textId="42583467" w:rsidR="00F6722E" w:rsidRDefault="00F6722E" w:rsidP="003A42CD">
      <w:pPr>
        <w:spacing w:line="360" w:lineRule="auto"/>
        <w:rPr>
          <w:rFonts w:ascii="Arial" w:hAnsi="Arial" w:cs="Arial"/>
          <w:sz w:val="24"/>
          <w:szCs w:val="24"/>
        </w:rPr>
      </w:pPr>
    </w:p>
    <w:p w14:paraId="4CDF28D6" w14:textId="282E7648" w:rsidR="00F6722E" w:rsidRDefault="00F6722E" w:rsidP="003A42CD">
      <w:pPr>
        <w:spacing w:line="360" w:lineRule="auto"/>
        <w:rPr>
          <w:rFonts w:ascii="Arial" w:hAnsi="Arial" w:cs="Arial"/>
          <w:sz w:val="24"/>
          <w:szCs w:val="24"/>
        </w:rPr>
      </w:pPr>
    </w:p>
    <w:p w14:paraId="197C6826" w14:textId="54B431ED" w:rsidR="00F6722E" w:rsidRDefault="00F6722E" w:rsidP="003A42CD">
      <w:pPr>
        <w:spacing w:line="360" w:lineRule="auto"/>
        <w:rPr>
          <w:rFonts w:ascii="Arial" w:hAnsi="Arial" w:cs="Arial"/>
          <w:sz w:val="24"/>
          <w:szCs w:val="24"/>
        </w:rPr>
      </w:pPr>
    </w:p>
    <w:p w14:paraId="1FEC2CD0" w14:textId="427FE7A0" w:rsidR="00F6722E" w:rsidRDefault="00F6722E" w:rsidP="003A42CD">
      <w:pPr>
        <w:spacing w:line="360" w:lineRule="auto"/>
        <w:rPr>
          <w:rFonts w:ascii="Arial" w:hAnsi="Arial" w:cs="Arial"/>
          <w:sz w:val="24"/>
          <w:szCs w:val="24"/>
        </w:rPr>
      </w:pPr>
    </w:p>
    <w:p w14:paraId="3FE5CA94" w14:textId="6D99675B" w:rsidR="00F6722E" w:rsidRDefault="00F6722E" w:rsidP="003A42CD">
      <w:pPr>
        <w:spacing w:line="360" w:lineRule="auto"/>
        <w:rPr>
          <w:rFonts w:ascii="Arial" w:hAnsi="Arial" w:cs="Arial"/>
          <w:sz w:val="24"/>
          <w:szCs w:val="24"/>
        </w:rPr>
      </w:pPr>
    </w:p>
    <w:p w14:paraId="311EF4DD" w14:textId="0BA47DDB" w:rsidR="00F6722E" w:rsidRDefault="00F6722E" w:rsidP="003A42CD">
      <w:pPr>
        <w:spacing w:line="360" w:lineRule="auto"/>
        <w:rPr>
          <w:rFonts w:ascii="Arial" w:hAnsi="Arial" w:cs="Arial"/>
          <w:sz w:val="24"/>
          <w:szCs w:val="24"/>
        </w:rPr>
      </w:pPr>
    </w:p>
    <w:p w14:paraId="407CFD8B" w14:textId="1617A62C" w:rsidR="00F6722E" w:rsidRDefault="00F6722E" w:rsidP="003A42CD">
      <w:pPr>
        <w:spacing w:line="360" w:lineRule="auto"/>
        <w:rPr>
          <w:rFonts w:ascii="Arial" w:hAnsi="Arial" w:cs="Arial"/>
          <w:sz w:val="24"/>
          <w:szCs w:val="24"/>
        </w:rPr>
      </w:pPr>
    </w:p>
    <w:p w14:paraId="244EB64F" w14:textId="7AB4C3BF" w:rsidR="00F6722E" w:rsidRDefault="00F6722E" w:rsidP="003A42CD">
      <w:pPr>
        <w:spacing w:line="360" w:lineRule="auto"/>
        <w:rPr>
          <w:rFonts w:ascii="Arial" w:hAnsi="Arial" w:cs="Arial"/>
          <w:sz w:val="24"/>
          <w:szCs w:val="24"/>
        </w:rPr>
      </w:pPr>
    </w:p>
    <w:p w14:paraId="03C6686E" w14:textId="6DA1091E" w:rsidR="00F6722E" w:rsidRDefault="00F6722E" w:rsidP="003A42CD">
      <w:pPr>
        <w:spacing w:line="360" w:lineRule="auto"/>
        <w:rPr>
          <w:rFonts w:ascii="Arial" w:hAnsi="Arial" w:cs="Arial"/>
          <w:sz w:val="24"/>
          <w:szCs w:val="24"/>
        </w:rPr>
      </w:pPr>
    </w:p>
    <w:p w14:paraId="55E7B6D6" w14:textId="355E2229" w:rsidR="00F6722E" w:rsidRDefault="00F6722E" w:rsidP="003A42CD">
      <w:pPr>
        <w:spacing w:line="360" w:lineRule="auto"/>
        <w:rPr>
          <w:rFonts w:ascii="Arial" w:hAnsi="Arial" w:cs="Arial"/>
          <w:sz w:val="24"/>
          <w:szCs w:val="24"/>
        </w:rPr>
      </w:pPr>
    </w:p>
    <w:p w14:paraId="468C9DF8" w14:textId="77777777" w:rsidR="00F6722E" w:rsidRDefault="00F6722E" w:rsidP="003A42CD">
      <w:pPr>
        <w:spacing w:line="360" w:lineRule="auto"/>
        <w:rPr>
          <w:rFonts w:ascii="Arial" w:hAnsi="Arial" w:cs="Arial"/>
          <w:sz w:val="24"/>
          <w:szCs w:val="24"/>
        </w:rPr>
      </w:pPr>
    </w:p>
    <w:p w14:paraId="557C683E" w14:textId="77777777" w:rsidR="004C729C" w:rsidRDefault="004C729C" w:rsidP="003A42CD">
      <w:pPr>
        <w:spacing w:line="360" w:lineRule="auto"/>
        <w:rPr>
          <w:rFonts w:ascii="Arial" w:hAnsi="Arial" w:cs="Arial"/>
          <w:sz w:val="24"/>
          <w:szCs w:val="24"/>
          <w:u w:val="single"/>
        </w:rPr>
      </w:pPr>
    </w:p>
    <w:p w14:paraId="4948620C" w14:textId="0894F4B5" w:rsidR="00F6722E" w:rsidRPr="00F6722E" w:rsidRDefault="00F6722E" w:rsidP="003A42CD">
      <w:pPr>
        <w:spacing w:line="360" w:lineRule="auto"/>
        <w:rPr>
          <w:rFonts w:ascii="Arial" w:hAnsi="Arial" w:cs="Arial"/>
          <w:sz w:val="24"/>
          <w:szCs w:val="24"/>
          <w:u w:val="single"/>
        </w:rPr>
      </w:pPr>
      <w:r w:rsidRPr="00F6722E">
        <w:rPr>
          <w:rFonts w:ascii="Arial" w:hAnsi="Arial" w:cs="Arial"/>
          <w:sz w:val="24"/>
          <w:szCs w:val="24"/>
          <w:u w:val="single"/>
        </w:rPr>
        <w:lastRenderedPageBreak/>
        <w:t xml:space="preserve">Food &amp; Beverage Operations </w:t>
      </w:r>
    </w:p>
    <w:p w14:paraId="0663CD14" w14:textId="4D3C545C" w:rsidR="00A91969" w:rsidRPr="003A42CD" w:rsidRDefault="00A91969" w:rsidP="003A42CD">
      <w:pPr>
        <w:spacing w:line="360" w:lineRule="auto"/>
        <w:rPr>
          <w:rFonts w:ascii="Arial" w:hAnsi="Arial" w:cs="Arial"/>
          <w:sz w:val="24"/>
          <w:szCs w:val="24"/>
        </w:rPr>
      </w:pPr>
      <w:r w:rsidRPr="003A42CD">
        <w:rPr>
          <w:rFonts w:ascii="Arial" w:hAnsi="Arial" w:cs="Arial"/>
          <w:sz w:val="24"/>
          <w:szCs w:val="24"/>
        </w:rPr>
        <w:t>The catering sector serves meals</w:t>
      </w:r>
      <w:r w:rsidR="00D4182E">
        <w:rPr>
          <w:rFonts w:ascii="Arial" w:hAnsi="Arial" w:cs="Arial"/>
          <w:sz w:val="24"/>
          <w:szCs w:val="24"/>
        </w:rPr>
        <w:t xml:space="preserve"> each day</w:t>
      </w:r>
      <w:r w:rsidRPr="003A42CD">
        <w:rPr>
          <w:rFonts w:ascii="Arial" w:hAnsi="Arial" w:cs="Arial"/>
          <w:sz w:val="24"/>
          <w:szCs w:val="24"/>
        </w:rPr>
        <w:t xml:space="preserve"> </w:t>
      </w:r>
      <w:r w:rsidR="0045274C">
        <w:rPr>
          <w:rFonts w:ascii="Arial" w:hAnsi="Arial" w:cs="Arial"/>
          <w:sz w:val="24"/>
          <w:szCs w:val="24"/>
        </w:rPr>
        <w:t xml:space="preserve">over millions </w:t>
      </w:r>
      <w:r w:rsidRPr="003A42CD">
        <w:rPr>
          <w:rFonts w:ascii="Arial" w:hAnsi="Arial" w:cs="Arial"/>
          <w:sz w:val="24"/>
          <w:szCs w:val="24"/>
        </w:rPr>
        <w:t>in a variety of restaurant outlets.</w:t>
      </w:r>
    </w:p>
    <w:p w14:paraId="0B3C0073" w14:textId="230F72C9" w:rsidR="00A91969" w:rsidRPr="003A42CD" w:rsidRDefault="00A91969" w:rsidP="003A42CD">
      <w:pPr>
        <w:spacing w:line="360" w:lineRule="auto"/>
        <w:rPr>
          <w:rFonts w:ascii="Arial" w:hAnsi="Arial" w:cs="Arial"/>
          <w:sz w:val="24"/>
          <w:szCs w:val="24"/>
        </w:rPr>
      </w:pPr>
      <w:r w:rsidRPr="004C729C">
        <w:rPr>
          <w:rFonts w:ascii="Arial" w:hAnsi="Arial" w:cs="Arial"/>
          <w:sz w:val="24"/>
          <w:szCs w:val="24"/>
          <w:u w:val="single"/>
        </w:rPr>
        <w:t>Food:</w:t>
      </w:r>
      <w:r w:rsidRPr="003A42CD">
        <w:rPr>
          <w:rFonts w:ascii="Arial" w:hAnsi="Arial" w:cs="Arial"/>
          <w:sz w:val="24"/>
          <w:szCs w:val="24"/>
        </w:rPr>
        <w:t xml:space="preserve"> </w:t>
      </w:r>
      <w:r w:rsidR="006A6C1A" w:rsidRPr="003A42CD">
        <w:rPr>
          <w:rFonts w:ascii="Arial" w:hAnsi="Arial" w:cs="Arial"/>
          <w:sz w:val="24"/>
          <w:szCs w:val="24"/>
        </w:rPr>
        <w:t>These can be categorised per geography and culture, such as the flavour of classic British or Italian cuisine, or even foods with an oriental touch like seafood, vegetarian dishes, and healthy dietary options.</w:t>
      </w:r>
    </w:p>
    <w:p w14:paraId="22B34809" w14:textId="49887F94" w:rsidR="001E7441" w:rsidRPr="003A42CD" w:rsidRDefault="001E7441" w:rsidP="003A42CD">
      <w:pPr>
        <w:spacing w:line="360" w:lineRule="auto"/>
        <w:rPr>
          <w:rFonts w:ascii="Arial" w:hAnsi="Arial" w:cs="Arial"/>
          <w:sz w:val="24"/>
          <w:szCs w:val="24"/>
        </w:rPr>
      </w:pPr>
      <w:r w:rsidRPr="004C729C">
        <w:rPr>
          <w:rFonts w:ascii="Arial" w:hAnsi="Arial" w:cs="Arial"/>
          <w:sz w:val="24"/>
          <w:szCs w:val="24"/>
          <w:u w:val="single"/>
        </w:rPr>
        <w:t>Beverage:</w:t>
      </w:r>
      <w:r w:rsidRPr="003A42CD">
        <w:rPr>
          <w:rFonts w:ascii="Arial" w:hAnsi="Arial" w:cs="Arial"/>
          <w:sz w:val="24"/>
          <w:szCs w:val="24"/>
        </w:rPr>
        <w:t xml:space="preserve"> covers a wide range of drinkers offered at the bar, along with a few </w:t>
      </w:r>
      <w:r w:rsidR="00E67ADF" w:rsidRPr="003A42CD">
        <w:rPr>
          <w:rFonts w:ascii="Arial" w:hAnsi="Arial" w:cs="Arial"/>
          <w:sz w:val="24"/>
          <w:szCs w:val="24"/>
        </w:rPr>
        <w:t>categories</w:t>
      </w:r>
      <w:r w:rsidRPr="003A42CD">
        <w:rPr>
          <w:rFonts w:ascii="Arial" w:hAnsi="Arial" w:cs="Arial"/>
          <w:sz w:val="24"/>
          <w:szCs w:val="24"/>
        </w:rPr>
        <w:t xml:space="preserve"> of </w:t>
      </w:r>
      <w:r w:rsidR="00E67ADF" w:rsidRPr="003A42CD">
        <w:rPr>
          <w:rFonts w:ascii="Arial" w:hAnsi="Arial" w:cs="Arial"/>
          <w:sz w:val="24"/>
          <w:szCs w:val="24"/>
        </w:rPr>
        <w:t>fermented</w:t>
      </w:r>
      <w:r w:rsidRPr="003A42CD">
        <w:rPr>
          <w:rFonts w:ascii="Arial" w:hAnsi="Arial" w:cs="Arial"/>
          <w:sz w:val="24"/>
          <w:szCs w:val="24"/>
        </w:rPr>
        <w:t xml:space="preserve"> beverages </w:t>
      </w:r>
      <w:r w:rsidR="009A16A7" w:rsidRPr="003A42CD">
        <w:rPr>
          <w:rFonts w:ascii="Arial" w:hAnsi="Arial" w:cs="Arial"/>
          <w:sz w:val="24"/>
          <w:szCs w:val="24"/>
        </w:rPr>
        <w:t>for instance</w:t>
      </w:r>
      <w:r w:rsidRPr="003A42CD">
        <w:rPr>
          <w:rFonts w:ascii="Arial" w:hAnsi="Arial" w:cs="Arial"/>
          <w:sz w:val="24"/>
          <w:szCs w:val="24"/>
        </w:rPr>
        <w:t xml:space="preserve">, wines, spirits, cocktails, </w:t>
      </w:r>
      <w:r w:rsidR="00676750" w:rsidRPr="003A42CD">
        <w:rPr>
          <w:rFonts w:ascii="Arial" w:hAnsi="Arial" w:cs="Arial"/>
          <w:sz w:val="24"/>
          <w:szCs w:val="24"/>
        </w:rPr>
        <w:t>pints</w:t>
      </w:r>
      <w:r w:rsidRPr="003A42CD">
        <w:rPr>
          <w:rFonts w:ascii="Arial" w:hAnsi="Arial" w:cs="Arial"/>
          <w:sz w:val="24"/>
          <w:szCs w:val="24"/>
        </w:rPr>
        <w:t xml:space="preserve">, ciders, </w:t>
      </w:r>
      <w:r w:rsidR="005F0930">
        <w:rPr>
          <w:rFonts w:ascii="Arial" w:hAnsi="Arial" w:cs="Arial"/>
          <w:sz w:val="24"/>
          <w:szCs w:val="24"/>
        </w:rPr>
        <w:t xml:space="preserve">and </w:t>
      </w:r>
      <w:r w:rsidR="00004518" w:rsidRPr="003A42CD">
        <w:rPr>
          <w:rFonts w:ascii="Arial" w:hAnsi="Arial" w:cs="Arial"/>
          <w:sz w:val="24"/>
          <w:szCs w:val="24"/>
        </w:rPr>
        <w:t>liqueurs and</w:t>
      </w:r>
      <w:r w:rsidRPr="003A42CD">
        <w:rPr>
          <w:rFonts w:ascii="Arial" w:hAnsi="Arial" w:cs="Arial"/>
          <w:sz w:val="24"/>
          <w:szCs w:val="24"/>
        </w:rPr>
        <w:t xml:space="preserve"> non-</w:t>
      </w:r>
      <w:r w:rsidR="00AF3EA8" w:rsidRPr="003A42CD">
        <w:rPr>
          <w:rFonts w:ascii="Arial" w:hAnsi="Arial" w:cs="Arial"/>
          <w:sz w:val="24"/>
          <w:szCs w:val="24"/>
        </w:rPr>
        <w:t>fermented</w:t>
      </w:r>
      <w:r w:rsidRPr="003A42CD">
        <w:rPr>
          <w:rFonts w:ascii="Arial" w:hAnsi="Arial" w:cs="Arial"/>
          <w:sz w:val="24"/>
          <w:szCs w:val="24"/>
        </w:rPr>
        <w:t xml:space="preserve"> beverages are a Tea, coffee, hot chocolate, milk, milkshakes, juices, squash, mineral waters, and aerated drinks like Coca-Cola, Pepsi, Fanta, etc.</w:t>
      </w:r>
    </w:p>
    <w:p w14:paraId="687B204B" w14:textId="732B08D7" w:rsidR="009B7B6C" w:rsidRPr="003A42CD" w:rsidRDefault="009B7B6C" w:rsidP="003A42CD">
      <w:pPr>
        <w:spacing w:line="360" w:lineRule="auto"/>
        <w:rPr>
          <w:rFonts w:ascii="Arial" w:hAnsi="Arial" w:cs="Arial"/>
          <w:sz w:val="24"/>
          <w:szCs w:val="24"/>
        </w:rPr>
      </w:pPr>
      <w:r w:rsidRPr="003A42CD">
        <w:rPr>
          <w:rFonts w:ascii="Arial" w:hAnsi="Arial" w:cs="Arial"/>
          <w:sz w:val="24"/>
          <w:szCs w:val="24"/>
        </w:rPr>
        <w:t>The most crucial and useful skills are often learned through on-the-job training, even if managing a luxury hotel necessitates a wide range of technical skills, such as teaching staff members how to open wines, keeping track of inventories, and computing cost of sales ratios. This is due to the fact that the high-end hospitality sector frequently requires a highly specialised set of talents, of which both practical experience and theoretical knowledge are key components in employment range of social qualities and values, like as empathy and compassion.</w:t>
      </w:r>
    </w:p>
    <w:p w14:paraId="54FF13A5" w14:textId="12678821" w:rsidR="006F1AD5" w:rsidRPr="003A42CD" w:rsidRDefault="006F1AD5" w:rsidP="003A42CD">
      <w:pPr>
        <w:spacing w:line="360" w:lineRule="auto"/>
        <w:rPr>
          <w:rFonts w:ascii="Arial" w:hAnsi="Arial" w:cs="Arial"/>
          <w:sz w:val="24"/>
          <w:szCs w:val="24"/>
        </w:rPr>
      </w:pPr>
      <w:r w:rsidRPr="004C729C">
        <w:rPr>
          <w:rFonts w:ascii="Arial" w:hAnsi="Arial" w:cs="Arial"/>
          <w:sz w:val="24"/>
          <w:szCs w:val="24"/>
          <w:u w:val="single"/>
        </w:rPr>
        <w:t>Provision to service methods:</w:t>
      </w:r>
      <w:r w:rsidRPr="003A42CD">
        <w:rPr>
          <w:rFonts w:ascii="Arial" w:hAnsi="Arial" w:cs="Arial"/>
          <w:sz w:val="24"/>
          <w:szCs w:val="24"/>
        </w:rPr>
        <w:t xml:space="preserve"> 1. Table Service 2. Assisted Service 3. Self Service 4. Single Point of Service 5. Specialised Service</w:t>
      </w:r>
    </w:p>
    <w:p w14:paraId="659FFA04" w14:textId="26FEA243" w:rsidR="005E1D34" w:rsidRPr="003A42CD" w:rsidRDefault="005E1D34" w:rsidP="003A42CD">
      <w:pPr>
        <w:pStyle w:val="ListParagraph"/>
        <w:numPr>
          <w:ilvl w:val="0"/>
          <w:numId w:val="1"/>
        </w:numPr>
        <w:spacing w:line="360" w:lineRule="auto"/>
        <w:rPr>
          <w:rFonts w:ascii="Arial" w:hAnsi="Arial" w:cs="Arial"/>
          <w:sz w:val="24"/>
          <w:szCs w:val="24"/>
        </w:rPr>
      </w:pPr>
      <w:r w:rsidRPr="003A42CD">
        <w:rPr>
          <w:rFonts w:ascii="Arial" w:hAnsi="Arial" w:cs="Arial"/>
          <w:sz w:val="24"/>
          <w:szCs w:val="24"/>
        </w:rPr>
        <w:t>Table service styles can be divided into three categories: silver service, plated service, and family service. In every situation, diners seated at tables receive service from service personnel.</w:t>
      </w:r>
      <w:r w:rsidR="00E44F80" w:rsidRPr="003A42CD">
        <w:rPr>
          <w:rFonts w:ascii="Arial" w:hAnsi="Arial" w:cs="Arial"/>
          <w:color w:val="222222"/>
          <w:sz w:val="24"/>
          <w:szCs w:val="24"/>
          <w:shd w:val="clear" w:color="auto" w:fill="FFFFFF"/>
        </w:rPr>
        <w:t xml:space="preserve"> These services are utilised in a wide range of restaurants, cafés, and banquets.</w:t>
      </w:r>
    </w:p>
    <w:p w14:paraId="2D96DABA" w14:textId="77777777" w:rsidR="0087186D" w:rsidRPr="003A42CD" w:rsidRDefault="00357801" w:rsidP="003A42CD">
      <w:pPr>
        <w:pStyle w:val="ListParagraph"/>
        <w:numPr>
          <w:ilvl w:val="0"/>
          <w:numId w:val="1"/>
        </w:numPr>
        <w:spacing w:line="360" w:lineRule="auto"/>
        <w:rPr>
          <w:rFonts w:ascii="Arial" w:hAnsi="Arial" w:cs="Arial"/>
          <w:sz w:val="24"/>
          <w:szCs w:val="24"/>
        </w:rPr>
      </w:pPr>
      <w:r w:rsidRPr="003A42CD">
        <w:rPr>
          <w:rFonts w:ascii="Arial" w:hAnsi="Arial" w:cs="Arial"/>
          <w:sz w:val="24"/>
          <w:szCs w:val="24"/>
        </w:rPr>
        <w:t xml:space="preserve">Assisted Service: The customer can choose to self-serve the remaining ready meal dishes from a display countertop or a buffet after getting a portion of the meal at a table. The most common kind of assistance service is provided by Carvery-style enterprises. The meal is divided among pieces that are provided to customers at tables and portions that are then self-served from a buffet or display stand. Although often with assistance from the carver or buffet server, </w:t>
      </w:r>
      <w:r w:rsidRPr="003A42CD">
        <w:rPr>
          <w:rFonts w:ascii="Arial" w:hAnsi="Arial" w:cs="Arial"/>
          <w:sz w:val="24"/>
          <w:szCs w:val="24"/>
        </w:rPr>
        <w:lastRenderedPageBreak/>
        <w:t>customers are free to help themselves from the cut joints and other products. This style of serving is frequently used in breakfast services.</w:t>
      </w:r>
    </w:p>
    <w:p w14:paraId="25B67E6C" w14:textId="0FFE65DF" w:rsidR="00F41A8A" w:rsidRPr="003A42CD" w:rsidRDefault="00F41A8A" w:rsidP="003A42CD">
      <w:pPr>
        <w:pStyle w:val="ListParagraph"/>
        <w:numPr>
          <w:ilvl w:val="0"/>
          <w:numId w:val="1"/>
        </w:numPr>
        <w:spacing w:line="360" w:lineRule="auto"/>
        <w:rPr>
          <w:rFonts w:ascii="Arial" w:hAnsi="Arial" w:cs="Arial"/>
          <w:sz w:val="24"/>
          <w:szCs w:val="24"/>
        </w:rPr>
      </w:pPr>
      <w:r w:rsidRPr="003A42CD">
        <w:rPr>
          <w:rFonts w:ascii="Arial" w:hAnsi="Arial" w:cs="Arial"/>
          <w:sz w:val="24"/>
          <w:szCs w:val="24"/>
        </w:rPr>
        <w:t>Self-service: Offers a daily scheduled menu from which customers can select the meals and drinks they would prefer to consume from a counter or buffet however they may also require to wait in line. Mostly In cafeterias, self-service is widely used were c Customers frequently grab a tray from the front of the service counter, proceed to the meal selection area, anticipate paying the bill, and then pick up any necessary cutlery and other accessories prior to dining.</w:t>
      </w:r>
    </w:p>
    <w:p w14:paraId="67E4ED67" w14:textId="30609F04" w:rsidR="00FC19C4" w:rsidRPr="003A42CD" w:rsidRDefault="00FC19C4" w:rsidP="003A42CD">
      <w:pPr>
        <w:pStyle w:val="ListParagraph"/>
        <w:numPr>
          <w:ilvl w:val="0"/>
          <w:numId w:val="1"/>
        </w:numPr>
        <w:spacing w:line="360" w:lineRule="auto"/>
        <w:rPr>
          <w:rFonts w:ascii="Arial" w:hAnsi="Arial" w:cs="Arial"/>
          <w:sz w:val="24"/>
          <w:szCs w:val="24"/>
        </w:rPr>
      </w:pPr>
      <w:r w:rsidRPr="003A42CD">
        <w:rPr>
          <w:rFonts w:ascii="Arial" w:hAnsi="Arial" w:cs="Arial"/>
          <w:sz w:val="24"/>
          <w:szCs w:val="24"/>
        </w:rPr>
        <w:t xml:space="preserve">Single Point Service: when a consumer takes an </w:t>
      </w:r>
      <w:r w:rsidR="00E11A85" w:rsidRPr="003A42CD">
        <w:rPr>
          <w:rFonts w:ascii="Arial" w:hAnsi="Arial" w:cs="Arial"/>
          <w:sz w:val="24"/>
          <w:szCs w:val="24"/>
        </w:rPr>
        <w:t>order</w:t>
      </w:r>
      <w:r w:rsidRPr="003A42CD">
        <w:rPr>
          <w:rFonts w:ascii="Arial" w:hAnsi="Arial" w:cs="Arial"/>
          <w:sz w:val="24"/>
          <w:szCs w:val="24"/>
        </w:rPr>
        <w:t>, makes the payment, and picks up their food and drinks at one location, such as a counter.</w:t>
      </w:r>
    </w:p>
    <w:p w14:paraId="05C125A9" w14:textId="4BF69B42" w:rsidR="0087186D" w:rsidRPr="003A42CD" w:rsidRDefault="0087186D" w:rsidP="003A42CD">
      <w:pPr>
        <w:pStyle w:val="ListParagraph"/>
        <w:numPr>
          <w:ilvl w:val="0"/>
          <w:numId w:val="2"/>
        </w:numPr>
        <w:spacing w:line="360" w:lineRule="auto"/>
        <w:rPr>
          <w:rFonts w:ascii="Arial" w:hAnsi="Arial" w:cs="Arial"/>
          <w:sz w:val="24"/>
          <w:szCs w:val="24"/>
        </w:rPr>
      </w:pPr>
      <w:r w:rsidRPr="003A42CD">
        <w:rPr>
          <w:rFonts w:ascii="Arial" w:hAnsi="Arial" w:cs="Arial"/>
          <w:sz w:val="24"/>
          <w:szCs w:val="24"/>
        </w:rPr>
        <w:t>Takeaway: The customer placed their order at a counter, hatch, or snack stand and is subsequently served. Despite the fact that some takeaways provide dining areas, most customers eat their food outside of restaurants. Additionally, some fast-food restaurants provide a drive-through option where customers pull up to the voice intercom to place their order, pay at the next counter, then pick up their food from the collecting point.</w:t>
      </w:r>
    </w:p>
    <w:p w14:paraId="4EAF0147" w14:textId="69444D80" w:rsidR="004E7A30" w:rsidRPr="003A42CD" w:rsidRDefault="004E7A30" w:rsidP="003A42CD">
      <w:pPr>
        <w:pStyle w:val="ListParagraph"/>
        <w:numPr>
          <w:ilvl w:val="0"/>
          <w:numId w:val="2"/>
        </w:numPr>
        <w:spacing w:line="360" w:lineRule="auto"/>
        <w:rPr>
          <w:rFonts w:ascii="Arial" w:hAnsi="Arial" w:cs="Arial"/>
          <w:sz w:val="24"/>
          <w:szCs w:val="24"/>
        </w:rPr>
      </w:pPr>
      <w:r w:rsidRPr="003A42CD">
        <w:rPr>
          <w:rFonts w:ascii="Arial" w:hAnsi="Arial" w:cs="Arial"/>
          <w:sz w:val="24"/>
          <w:szCs w:val="24"/>
        </w:rPr>
        <w:t>A food court is a collection of autonomous, self-contained counters where patrons can place orders and dine in, order food to go, or buy items from many counters and eat in a different area.</w:t>
      </w:r>
    </w:p>
    <w:p w14:paraId="7C5E0EE6" w14:textId="663EB07E" w:rsidR="004E7A30" w:rsidRPr="003A42CD" w:rsidRDefault="004E7A30" w:rsidP="003A42CD">
      <w:pPr>
        <w:pStyle w:val="ListParagraph"/>
        <w:numPr>
          <w:ilvl w:val="0"/>
          <w:numId w:val="2"/>
        </w:numPr>
        <w:spacing w:line="360" w:lineRule="auto"/>
        <w:rPr>
          <w:rFonts w:ascii="Arial" w:hAnsi="Arial" w:cs="Arial"/>
          <w:sz w:val="24"/>
          <w:szCs w:val="24"/>
        </w:rPr>
      </w:pPr>
      <w:r w:rsidRPr="003A42CD">
        <w:rPr>
          <w:rFonts w:ascii="Arial" w:hAnsi="Arial" w:cs="Arial"/>
          <w:color w:val="555555"/>
          <w:sz w:val="24"/>
          <w:szCs w:val="24"/>
          <w:shd w:val="clear" w:color="auto" w:fill="FFFFFF"/>
        </w:rPr>
        <w:t>Kiosk:</w:t>
      </w:r>
      <w:r w:rsidR="00BD6E61" w:rsidRPr="003A42CD">
        <w:rPr>
          <w:rFonts w:ascii="Arial" w:hAnsi="Arial" w:cs="Arial"/>
          <w:color w:val="555555"/>
          <w:sz w:val="24"/>
          <w:szCs w:val="24"/>
          <w:shd w:val="clear" w:color="auto" w:fill="FFFFFF"/>
        </w:rPr>
        <w:t xml:space="preserve"> </w:t>
      </w:r>
      <w:r w:rsidRPr="003A42CD">
        <w:rPr>
          <w:rFonts w:ascii="Arial" w:hAnsi="Arial" w:cs="Arial"/>
          <w:sz w:val="24"/>
          <w:szCs w:val="24"/>
        </w:rPr>
        <w:t>Outstation utilised to provide service during periods of high demand or at a specific place. It could be available for consumers to place orders and get service, or it might be restricted to staff members.</w:t>
      </w:r>
    </w:p>
    <w:p w14:paraId="0E05B38F" w14:textId="665875C4" w:rsidR="00BD6E61" w:rsidRPr="003A42CD" w:rsidRDefault="00BD6E61" w:rsidP="003A42CD">
      <w:pPr>
        <w:pStyle w:val="ListParagraph"/>
        <w:numPr>
          <w:ilvl w:val="0"/>
          <w:numId w:val="2"/>
        </w:numPr>
        <w:spacing w:line="360" w:lineRule="auto"/>
        <w:rPr>
          <w:rFonts w:ascii="Arial" w:hAnsi="Arial" w:cs="Arial"/>
          <w:sz w:val="24"/>
          <w:szCs w:val="24"/>
        </w:rPr>
      </w:pPr>
      <w:r w:rsidRPr="003A42CD">
        <w:rPr>
          <w:rFonts w:ascii="Arial" w:hAnsi="Arial" w:cs="Arial"/>
          <w:sz w:val="24"/>
          <w:szCs w:val="24"/>
        </w:rPr>
        <w:t>Vending:  Automatic retailing machine that offers simple food and beverage options to passing customers.</w:t>
      </w:r>
    </w:p>
    <w:p w14:paraId="6AAADB4F" w14:textId="43E801D8" w:rsidR="00BD6E61" w:rsidRPr="003A42CD" w:rsidRDefault="00BD6E61" w:rsidP="003A42CD">
      <w:pPr>
        <w:pStyle w:val="ListParagraph"/>
        <w:numPr>
          <w:ilvl w:val="0"/>
          <w:numId w:val="2"/>
        </w:numPr>
        <w:spacing w:line="360" w:lineRule="auto"/>
        <w:rPr>
          <w:rFonts w:ascii="Arial" w:hAnsi="Arial" w:cs="Arial"/>
          <w:sz w:val="24"/>
          <w:szCs w:val="24"/>
        </w:rPr>
      </w:pPr>
      <w:r w:rsidRPr="003A42CD">
        <w:rPr>
          <w:rFonts w:ascii="Arial" w:hAnsi="Arial" w:cs="Arial"/>
          <w:sz w:val="24"/>
          <w:szCs w:val="24"/>
        </w:rPr>
        <w:t>Bar: A licenced establishment where customers may place orders, receive services, and make payments.</w:t>
      </w:r>
    </w:p>
    <w:p w14:paraId="369B9D67" w14:textId="0925A716" w:rsidR="00137441" w:rsidRPr="003A42CD" w:rsidRDefault="00137441" w:rsidP="003A42CD">
      <w:pPr>
        <w:pStyle w:val="ListParagraph"/>
        <w:numPr>
          <w:ilvl w:val="0"/>
          <w:numId w:val="1"/>
        </w:numPr>
        <w:spacing w:line="360" w:lineRule="auto"/>
        <w:rPr>
          <w:rFonts w:ascii="Arial" w:hAnsi="Arial" w:cs="Arial"/>
          <w:sz w:val="24"/>
          <w:szCs w:val="24"/>
        </w:rPr>
      </w:pPr>
      <w:r w:rsidRPr="003A42CD">
        <w:rPr>
          <w:rFonts w:ascii="Arial" w:hAnsi="Arial" w:cs="Arial"/>
          <w:sz w:val="24"/>
          <w:szCs w:val="24"/>
        </w:rPr>
        <w:t>Specialised Service</w:t>
      </w:r>
      <w:r w:rsidR="005646F3" w:rsidRPr="003A42CD">
        <w:rPr>
          <w:rFonts w:ascii="Arial" w:hAnsi="Arial" w:cs="Arial"/>
          <w:sz w:val="24"/>
          <w:szCs w:val="24"/>
        </w:rPr>
        <w:t xml:space="preserve">: </w:t>
      </w:r>
      <w:r w:rsidR="003A42CD" w:rsidRPr="003A42CD">
        <w:rPr>
          <w:rFonts w:ascii="Arial" w:hAnsi="Arial" w:cs="Arial"/>
          <w:color w:val="000000" w:themeColor="text1"/>
          <w:sz w:val="24"/>
          <w:szCs w:val="24"/>
          <w:shd w:val="clear" w:color="auto" w:fill="FFFFFF"/>
        </w:rPr>
        <w:t>Specialised service (or service in situ): Meals and beverages are delivered to the customer's residence. This includes tray and trolley service in the lounge or in their room. Hospitals, aeroplanes, and home delivery are additional options.</w:t>
      </w:r>
    </w:p>
    <w:p w14:paraId="0929F22C" w14:textId="279C224F" w:rsidR="00984A6B" w:rsidRPr="003A42CD" w:rsidRDefault="004C729C" w:rsidP="003A42CD">
      <w:pPr>
        <w:pStyle w:val="ListParagraph"/>
        <w:spacing w:line="360" w:lineRule="auto"/>
        <w:rPr>
          <w:rFonts w:ascii="Arial" w:hAnsi="Arial" w:cs="Arial"/>
          <w:sz w:val="24"/>
          <w:szCs w:val="24"/>
        </w:rPr>
      </w:pPr>
      <w:r>
        <w:rPr>
          <w:rFonts w:ascii="Arial" w:hAnsi="Arial" w:cs="Arial"/>
          <w:sz w:val="24"/>
          <w:szCs w:val="24"/>
        </w:rPr>
        <w:t xml:space="preserve">Inconclusion, </w:t>
      </w:r>
      <w:r w:rsidRPr="003A42CD">
        <w:rPr>
          <w:rFonts w:ascii="Arial" w:hAnsi="Arial" w:cs="Arial"/>
          <w:sz w:val="24"/>
          <w:szCs w:val="24"/>
        </w:rPr>
        <w:t>one</w:t>
      </w:r>
      <w:r w:rsidR="007C2642" w:rsidRPr="003A42CD">
        <w:rPr>
          <w:rFonts w:ascii="Arial" w:hAnsi="Arial" w:cs="Arial"/>
          <w:sz w:val="24"/>
          <w:szCs w:val="24"/>
        </w:rPr>
        <w:t xml:space="preserve"> requires knowledge and abilities in a number of management disciplines to be able to provide the market with competitive </w:t>
      </w:r>
      <w:r w:rsidR="007C2642" w:rsidRPr="003A42CD">
        <w:rPr>
          <w:rFonts w:ascii="Arial" w:hAnsi="Arial" w:cs="Arial"/>
          <w:sz w:val="24"/>
          <w:szCs w:val="24"/>
        </w:rPr>
        <w:lastRenderedPageBreak/>
        <w:t>food and beverage goods and serve them in a service environment that is acceptable. Maintaining a restaurant's profitability depends on the creation and ongoing review of the menu. It is no less difficult to motivate and develop personnel through training and development while working in a field with significant employee turnover rates and often unfavourable engagement conditions. Managers in the restaurant business find these factors to be fascinating and demanding.</w:t>
      </w:r>
    </w:p>
    <w:p w14:paraId="318B84ED" w14:textId="77777777" w:rsidR="003A42CD" w:rsidRDefault="003A42CD" w:rsidP="003A42CD">
      <w:pPr>
        <w:spacing w:line="360" w:lineRule="auto"/>
        <w:rPr>
          <w:rFonts w:ascii="Arial" w:hAnsi="Arial" w:cs="Arial"/>
          <w:sz w:val="24"/>
          <w:szCs w:val="24"/>
        </w:rPr>
      </w:pPr>
    </w:p>
    <w:p w14:paraId="0B502438" w14:textId="77777777" w:rsidR="003A42CD" w:rsidRDefault="003A42CD" w:rsidP="003A42CD">
      <w:pPr>
        <w:spacing w:line="360" w:lineRule="auto"/>
        <w:rPr>
          <w:rFonts w:ascii="Arial" w:hAnsi="Arial" w:cs="Arial"/>
          <w:sz w:val="24"/>
          <w:szCs w:val="24"/>
        </w:rPr>
      </w:pPr>
    </w:p>
    <w:p w14:paraId="7B3E8EC7" w14:textId="77777777" w:rsidR="003A42CD" w:rsidRDefault="003A42CD" w:rsidP="003A42CD">
      <w:pPr>
        <w:spacing w:line="360" w:lineRule="auto"/>
        <w:rPr>
          <w:rFonts w:ascii="Arial" w:hAnsi="Arial" w:cs="Arial"/>
          <w:sz w:val="24"/>
          <w:szCs w:val="24"/>
        </w:rPr>
      </w:pPr>
    </w:p>
    <w:p w14:paraId="38C80D94" w14:textId="77777777" w:rsidR="003A42CD" w:rsidRDefault="003A42CD" w:rsidP="003A42CD">
      <w:pPr>
        <w:spacing w:line="360" w:lineRule="auto"/>
        <w:rPr>
          <w:rFonts w:ascii="Arial" w:hAnsi="Arial" w:cs="Arial"/>
          <w:sz w:val="24"/>
          <w:szCs w:val="24"/>
        </w:rPr>
      </w:pPr>
    </w:p>
    <w:p w14:paraId="2236FBA2" w14:textId="77777777" w:rsidR="003A42CD" w:rsidRDefault="003A42CD" w:rsidP="003A42CD">
      <w:pPr>
        <w:spacing w:line="360" w:lineRule="auto"/>
        <w:rPr>
          <w:rFonts w:ascii="Arial" w:hAnsi="Arial" w:cs="Arial"/>
          <w:sz w:val="24"/>
          <w:szCs w:val="24"/>
        </w:rPr>
      </w:pPr>
    </w:p>
    <w:p w14:paraId="2E0D0DF7" w14:textId="77777777" w:rsidR="003A42CD" w:rsidRDefault="003A42CD" w:rsidP="003A42CD">
      <w:pPr>
        <w:spacing w:line="360" w:lineRule="auto"/>
        <w:rPr>
          <w:rFonts w:ascii="Arial" w:hAnsi="Arial" w:cs="Arial"/>
          <w:sz w:val="24"/>
          <w:szCs w:val="24"/>
        </w:rPr>
      </w:pPr>
    </w:p>
    <w:p w14:paraId="5EC9C906" w14:textId="77777777" w:rsidR="003A42CD" w:rsidRDefault="003A42CD" w:rsidP="003A42CD">
      <w:pPr>
        <w:spacing w:line="360" w:lineRule="auto"/>
        <w:rPr>
          <w:rFonts w:ascii="Arial" w:hAnsi="Arial" w:cs="Arial"/>
          <w:sz w:val="24"/>
          <w:szCs w:val="24"/>
        </w:rPr>
      </w:pPr>
    </w:p>
    <w:p w14:paraId="576E5655" w14:textId="77777777" w:rsidR="003A42CD" w:rsidRDefault="003A42CD" w:rsidP="003A42CD">
      <w:pPr>
        <w:spacing w:line="360" w:lineRule="auto"/>
        <w:rPr>
          <w:rFonts w:ascii="Arial" w:hAnsi="Arial" w:cs="Arial"/>
          <w:sz w:val="24"/>
          <w:szCs w:val="24"/>
        </w:rPr>
      </w:pPr>
    </w:p>
    <w:p w14:paraId="04366FC3" w14:textId="77777777" w:rsidR="003A42CD" w:rsidRDefault="003A42CD" w:rsidP="003A42CD">
      <w:pPr>
        <w:spacing w:line="360" w:lineRule="auto"/>
        <w:rPr>
          <w:rFonts w:ascii="Arial" w:hAnsi="Arial" w:cs="Arial"/>
          <w:sz w:val="24"/>
          <w:szCs w:val="24"/>
        </w:rPr>
      </w:pPr>
    </w:p>
    <w:p w14:paraId="021197D8" w14:textId="77777777" w:rsidR="003A42CD" w:rsidRDefault="003A42CD" w:rsidP="003A42CD">
      <w:pPr>
        <w:spacing w:line="360" w:lineRule="auto"/>
        <w:rPr>
          <w:rFonts w:ascii="Arial" w:hAnsi="Arial" w:cs="Arial"/>
          <w:sz w:val="24"/>
          <w:szCs w:val="24"/>
        </w:rPr>
      </w:pPr>
    </w:p>
    <w:p w14:paraId="6F136096" w14:textId="77777777" w:rsidR="003A42CD" w:rsidRDefault="003A42CD" w:rsidP="003A42CD">
      <w:pPr>
        <w:spacing w:line="360" w:lineRule="auto"/>
        <w:rPr>
          <w:rFonts w:ascii="Arial" w:hAnsi="Arial" w:cs="Arial"/>
          <w:sz w:val="24"/>
          <w:szCs w:val="24"/>
        </w:rPr>
      </w:pPr>
    </w:p>
    <w:p w14:paraId="5F87ED0C" w14:textId="77777777" w:rsidR="003A42CD" w:rsidRDefault="003A42CD" w:rsidP="003A42CD">
      <w:pPr>
        <w:spacing w:line="360" w:lineRule="auto"/>
        <w:rPr>
          <w:rFonts w:ascii="Arial" w:hAnsi="Arial" w:cs="Arial"/>
          <w:sz w:val="24"/>
          <w:szCs w:val="24"/>
        </w:rPr>
      </w:pPr>
    </w:p>
    <w:p w14:paraId="4CE7A03D" w14:textId="77777777" w:rsidR="003A42CD" w:rsidRDefault="003A42CD" w:rsidP="003A42CD">
      <w:pPr>
        <w:spacing w:line="360" w:lineRule="auto"/>
        <w:rPr>
          <w:rFonts w:ascii="Arial" w:hAnsi="Arial" w:cs="Arial"/>
          <w:sz w:val="24"/>
          <w:szCs w:val="24"/>
        </w:rPr>
      </w:pPr>
    </w:p>
    <w:p w14:paraId="7A362699" w14:textId="77777777" w:rsidR="003A42CD" w:rsidRDefault="003A42CD" w:rsidP="003A42CD">
      <w:pPr>
        <w:spacing w:line="360" w:lineRule="auto"/>
        <w:rPr>
          <w:rFonts w:ascii="Arial" w:hAnsi="Arial" w:cs="Arial"/>
          <w:sz w:val="24"/>
          <w:szCs w:val="24"/>
        </w:rPr>
      </w:pPr>
    </w:p>
    <w:p w14:paraId="13E3EC2F" w14:textId="77777777" w:rsidR="003A42CD" w:rsidRDefault="003A42CD" w:rsidP="003A42CD">
      <w:pPr>
        <w:spacing w:line="360" w:lineRule="auto"/>
        <w:rPr>
          <w:rFonts w:ascii="Arial" w:hAnsi="Arial" w:cs="Arial"/>
          <w:sz w:val="24"/>
          <w:szCs w:val="24"/>
        </w:rPr>
      </w:pPr>
    </w:p>
    <w:p w14:paraId="597844F3" w14:textId="77777777" w:rsidR="003A42CD" w:rsidRDefault="003A42CD" w:rsidP="003A42CD">
      <w:pPr>
        <w:spacing w:line="360" w:lineRule="auto"/>
        <w:rPr>
          <w:rFonts w:ascii="Arial" w:hAnsi="Arial" w:cs="Arial"/>
          <w:sz w:val="24"/>
          <w:szCs w:val="24"/>
        </w:rPr>
      </w:pPr>
    </w:p>
    <w:p w14:paraId="144E2A71" w14:textId="77777777" w:rsidR="003A42CD" w:rsidRDefault="003A42CD" w:rsidP="003A42CD">
      <w:pPr>
        <w:spacing w:line="360" w:lineRule="auto"/>
        <w:rPr>
          <w:rFonts w:ascii="Arial" w:hAnsi="Arial" w:cs="Arial"/>
          <w:sz w:val="24"/>
          <w:szCs w:val="24"/>
        </w:rPr>
      </w:pPr>
    </w:p>
    <w:p w14:paraId="5718634D" w14:textId="77777777" w:rsidR="003A42CD" w:rsidRDefault="003A42CD" w:rsidP="003A42CD">
      <w:pPr>
        <w:spacing w:line="360" w:lineRule="auto"/>
        <w:rPr>
          <w:rFonts w:ascii="Arial" w:hAnsi="Arial" w:cs="Arial"/>
          <w:sz w:val="24"/>
          <w:szCs w:val="24"/>
        </w:rPr>
      </w:pPr>
    </w:p>
    <w:p w14:paraId="52BFE62E" w14:textId="77777777" w:rsidR="003A42CD" w:rsidRDefault="003A42CD" w:rsidP="003A42CD">
      <w:pPr>
        <w:spacing w:line="360" w:lineRule="auto"/>
        <w:rPr>
          <w:rFonts w:ascii="Arial" w:hAnsi="Arial" w:cs="Arial"/>
          <w:sz w:val="24"/>
          <w:szCs w:val="24"/>
        </w:rPr>
      </w:pPr>
    </w:p>
    <w:p w14:paraId="1CE51917" w14:textId="77777777" w:rsidR="003A42CD" w:rsidRDefault="003A42CD" w:rsidP="003A42CD">
      <w:pPr>
        <w:spacing w:line="360" w:lineRule="auto"/>
        <w:rPr>
          <w:rFonts w:ascii="Arial" w:hAnsi="Arial" w:cs="Arial"/>
          <w:sz w:val="24"/>
          <w:szCs w:val="24"/>
        </w:rPr>
      </w:pPr>
    </w:p>
    <w:p w14:paraId="0E50FF3D" w14:textId="10977160" w:rsidR="009E2667" w:rsidRPr="003A42CD" w:rsidRDefault="00A91969" w:rsidP="003A42CD">
      <w:pPr>
        <w:spacing w:line="360" w:lineRule="auto"/>
        <w:rPr>
          <w:rFonts w:ascii="Arial" w:hAnsi="Arial" w:cs="Arial"/>
          <w:sz w:val="24"/>
          <w:szCs w:val="24"/>
        </w:rPr>
      </w:pPr>
      <w:r w:rsidRPr="003A42CD">
        <w:rPr>
          <w:rFonts w:ascii="Arial" w:hAnsi="Arial" w:cs="Arial"/>
          <w:sz w:val="24"/>
          <w:szCs w:val="24"/>
        </w:rPr>
        <w:t>Reference list</w:t>
      </w:r>
    </w:p>
    <w:p w14:paraId="467054DF" w14:textId="44E8FC76" w:rsidR="00285926" w:rsidRPr="003A42CD" w:rsidRDefault="00285926" w:rsidP="003A42CD">
      <w:pPr>
        <w:spacing w:line="360" w:lineRule="auto"/>
        <w:rPr>
          <w:rFonts w:ascii="Arial" w:hAnsi="Arial" w:cs="Arial"/>
          <w:color w:val="555555"/>
          <w:sz w:val="24"/>
          <w:szCs w:val="24"/>
        </w:rPr>
      </w:pPr>
      <w:r w:rsidRPr="003A42CD">
        <w:rPr>
          <w:rFonts w:ascii="Arial" w:hAnsi="Arial" w:cs="Arial"/>
          <w:color w:val="555555"/>
          <w:sz w:val="24"/>
          <w:szCs w:val="24"/>
        </w:rPr>
        <w:t xml:space="preserve">Cousins, John, and Suzanne Weekes. Food and Beverage Service, 10th Edition, Hodder Education Group, 2020. ProQuest </w:t>
      </w:r>
      <w:r w:rsidR="004C729C" w:rsidRPr="003A42CD">
        <w:rPr>
          <w:rFonts w:ascii="Arial" w:hAnsi="Arial" w:cs="Arial"/>
          <w:color w:val="555555"/>
          <w:sz w:val="24"/>
          <w:szCs w:val="24"/>
        </w:rPr>
        <w:t>eBook</w:t>
      </w:r>
      <w:r w:rsidRPr="003A42CD">
        <w:rPr>
          <w:rFonts w:ascii="Arial" w:hAnsi="Arial" w:cs="Arial"/>
          <w:color w:val="555555"/>
          <w:sz w:val="24"/>
          <w:szCs w:val="24"/>
        </w:rPr>
        <w:t xml:space="preserve"> Central, </w:t>
      </w:r>
      <w:hyperlink r:id="rId8" w:history="1">
        <w:r w:rsidRPr="003A42CD">
          <w:rPr>
            <w:rStyle w:val="Hyperlink"/>
            <w:rFonts w:ascii="Arial" w:hAnsi="Arial" w:cs="Arial"/>
            <w:sz w:val="24"/>
            <w:szCs w:val="24"/>
          </w:rPr>
          <w:t>https://ebookcentral.proquest.com/lib/trinity/detail.action?docID=6354742</w:t>
        </w:r>
      </w:hyperlink>
      <w:r w:rsidRPr="003A42CD">
        <w:rPr>
          <w:rFonts w:ascii="Arial" w:hAnsi="Arial" w:cs="Arial"/>
          <w:color w:val="555555"/>
          <w:sz w:val="24"/>
          <w:szCs w:val="24"/>
        </w:rPr>
        <w:t xml:space="preserve"> Chapter 1 The food service industry</w:t>
      </w:r>
    </w:p>
    <w:p w14:paraId="35ACC0BA" w14:textId="1F5AAA91" w:rsidR="00CF38C1" w:rsidRPr="003A42CD" w:rsidRDefault="009E2667" w:rsidP="003A42CD">
      <w:pPr>
        <w:spacing w:line="360" w:lineRule="auto"/>
        <w:rPr>
          <w:rFonts w:ascii="Arial" w:hAnsi="Arial" w:cs="Arial"/>
          <w:color w:val="555555"/>
          <w:sz w:val="24"/>
          <w:szCs w:val="24"/>
        </w:rPr>
      </w:pPr>
      <w:r w:rsidRPr="003A42CD">
        <w:rPr>
          <w:rFonts w:ascii="Arial" w:hAnsi="Arial" w:cs="Arial"/>
          <w:color w:val="555555"/>
          <w:sz w:val="24"/>
          <w:szCs w:val="24"/>
        </w:rPr>
        <w:t xml:space="preserve">Cousins, John, and Suzanne Weekes. Food and Beverage Service, 10th Edition, Hodder Education Group, 2020. ProQuest </w:t>
      </w:r>
      <w:r w:rsidR="004C729C" w:rsidRPr="003A42CD">
        <w:rPr>
          <w:rFonts w:ascii="Arial" w:hAnsi="Arial" w:cs="Arial"/>
          <w:color w:val="555555"/>
          <w:sz w:val="24"/>
          <w:szCs w:val="24"/>
        </w:rPr>
        <w:t>eBook</w:t>
      </w:r>
      <w:r w:rsidRPr="003A42CD">
        <w:rPr>
          <w:rFonts w:ascii="Arial" w:hAnsi="Arial" w:cs="Arial"/>
          <w:color w:val="555555"/>
          <w:sz w:val="24"/>
          <w:szCs w:val="24"/>
        </w:rPr>
        <w:t xml:space="preserve"> Central, </w:t>
      </w:r>
      <w:hyperlink r:id="rId9" w:history="1">
        <w:r w:rsidRPr="003A42CD">
          <w:rPr>
            <w:rStyle w:val="Hyperlink"/>
            <w:rFonts w:ascii="Arial" w:hAnsi="Arial" w:cs="Arial"/>
            <w:sz w:val="24"/>
            <w:szCs w:val="24"/>
          </w:rPr>
          <w:t>https://ebookcentral.proquest.com/lib/trinity/detail.action?docID=6354742</w:t>
        </w:r>
      </w:hyperlink>
      <w:r w:rsidRPr="003A42CD">
        <w:rPr>
          <w:rFonts w:ascii="Arial" w:hAnsi="Arial" w:cs="Arial"/>
          <w:color w:val="555555"/>
          <w:sz w:val="24"/>
          <w:szCs w:val="24"/>
        </w:rPr>
        <w:t>. Chapter 6 Preparation and order of service for table service</w:t>
      </w:r>
    </w:p>
    <w:p w14:paraId="75983616" w14:textId="76665C2A" w:rsidR="00CF38C1" w:rsidRPr="003A42CD" w:rsidRDefault="009E2667" w:rsidP="003A42CD">
      <w:pPr>
        <w:spacing w:line="360" w:lineRule="auto"/>
        <w:rPr>
          <w:rFonts w:ascii="Arial" w:hAnsi="Arial" w:cs="Arial"/>
          <w:color w:val="555555"/>
          <w:sz w:val="24"/>
          <w:szCs w:val="24"/>
        </w:rPr>
      </w:pPr>
      <w:r w:rsidRPr="003A42CD">
        <w:rPr>
          <w:rFonts w:ascii="Arial" w:hAnsi="Arial" w:cs="Arial"/>
          <w:color w:val="555555"/>
          <w:sz w:val="24"/>
          <w:szCs w:val="24"/>
        </w:rPr>
        <w:t xml:space="preserve">Cousins, John, and Suzanne Weekes. Food and Beverage Service, 10th Edition, Hodder Education Group, 2020. ProQuest </w:t>
      </w:r>
      <w:r w:rsidR="004C729C" w:rsidRPr="003A42CD">
        <w:rPr>
          <w:rFonts w:ascii="Arial" w:hAnsi="Arial" w:cs="Arial"/>
          <w:color w:val="555555"/>
          <w:sz w:val="24"/>
          <w:szCs w:val="24"/>
        </w:rPr>
        <w:t>eBook</w:t>
      </w:r>
      <w:r w:rsidRPr="003A42CD">
        <w:rPr>
          <w:rFonts w:ascii="Arial" w:hAnsi="Arial" w:cs="Arial"/>
          <w:color w:val="555555"/>
          <w:sz w:val="24"/>
          <w:szCs w:val="24"/>
        </w:rPr>
        <w:t xml:space="preserve"> Central, </w:t>
      </w:r>
      <w:hyperlink r:id="rId10" w:history="1">
        <w:r w:rsidR="00285926" w:rsidRPr="003A42CD">
          <w:rPr>
            <w:rStyle w:val="Hyperlink"/>
            <w:rFonts w:ascii="Arial" w:hAnsi="Arial" w:cs="Arial"/>
            <w:sz w:val="24"/>
            <w:szCs w:val="24"/>
          </w:rPr>
          <w:t>https://ebookcentral.proquest.com/lib/trinity/detail.action?docID=6354742</w:t>
        </w:r>
      </w:hyperlink>
      <w:r w:rsidR="00285926" w:rsidRPr="003A42CD">
        <w:rPr>
          <w:rFonts w:ascii="Arial" w:hAnsi="Arial" w:cs="Arial"/>
          <w:color w:val="555555"/>
          <w:sz w:val="24"/>
          <w:szCs w:val="24"/>
        </w:rPr>
        <w:t xml:space="preserve"> </w:t>
      </w:r>
      <w:r w:rsidRPr="003A42CD">
        <w:rPr>
          <w:rFonts w:ascii="Arial" w:hAnsi="Arial" w:cs="Arial"/>
          <w:color w:val="555555"/>
          <w:sz w:val="24"/>
          <w:szCs w:val="24"/>
        </w:rPr>
        <w:t>Chapter 7 Preparation and order of service for self-service, assisted service and single point service</w:t>
      </w:r>
    </w:p>
    <w:p w14:paraId="47B31F92" w14:textId="365F46D1" w:rsidR="00285926" w:rsidRPr="003A42CD" w:rsidRDefault="00285926" w:rsidP="003A42CD">
      <w:pPr>
        <w:spacing w:line="360" w:lineRule="auto"/>
        <w:rPr>
          <w:rFonts w:ascii="Arial" w:hAnsi="Arial" w:cs="Arial"/>
          <w:color w:val="555555"/>
          <w:sz w:val="24"/>
          <w:szCs w:val="24"/>
        </w:rPr>
      </w:pPr>
      <w:r w:rsidRPr="003A42CD">
        <w:rPr>
          <w:rFonts w:ascii="Arial" w:hAnsi="Arial" w:cs="Arial"/>
          <w:color w:val="555555"/>
          <w:sz w:val="24"/>
          <w:szCs w:val="24"/>
        </w:rPr>
        <w:t xml:space="preserve">Cousins, John, and Suzanne Weekes. Food and Beverage Service, 10th Edition, Hodder Education Group, 2020. ProQuest </w:t>
      </w:r>
      <w:r w:rsidR="004C729C" w:rsidRPr="003A42CD">
        <w:rPr>
          <w:rFonts w:ascii="Arial" w:hAnsi="Arial" w:cs="Arial"/>
          <w:color w:val="555555"/>
          <w:sz w:val="24"/>
          <w:szCs w:val="24"/>
        </w:rPr>
        <w:t>eBook</w:t>
      </w:r>
      <w:r w:rsidRPr="003A42CD">
        <w:rPr>
          <w:rFonts w:ascii="Arial" w:hAnsi="Arial" w:cs="Arial"/>
          <w:color w:val="555555"/>
          <w:sz w:val="24"/>
          <w:szCs w:val="24"/>
        </w:rPr>
        <w:t xml:space="preserve"> Central, </w:t>
      </w:r>
      <w:hyperlink r:id="rId11" w:history="1">
        <w:r w:rsidR="00C76B1A" w:rsidRPr="00FE5C6B">
          <w:rPr>
            <w:rStyle w:val="Hyperlink"/>
            <w:rFonts w:ascii="Arial" w:hAnsi="Arial" w:cs="Arial"/>
            <w:sz w:val="24"/>
            <w:szCs w:val="24"/>
          </w:rPr>
          <w:t>https://ebookcentral.proquest.com/lib/trinity/detail.action?docID=6354742</w:t>
        </w:r>
      </w:hyperlink>
      <w:r w:rsidR="00C76B1A">
        <w:rPr>
          <w:rFonts w:ascii="Arial" w:hAnsi="Arial" w:cs="Arial"/>
          <w:color w:val="555555"/>
          <w:sz w:val="24"/>
          <w:szCs w:val="24"/>
        </w:rPr>
        <w:t xml:space="preserve"> </w:t>
      </w:r>
      <w:r w:rsidRPr="003A42CD">
        <w:rPr>
          <w:rFonts w:ascii="Arial" w:hAnsi="Arial" w:cs="Arial"/>
          <w:color w:val="555555"/>
          <w:sz w:val="24"/>
          <w:szCs w:val="24"/>
        </w:rPr>
        <w:t>Chapter 9 Specialised service methods</w:t>
      </w:r>
    </w:p>
    <w:p w14:paraId="3D02766D" w14:textId="3366B3D8" w:rsidR="006E2C31" w:rsidRPr="003A42CD" w:rsidRDefault="006E2C31" w:rsidP="003A42CD">
      <w:pPr>
        <w:spacing w:line="360" w:lineRule="auto"/>
        <w:rPr>
          <w:rFonts w:ascii="Arial" w:hAnsi="Arial" w:cs="Arial"/>
          <w:color w:val="222222"/>
          <w:sz w:val="24"/>
          <w:szCs w:val="24"/>
          <w:shd w:val="clear" w:color="auto" w:fill="FFFFFF"/>
        </w:rPr>
      </w:pPr>
      <w:r w:rsidRPr="003A42CD">
        <w:rPr>
          <w:rFonts w:ascii="Arial" w:hAnsi="Arial" w:cs="Arial"/>
          <w:color w:val="222222"/>
          <w:sz w:val="24"/>
          <w:szCs w:val="24"/>
          <w:shd w:val="clear" w:color="auto" w:fill="FFFFFF"/>
        </w:rPr>
        <w:t>Boussard, S., 2021. </w:t>
      </w:r>
      <w:r w:rsidRPr="003A42CD">
        <w:rPr>
          <w:rFonts w:ascii="Arial" w:hAnsi="Arial" w:cs="Arial"/>
          <w:i/>
          <w:iCs/>
          <w:color w:val="222222"/>
          <w:sz w:val="24"/>
          <w:szCs w:val="24"/>
          <w:shd w:val="clear" w:color="auto" w:fill="FFFFFF"/>
        </w:rPr>
        <w:t>Food and Beverage Management in the Luxury Hotel Industry</w:t>
      </w:r>
      <w:r w:rsidRPr="003A42CD">
        <w:rPr>
          <w:rFonts w:ascii="Arial" w:hAnsi="Arial" w:cs="Arial"/>
          <w:color w:val="222222"/>
          <w:sz w:val="24"/>
          <w:szCs w:val="24"/>
          <w:shd w:val="clear" w:color="auto" w:fill="FFFFFF"/>
        </w:rPr>
        <w:t>. Business Expert Press.</w:t>
      </w:r>
    </w:p>
    <w:p w14:paraId="060E4036" w14:textId="4E292C5B" w:rsidR="00984A6B" w:rsidRPr="003A42CD" w:rsidRDefault="00984A6B" w:rsidP="003A42CD">
      <w:pPr>
        <w:spacing w:line="360" w:lineRule="auto"/>
        <w:rPr>
          <w:rFonts w:ascii="Arial" w:hAnsi="Arial" w:cs="Arial"/>
          <w:color w:val="222222"/>
          <w:sz w:val="24"/>
          <w:szCs w:val="24"/>
          <w:shd w:val="clear" w:color="auto" w:fill="FFFFFF"/>
        </w:rPr>
      </w:pPr>
      <w:r w:rsidRPr="003A42CD">
        <w:rPr>
          <w:rFonts w:ascii="Arial" w:hAnsi="Arial" w:cs="Arial"/>
          <w:color w:val="222222"/>
          <w:sz w:val="24"/>
          <w:szCs w:val="24"/>
          <w:shd w:val="clear" w:color="auto" w:fill="FFFFFF"/>
        </w:rPr>
        <w:t>Wood, R.C., 2013. Key concepts in hospitality management. </w:t>
      </w:r>
      <w:r w:rsidRPr="003A42CD">
        <w:rPr>
          <w:rFonts w:ascii="Arial" w:hAnsi="Arial" w:cs="Arial"/>
          <w:i/>
          <w:iCs/>
          <w:color w:val="222222"/>
          <w:sz w:val="24"/>
          <w:szCs w:val="24"/>
          <w:shd w:val="clear" w:color="auto" w:fill="FFFFFF"/>
        </w:rPr>
        <w:t>Key Concepts in Hospitality Management</w:t>
      </w:r>
      <w:r w:rsidRPr="003A42CD">
        <w:rPr>
          <w:rFonts w:ascii="Arial" w:hAnsi="Arial" w:cs="Arial"/>
          <w:color w:val="222222"/>
          <w:sz w:val="24"/>
          <w:szCs w:val="24"/>
          <w:shd w:val="clear" w:color="auto" w:fill="FFFFFF"/>
        </w:rPr>
        <w:t>, pp.1-200.</w:t>
      </w:r>
    </w:p>
    <w:p w14:paraId="1C977C32" w14:textId="77777777" w:rsidR="00E44F80" w:rsidRPr="003A42CD" w:rsidRDefault="00E44F80" w:rsidP="003A42CD">
      <w:pPr>
        <w:spacing w:line="360" w:lineRule="auto"/>
        <w:rPr>
          <w:rFonts w:ascii="Arial" w:hAnsi="Arial" w:cs="Arial"/>
          <w:color w:val="222222"/>
          <w:sz w:val="24"/>
          <w:szCs w:val="24"/>
          <w:shd w:val="clear" w:color="auto" w:fill="FFFFFF"/>
        </w:rPr>
      </w:pPr>
    </w:p>
    <w:p w14:paraId="01FDC12E" w14:textId="7EE8C165" w:rsidR="00C41249" w:rsidRPr="003A42CD" w:rsidRDefault="00C41249" w:rsidP="003A42CD">
      <w:pPr>
        <w:spacing w:line="360" w:lineRule="auto"/>
        <w:rPr>
          <w:rFonts w:ascii="Arial" w:hAnsi="Arial" w:cs="Arial"/>
          <w:color w:val="222222"/>
          <w:sz w:val="24"/>
          <w:szCs w:val="24"/>
          <w:shd w:val="clear" w:color="auto" w:fill="FFFFFF"/>
        </w:rPr>
      </w:pPr>
    </w:p>
    <w:sectPr w:rsidR="00C41249" w:rsidRPr="003A42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9556F8"/>
    <w:multiLevelType w:val="hybridMultilevel"/>
    <w:tmpl w:val="714866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A9E58E3"/>
    <w:multiLevelType w:val="hybridMultilevel"/>
    <w:tmpl w:val="5FBAD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5332089">
    <w:abstractNumId w:val="1"/>
  </w:num>
  <w:num w:numId="2" w16cid:durableId="578290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6A2"/>
    <w:rsid w:val="00004518"/>
    <w:rsid w:val="0006125B"/>
    <w:rsid w:val="00116FB3"/>
    <w:rsid w:val="00137441"/>
    <w:rsid w:val="001E7441"/>
    <w:rsid w:val="00264764"/>
    <w:rsid w:val="00285926"/>
    <w:rsid w:val="002976A2"/>
    <w:rsid w:val="002F5369"/>
    <w:rsid w:val="00357801"/>
    <w:rsid w:val="00382804"/>
    <w:rsid w:val="003A42CD"/>
    <w:rsid w:val="003B0448"/>
    <w:rsid w:val="003D0505"/>
    <w:rsid w:val="0045274C"/>
    <w:rsid w:val="004C729C"/>
    <w:rsid w:val="004E7A30"/>
    <w:rsid w:val="005646F3"/>
    <w:rsid w:val="005E1D34"/>
    <w:rsid w:val="005F0930"/>
    <w:rsid w:val="005F738A"/>
    <w:rsid w:val="00667B87"/>
    <w:rsid w:val="00676750"/>
    <w:rsid w:val="006835F5"/>
    <w:rsid w:val="006A6C1A"/>
    <w:rsid w:val="006E2C31"/>
    <w:rsid w:val="006F1AD5"/>
    <w:rsid w:val="007C2642"/>
    <w:rsid w:val="008071C9"/>
    <w:rsid w:val="0087186D"/>
    <w:rsid w:val="00984A6B"/>
    <w:rsid w:val="009A16A7"/>
    <w:rsid w:val="009B7B6C"/>
    <w:rsid w:val="009E2667"/>
    <w:rsid w:val="00A12B24"/>
    <w:rsid w:val="00A91969"/>
    <w:rsid w:val="00AF3EA8"/>
    <w:rsid w:val="00B355E2"/>
    <w:rsid w:val="00BD6E61"/>
    <w:rsid w:val="00C41249"/>
    <w:rsid w:val="00C717BF"/>
    <w:rsid w:val="00C76B1A"/>
    <w:rsid w:val="00CF38C1"/>
    <w:rsid w:val="00D4182E"/>
    <w:rsid w:val="00DF7F60"/>
    <w:rsid w:val="00E11A85"/>
    <w:rsid w:val="00E44F80"/>
    <w:rsid w:val="00E67ADF"/>
    <w:rsid w:val="00E93062"/>
    <w:rsid w:val="00EC7CF4"/>
    <w:rsid w:val="00F41A8A"/>
    <w:rsid w:val="00F526D2"/>
    <w:rsid w:val="00F576FD"/>
    <w:rsid w:val="00F6722E"/>
    <w:rsid w:val="00F741AD"/>
    <w:rsid w:val="00FC1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CC317"/>
  <w15:chartTrackingRefBased/>
  <w15:docId w15:val="{C21BD692-502E-47ED-8BA0-6360A0979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F38C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1D34"/>
    <w:pPr>
      <w:ind w:left="720"/>
      <w:contextualSpacing/>
    </w:pPr>
  </w:style>
  <w:style w:type="character" w:customStyle="1" w:styleId="Heading3Char">
    <w:name w:val="Heading 3 Char"/>
    <w:basedOn w:val="DefaultParagraphFont"/>
    <w:link w:val="Heading3"/>
    <w:uiPriority w:val="9"/>
    <w:rsid w:val="00CF38C1"/>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CF38C1"/>
    <w:rPr>
      <w:color w:val="0000FF"/>
      <w:u w:val="single"/>
    </w:rPr>
  </w:style>
  <w:style w:type="character" w:styleId="UnresolvedMention">
    <w:name w:val="Unresolved Mention"/>
    <w:basedOn w:val="DefaultParagraphFont"/>
    <w:uiPriority w:val="99"/>
    <w:semiHidden/>
    <w:unhideWhenUsed/>
    <w:rsid w:val="009E2667"/>
    <w:rPr>
      <w:color w:val="605E5C"/>
      <w:shd w:val="clear" w:color="auto" w:fill="E1DFDD"/>
    </w:rPr>
  </w:style>
  <w:style w:type="character" w:customStyle="1" w:styleId="muitypography-root">
    <w:name w:val="muitypography-root"/>
    <w:basedOn w:val="DefaultParagraphFont"/>
    <w:rsid w:val="00C41249"/>
  </w:style>
  <w:style w:type="table" w:styleId="TableGrid">
    <w:name w:val="Table Grid"/>
    <w:basedOn w:val="TableNormal"/>
    <w:uiPriority w:val="39"/>
    <w:rsid w:val="00F672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802201">
      <w:bodyDiv w:val="1"/>
      <w:marLeft w:val="0"/>
      <w:marRight w:val="0"/>
      <w:marTop w:val="0"/>
      <w:marBottom w:val="0"/>
      <w:divBdr>
        <w:top w:val="none" w:sz="0" w:space="0" w:color="auto"/>
        <w:left w:val="none" w:sz="0" w:space="0" w:color="auto"/>
        <w:bottom w:val="none" w:sz="0" w:space="0" w:color="auto"/>
        <w:right w:val="none" w:sz="0" w:space="0" w:color="auto"/>
      </w:divBdr>
    </w:div>
    <w:div w:id="81653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detail.action?docID=6354742"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bookcentral.proquest.com/lib/trinity/detail.action?docID=6354742" TargetMode="External"/><Relationship Id="rId5" Type="http://schemas.openxmlformats.org/officeDocument/2006/relationships/styles" Target="styles.xml"/><Relationship Id="rId10" Type="http://schemas.openxmlformats.org/officeDocument/2006/relationships/hyperlink" Target="https://ebookcentral.proquest.com/lib/trinity/detail.action?docID=6354742" TargetMode="External"/><Relationship Id="rId4" Type="http://schemas.openxmlformats.org/officeDocument/2006/relationships/numbering" Target="numbering.xml"/><Relationship Id="rId9" Type="http://schemas.openxmlformats.org/officeDocument/2006/relationships/hyperlink" Target="https://ebookcentral.proquest.com/lib/trinity/detail.action?docID=63547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7" ma:contentTypeDescription="Create a new document." ma:contentTypeScope="" ma:versionID="f4940c8e81c57abe7094c43de8ff5cf2">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2c02a576804ded532f8555b015e190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9C4C590B-06D8-43C9-9DAA-446FC69625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8F2CCF-1BB6-4306-8200-0E01C6520A6A}">
  <ds:schemaRefs>
    <ds:schemaRef ds:uri="http://schemas.microsoft.com/sharepoint/v3/contenttype/forms"/>
  </ds:schemaRefs>
</ds:datastoreItem>
</file>

<file path=customXml/itemProps3.xml><?xml version="1.0" encoding="utf-8"?>
<ds:datastoreItem xmlns:ds="http://schemas.openxmlformats.org/officeDocument/2006/customXml" ds:itemID="{196BB0CA-6FE4-47D4-B03B-12AD8D880D17}">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5</Pages>
  <Words>1001</Words>
  <Characters>5708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Alim</dc:creator>
  <cp:keywords/>
  <dc:description/>
  <cp:lastModifiedBy>Abdul Alim</cp:lastModifiedBy>
  <cp:revision>15</cp:revision>
  <dcterms:created xsi:type="dcterms:W3CDTF">2023-02-01T02:48:00Z</dcterms:created>
  <dcterms:modified xsi:type="dcterms:W3CDTF">2023-02-01T03:06:00Z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