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5E9C" w:rsidRPr="0004088D" w:rsidRDefault="00DC5E9C" w:rsidP="0004088D">
      <w:pPr>
        <w:pBdr>
          <w:bottom w:val="single" w:sz="36" w:space="5" w:color="DAE6DB"/>
        </w:pBdr>
        <w:shd w:val="clear" w:color="auto" w:fill="FFFFFF"/>
        <w:spacing w:before="150" w:after="225" w:line="273" w:lineRule="atLeast"/>
        <w:outlineLvl w:val="1"/>
        <w:rPr>
          <w:rFonts w:ascii="Arial" w:hAnsi="Arial" w:cs="Arial"/>
          <w:b/>
          <w:bCs/>
          <w:color w:val="303B44"/>
          <w:sz w:val="28"/>
          <w:szCs w:val="28"/>
        </w:rPr>
      </w:pPr>
      <w:bookmarkStart w:id="0" w:name="_GoBack"/>
      <w:bookmarkEnd w:id="0"/>
      <w:r w:rsidRPr="0004088D">
        <w:rPr>
          <w:rFonts w:ascii="Arial" w:hAnsi="Arial" w:cs="Arial"/>
          <w:b/>
          <w:bCs/>
          <w:color w:val="303B44"/>
          <w:sz w:val="28"/>
          <w:szCs w:val="28"/>
        </w:rPr>
        <w:t>What is human capital?</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The term ‘human capital’ is widely used in HR to describe people at work and their collective knowledge, skills, abilities and capacity to develop and innovate. Human capital reporting aims to provide quantitative, as well as qualitative, data on a range of measures (such as labour turnover or employee engagement levels) to help identify which sort of HR or management interventions will drive business performance.</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It is now commonly accepted that the value of organisations is drawn from a mixture of tangible assets in the form of equipment, money, land or other physical objects together with intangibles in the form of brand, reputation, knowledge and, of course, people – critically important in an increasingly knowledge-based economy.</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However, the evaluation of human capital remains difficult for most companies. There are a number of reasons for this:</w:t>
      </w:r>
    </w:p>
    <w:p w:rsidR="00DC5E9C" w:rsidRPr="0004088D" w:rsidRDefault="00DC5E9C" w:rsidP="0004088D">
      <w:pPr>
        <w:numPr>
          <w:ilvl w:val="0"/>
          <w:numId w:val="1"/>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The contribution of people is difficult to isolate from other factors such as the economic situation, market forces and customer or social trends.</w:t>
      </w:r>
    </w:p>
    <w:p w:rsidR="00DC5E9C" w:rsidRPr="0004088D" w:rsidRDefault="00DC5E9C" w:rsidP="0004088D">
      <w:pPr>
        <w:numPr>
          <w:ilvl w:val="0"/>
          <w:numId w:val="1"/>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The value of people is often expressed in qualitative rather than quantitative terms that make it difficult to represent in traditional accountancy models.</w:t>
      </w:r>
    </w:p>
    <w:p w:rsidR="00DC5E9C" w:rsidRPr="0004088D" w:rsidRDefault="00DC5E9C" w:rsidP="0004088D">
      <w:pPr>
        <w:numPr>
          <w:ilvl w:val="0"/>
          <w:numId w:val="1"/>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HR data has traditionally been collected for administrative rather than evaluation purposes.</w:t>
      </w:r>
    </w:p>
    <w:p w:rsidR="00DC5E9C" w:rsidRPr="0004088D" w:rsidRDefault="00DC5E9C" w:rsidP="0004088D">
      <w:pPr>
        <w:numPr>
          <w:ilvl w:val="0"/>
          <w:numId w:val="1"/>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HR people do not always have the skills or resources to interpret or explain data to evaluate the contribution of people to business performance.</w:t>
      </w:r>
    </w:p>
    <w:p w:rsidR="00DC5E9C" w:rsidRPr="0004088D" w:rsidRDefault="00DC5E9C" w:rsidP="0004088D">
      <w:pPr>
        <w:numPr>
          <w:ilvl w:val="0"/>
          <w:numId w:val="1"/>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Senior leaders or stakeholders do not recognise human capital as a performance measure and therefore do not demand human capital information.</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These difficulties have been further compounded by the varying definitions of human capital developed over the years. </w:t>
      </w:r>
    </w:p>
    <w:p w:rsidR="00DC5E9C" w:rsidRPr="0004088D" w:rsidRDefault="00DC5E9C" w:rsidP="0004088D">
      <w:pPr>
        <w:shd w:val="clear" w:color="auto" w:fill="FFFFFF"/>
        <w:spacing w:before="100" w:beforeAutospacing="1" w:after="48" w:line="273" w:lineRule="atLeast"/>
        <w:outlineLvl w:val="2"/>
        <w:rPr>
          <w:rFonts w:ascii="Arial" w:hAnsi="Arial" w:cs="Arial"/>
          <w:b/>
          <w:bCs/>
          <w:color w:val="303B44"/>
          <w:sz w:val="26"/>
          <w:szCs w:val="26"/>
        </w:rPr>
      </w:pPr>
      <w:r w:rsidRPr="0004088D">
        <w:rPr>
          <w:rFonts w:ascii="Arial" w:hAnsi="Arial" w:cs="Arial"/>
          <w:b/>
          <w:bCs/>
          <w:color w:val="303B44"/>
          <w:sz w:val="26"/>
          <w:szCs w:val="26"/>
        </w:rPr>
        <w:t>Intellectual capital</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br/>
        <w:t>In our CIPD research work, we have found it helpful to describe human capital as one of three elements that make up intellectual capital. Intellectual capital encompasses: </w:t>
      </w:r>
    </w:p>
    <w:p w:rsidR="00DC5E9C" w:rsidRPr="0004088D" w:rsidRDefault="00DC5E9C" w:rsidP="0004088D">
      <w:pPr>
        <w:numPr>
          <w:ilvl w:val="0"/>
          <w:numId w:val="2"/>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b/>
          <w:bCs/>
          <w:color w:val="303B44"/>
          <w:sz w:val="20"/>
          <w:szCs w:val="20"/>
        </w:rPr>
        <w:t>Human capital</w:t>
      </w:r>
      <w:r w:rsidRPr="0004088D">
        <w:rPr>
          <w:rFonts w:ascii="Arial" w:hAnsi="Arial" w:cs="Arial"/>
          <w:color w:val="303B44"/>
          <w:sz w:val="20"/>
          <w:szCs w:val="20"/>
        </w:rPr>
        <w:t> – the knowledge, skills, abilities and capacity to develop and innovate possessed by people in an organisation</w:t>
      </w:r>
    </w:p>
    <w:p w:rsidR="00DC5E9C" w:rsidRPr="0004088D" w:rsidRDefault="00DC5E9C" w:rsidP="0004088D">
      <w:pPr>
        <w:numPr>
          <w:ilvl w:val="0"/>
          <w:numId w:val="2"/>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b/>
          <w:bCs/>
          <w:color w:val="303B44"/>
          <w:sz w:val="20"/>
          <w:szCs w:val="20"/>
        </w:rPr>
        <w:t>Social capital</w:t>
      </w:r>
      <w:r w:rsidRPr="0004088D">
        <w:rPr>
          <w:rFonts w:ascii="Arial" w:hAnsi="Arial" w:cs="Arial"/>
          <w:color w:val="303B44"/>
          <w:sz w:val="20"/>
          <w:szCs w:val="20"/>
        </w:rPr>
        <w:t> – the structures, networks and procedures that enable those people to acquire and develop intellectual capital, represented by the stocks and flows of knowledge derived from relationships within and outside the organisation</w:t>
      </w:r>
    </w:p>
    <w:p w:rsidR="00DC5E9C" w:rsidRPr="0004088D" w:rsidRDefault="00DC5E9C" w:rsidP="0004088D">
      <w:pPr>
        <w:numPr>
          <w:ilvl w:val="0"/>
          <w:numId w:val="2"/>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b/>
          <w:bCs/>
          <w:color w:val="303B44"/>
          <w:sz w:val="20"/>
          <w:szCs w:val="20"/>
        </w:rPr>
        <w:t>Organisational capital</w:t>
      </w:r>
      <w:r w:rsidRPr="0004088D">
        <w:rPr>
          <w:rFonts w:ascii="Arial" w:hAnsi="Arial" w:cs="Arial"/>
          <w:color w:val="303B44"/>
          <w:sz w:val="20"/>
          <w:szCs w:val="20"/>
        </w:rPr>
        <w:t> –the institutionalised knowledge possessed by an organisation which is stored in databases and manuals, including the HR policies and processes used to manage people.</w:t>
      </w:r>
    </w:p>
    <w:p w:rsidR="00DC5E9C" w:rsidRPr="0004088D" w:rsidRDefault="00DC5E9C" w:rsidP="0004088D">
      <w:pPr>
        <w:shd w:val="clear" w:color="auto" w:fill="FFFFFF"/>
        <w:spacing w:before="100" w:beforeAutospacing="1" w:after="48" w:line="273" w:lineRule="atLeast"/>
        <w:outlineLvl w:val="2"/>
        <w:rPr>
          <w:rFonts w:ascii="Arial" w:hAnsi="Arial" w:cs="Arial"/>
          <w:b/>
          <w:bCs/>
          <w:color w:val="303B44"/>
          <w:sz w:val="26"/>
          <w:szCs w:val="26"/>
        </w:rPr>
      </w:pPr>
      <w:r w:rsidRPr="0004088D">
        <w:rPr>
          <w:rFonts w:ascii="Arial" w:hAnsi="Arial" w:cs="Arial"/>
          <w:b/>
          <w:bCs/>
          <w:color w:val="303B44"/>
          <w:sz w:val="26"/>
          <w:szCs w:val="26"/>
        </w:rPr>
        <w:t>Human capital management</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br/>
        <w:t xml:space="preserve">While some commentators argue that there is little difference between the concept of human </w:t>
      </w:r>
      <w:r w:rsidRPr="0004088D">
        <w:rPr>
          <w:rFonts w:ascii="Arial" w:hAnsi="Arial" w:cs="Arial"/>
          <w:color w:val="303B44"/>
          <w:sz w:val="20"/>
          <w:szCs w:val="20"/>
        </w:rPr>
        <w:lastRenderedPageBreak/>
        <w:t>capital and that of human resources, perhaps the key distinction is the focus of human capital on the value of employees, and how this may be measured, rather than on the HR function itself.</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CIPD members may view our online tool </w:t>
      </w:r>
      <w:r w:rsidRPr="0004088D">
        <w:rPr>
          <w:rFonts w:ascii="Arial" w:hAnsi="Arial" w:cs="Arial"/>
          <w:i/>
          <w:iCs/>
          <w:color w:val="303B44"/>
          <w:sz w:val="20"/>
          <w:szCs w:val="20"/>
        </w:rPr>
        <w:t>Human capital management: introducing and operating human capital management processes</w:t>
      </w:r>
      <w:r w:rsidRPr="0004088D">
        <w:rPr>
          <w:rFonts w:ascii="Arial" w:hAnsi="Arial" w:cs="Arial"/>
          <w:color w:val="303B44"/>
          <w:sz w:val="20"/>
          <w:szCs w:val="20"/>
        </w:rPr>
        <w:t>.</w:t>
      </w:r>
    </w:p>
    <w:p w:rsidR="00DC5E9C" w:rsidRPr="0004088D" w:rsidRDefault="00022862" w:rsidP="0004088D">
      <w:pPr>
        <w:numPr>
          <w:ilvl w:val="0"/>
          <w:numId w:val="3"/>
        </w:numPr>
        <w:shd w:val="clear" w:color="auto" w:fill="FFFFFF"/>
        <w:spacing w:after="225" w:line="273" w:lineRule="atLeast"/>
        <w:rPr>
          <w:rFonts w:ascii="Arial" w:hAnsi="Arial" w:cs="Arial"/>
          <w:color w:val="303B44"/>
          <w:sz w:val="20"/>
          <w:szCs w:val="20"/>
        </w:rPr>
      </w:pPr>
      <w:hyperlink r:id="rId5" w:tooltip="Human capital management: introducing and operating human capital management processes" w:history="1">
        <w:r w:rsidR="00DC5E9C" w:rsidRPr="0004088D">
          <w:rPr>
            <w:rFonts w:ascii="Arial" w:hAnsi="Arial" w:cs="Arial"/>
            <w:color w:val="1578BE"/>
            <w:sz w:val="20"/>
            <w:szCs w:val="20"/>
            <w:u w:val="single"/>
          </w:rPr>
          <w:t>Visit the human capital management online tool</w:t>
        </w:r>
      </w:hyperlink>
    </w:p>
    <w:p w:rsidR="00DC5E9C" w:rsidRPr="0004088D" w:rsidRDefault="00DC5E9C" w:rsidP="0004088D">
      <w:pPr>
        <w:shd w:val="clear" w:color="auto" w:fill="FFFFFF"/>
        <w:spacing w:before="100" w:beforeAutospacing="1" w:after="48" w:line="273" w:lineRule="atLeast"/>
        <w:outlineLvl w:val="2"/>
        <w:rPr>
          <w:rFonts w:ascii="Arial" w:hAnsi="Arial" w:cs="Arial"/>
          <w:b/>
          <w:bCs/>
          <w:color w:val="303B44"/>
          <w:sz w:val="26"/>
          <w:szCs w:val="26"/>
        </w:rPr>
      </w:pPr>
      <w:r w:rsidRPr="0004088D">
        <w:rPr>
          <w:rFonts w:ascii="Arial" w:hAnsi="Arial" w:cs="Arial"/>
          <w:b/>
          <w:bCs/>
          <w:color w:val="303B44"/>
          <w:sz w:val="26"/>
          <w:szCs w:val="26"/>
        </w:rPr>
        <w:t>Types of human capital data</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br/>
        <w:t>There are many different types of data that can be useful in measuring and evaluating human capital.  Generally these fall under the following headings:</w:t>
      </w:r>
    </w:p>
    <w:p w:rsidR="00DC5E9C" w:rsidRPr="0004088D" w:rsidRDefault="00DC5E9C" w:rsidP="0004088D">
      <w:pPr>
        <w:numPr>
          <w:ilvl w:val="0"/>
          <w:numId w:val="4"/>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b/>
          <w:bCs/>
          <w:color w:val="303B44"/>
          <w:sz w:val="20"/>
          <w:szCs w:val="20"/>
        </w:rPr>
        <w:t>demographic data</w:t>
      </w:r>
      <w:r w:rsidRPr="0004088D">
        <w:rPr>
          <w:rFonts w:ascii="Arial" w:hAnsi="Arial" w:cs="Arial"/>
          <w:color w:val="303B44"/>
          <w:sz w:val="20"/>
          <w:szCs w:val="20"/>
        </w:rPr>
        <w:t>: information on workforce composition including age, gender and ethnicity</w:t>
      </w:r>
    </w:p>
    <w:p w:rsidR="00DC5E9C" w:rsidRPr="0004088D" w:rsidRDefault="00DC5E9C" w:rsidP="0004088D">
      <w:pPr>
        <w:numPr>
          <w:ilvl w:val="0"/>
          <w:numId w:val="4"/>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b/>
          <w:bCs/>
          <w:color w:val="303B44"/>
          <w:sz w:val="20"/>
          <w:szCs w:val="20"/>
        </w:rPr>
        <w:t>recruitment and retention</w:t>
      </w:r>
      <w:r w:rsidRPr="0004088D">
        <w:rPr>
          <w:rFonts w:ascii="Arial" w:hAnsi="Arial" w:cs="Arial"/>
          <w:color w:val="303B44"/>
          <w:sz w:val="20"/>
          <w:szCs w:val="20"/>
        </w:rPr>
        <w:t>: number of resignations/vacancies/applications, length of service</w:t>
      </w:r>
    </w:p>
    <w:p w:rsidR="00DC5E9C" w:rsidRPr="0004088D" w:rsidRDefault="00DC5E9C" w:rsidP="0004088D">
      <w:pPr>
        <w:numPr>
          <w:ilvl w:val="0"/>
          <w:numId w:val="4"/>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b/>
          <w:bCs/>
          <w:color w:val="303B44"/>
          <w:sz w:val="20"/>
          <w:szCs w:val="20"/>
        </w:rPr>
        <w:t>learning and development</w:t>
      </w:r>
      <w:r w:rsidRPr="0004088D">
        <w:rPr>
          <w:rFonts w:ascii="Arial" w:hAnsi="Arial" w:cs="Arial"/>
          <w:color w:val="303B44"/>
          <w:sz w:val="20"/>
          <w:szCs w:val="20"/>
        </w:rPr>
        <w:t>: levels of expenditure on training, types of training provided, length of time to reach competence levels, data on training needs</w:t>
      </w:r>
    </w:p>
    <w:p w:rsidR="00DC5E9C" w:rsidRPr="0004088D" w:rsidRDefault="00DC5E9C" w:rsidP="0004088D">
      <w:pPr>
        <w:numPr>
          <w:ilvl w:val="0"/>
          <w:numId w:val="4"/>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b/>
          <w:bCs/>
          <w:color w:val="303B44"/>
          <w:sz w:val="20"/>
          <w:szCs w:val="20"/>
        </w:rPr>
        <w:t>performance</w:t>
      </w:r>
      <w:r w:rsidRPr="0004088D">
        <w:rPr>
          <w:rFonts w:ascii="Arial" w:hAnsi="Arial" w:cs="Arial"/>
          <w:color w:val="303B44"/>
          <w:sz w:val="20"/>
          <w:szCs w:val="20"/>
        </w:rPr>
        <w:t>: performance management results, productivity and profitability data, targets set and met, levels of customer satisfaction, customer loyalty</w:t>
      </w:r>
    </w:p>
    <w:p w:rsidR="00DC5E9C" w:rsidRPr="0004088D" w:rsidRDefault="00DC5E9C" w:rsidP="0004088D">
      <w:pPr>
        <w:numPr>
          <w:ilvl w:val="0"/>
          <w:numId w:val="4"/>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b/>
          <w:bCs/>
          <w:color w:val="303B44"/>
          <w:sz w:val="20"/>
          <w:szCs w:val="20"/>
        </w:rPr>
        <w:t>engagement and opinion</w:t>
      </w:r>
      <w:r w:rsidRPr="0004088D">
        <w:rPr>
          <w:rFonts w:ascii="Arial" w:hAnsi="Arial" w:cs="Arial"/>
          <w:color w:val="303B44"/>
          <w:sz w:val="20"/>
          <w:szCs w:val="20"/>
        </w:rPr>
        <w:t>: findings from employee attitude surveys</w:t>
      </w:r>
    </w:p>
    <w:p w:rsidR="00DC5E9C" w:rsidRPr="0004088D" w:rsidRDefault="00DC5E9C" w:rsidP="0004088D">
      <w:pPr>
        <w:numPr>
          <w:ilvl w:val="0"/>
          <w:numId w:val="4"/>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b/>
          <w:bCs/>
          <w:color w:val="303B44"/>
          <w:sz w:val="20"/>
          <w:szCs w:val="20"/>
        </w:rPr>
        <w:t>reward and pay</w:t>
      </w:r>
      <w:r w:rsidRPr="0004088D">
        <w:rPr>
          <w:rFonts w:ascii="Arial" w:hAnsi="Arial" w:cs="Arial"/>
          <w:color w:val="303B44"/>
          <w:sz w:val="20"/>
          <w:szCs w:val="20"/>
        </w:rPr>
        <w:t>: overall wage bill costs, distribution of individual performance-related pay awards, level of total reward package.</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Wherever possible, it is important to distinguish between measures of outputs and measures of inputs. For example, figures for expenditure on specialist training provision is an input, the output might be higher levels of customer sales or higher levels of employee skill and capability.</w:t>
      </w:r>
    </w:p>
    <w:p w:rsidR="00DC5E9C" w:rsidRPr="0004088D" w:rsidRDefault="00DC5E9C" w:rsidP="0004088D">
      <w:pPr>
        <w:pBdr>
          <w:bottom w:val="single" w:sz="36" w:space="5" w:color="DAE6DB"/>
        </w:pBdr>
        <w:shd w:val="clear" w:color="auto" w:fill="FFFFFF"/>
        <w:spacing w:before="150" w:after="225" w:line="273" w:lineRule="atLeast"/>
        <w:outlineLvl w:val="1"/>
        <w:rPr>
          <w:rFonts w:ascii="Arial" w:hAnsi="Arial" w:cs="Arial"/>
          <w:b/>
          <w:bCs/>
          <w:color w:val="303B44"/>
          <w:sz w:val="28"/>
          <w:szCs w:val="28"/>
        </w:rPr>
      </w:pPr>
      <w:r w:rsidRPr="0004088D">
        <w:rPr>
          <w:rFonts w:ascii="Arial" w:hAnsi="Arial" w:cs="Arial"/>
          <w:b/>
          <w:bCs/>
          <w:color w:val="303B44"/>
          <w:sz w:val="28"/>
          <w:szCs w:val="28"/>
        </w:rPr>
        <w:t>Measuring human capital</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The CIPD has been undertaking work in the field of human capital since 2000 – around the time the subject emerged as a key issue for the HR profession. Much of our research in this area since then suggests that there is no single measure or set of measures that can uniformly provide a value for human capital.</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This conclusion was confirmed by the 2003 report</w:t>
      </w:r>
      <w:r w:rsidRPr="0004088D">
        <w:rPr>
          <w:rFonts w:ascii="Arial" w:hAnsi="Arial" w:cs="Arial"/>
          <w:color w:val="303B44"/>
          <w:sz w:val="20"/>
          <w:szCs w:val="20"/>
          <w:vertAlign w:val="superscript"/>
        </w:rPr>
        <w:t>1</w:t>
      </w:r>
      <w:r w:rsidRPr="0004088D">
        <w:rPr>
          <w:rFonts w:ascii="Arial" w:hAnsi="Arial" w:cs="Arial"/>
          <w:color w:val="303B44"/>
          <w:sz w:val="20"/>
          <w:szCs w:val="20"/>
        </w:rPr>
        <w:t> of the Task Force on Human Capital Management, which was set up by the government under the chair of Denise Kingsmill to address the lack of reporting on human capital in business - as this was felt to be inhibiting competitiveness. </w:t>
      </w:r>
    </w:p>
    <w:p w:rsidR="00DC5E9C" w:rsidRPr="0004088D" w:rsidRDefault="00DC5E9C" w:rsidP="0004088D">
      <w:pPr>
        <w:shd w:val="clear" w:color="auto" w:fill="FFFFFF"/>
        <w:spacing w:before="100" w:beforeAutospacing="1" w:after="48" w:line="273" w:lineRule="atLeast"/>
        <w:outlineLvl w:val="2"/>
        <w:rPr>
          <w:rFonts w:ascii="Arial" w:hAnsi="Arial" w:cs="Arial"/>
          <w:b/>
          <w:bCs/>
          <w:color w:val="303B44"/>
          <w:sz w:val="26"/>
          <w:szCs w:val="26"/>
        </w:rPr>
      </w:pPr>
      <w:r w:rsidRPr="0004088D">
        <w:rPr>
          <w:rFonts w:ascii="Arial" w:hAnsi="Arial" w:cs="Arial"/>
          <w:b/>
          <w:bCs/>
          <w:color w:val="303B44"/>
          <w:sz w:val="26"/>
          <w:szCs w:val="26"/>
        </w:rPr>
        <w:t>Measurement difficulties</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br/>
        <w:t xml:space="preserve">Measurement is notoriously difficult, in part because the factors that human capital is likely to influence (such as customer satisfaction, innovation and service delivery) are at the mercy of numerous other contextual factors. Whereas it can be relatively easy to collect data to </w:t>
      </w:r>
      <w:r w:rsidRPr="0004088D">
        <w:rPr>
          <w:rFonts w:ascii="Arial" w:hAnsi="Arial" w:cs="Arial"/>
          <w:color w:val="303B44"/>
          <w:sz w:val="20"/>
          <w:szCs w:val="20"/>
        </w:rPr>
        <w:lastRenderedPageBreak/>
        <w:t>describe the workforce and the prevalence of certain practices, particularly where sophisticated human resource information systems (HRIS) exist (such as absence and attendance data) it is more difficult to develop credible and reliable new measures and assess how such data may be interpreted.</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For example, CIPD research has found that engaged employees are more likely to perform better and hence contribute to bottom line performance, meaning that this is a key measure impacting on business success.  However, engagement levels are extremely difficult to quantify as much of the data pertaining to engagement is actually measuring elements of it, such as satisfaction or commitment. To find our more about engagement, see our factsheet on that topic.</w:t>
      </w:r>
    </w:p>
    <w:p w:rsidR="00DC5E9C" w:rsidRPr="0004088D" w:rsidRDefault="00022862" w:rsidP="0004088D">
      <w:pPr>
        <w:numPr>
          <w:ilvl w:val="0"/>
          <w:numId w:val="5"/>
        </w:numPr>
        <w:shd w:val="clear" w:color="auto" w:fill="FFFFFF"/>
        <w:spacing w:after="225" w:line="273" w:lineRule="atLeast"/>
        <w:rPr>
          <w:rFonts w:ascii="Arial" w:hAnsi="Arial" w:cs="Arial"/>
          <w:color w:val="303B44"/>
          <w:sz w:val="20"/>
          <w:szCs w:val="20"/>
        </w:rPr>
      </w:pPr>
      <w:hyperlink r:id="rId6" w:tooltip="Employee engagement" w:history="1">
        <w:r w:rsidR="00DC5E9C" w:rsidRPr="0004088D">
          <w:rPr>
            <w:rFonts w:ascii="Arial" w:hAnsi="Arial" w:cs="Arial"/>
            <w:color w:val="1578BE"/>
            <w:sz w:val="20"/>
            <w:szCs w:val="20"/>
            <w:u w:val="single"/>
          </w:rPr>
          <w:t>Go to our factsheet on employee engagement </w:t>
        </w:r>
      </w:hyperlink>
    </w:p>
    <w:p w:rsidR="00DC5E9C" w:rsidRPr="0004088D" w:rsidRDefault="00DC5E9C" w:rsidP="0004088D">
      <w:pPr>
        <w:shd w:val="clear" w:color="auto" w:fill="FFFFFF"/>
        <w:spacing w:before="100" w:beforeAutospacing="1" w:after="48" w:line="273" w:lineRule="atLeast"/>
        <w:outlineLvl w:val="2"/>
        <w:rPr>
          <w:rFonts w:ascii="Arial" w:hAnsi="Arial" w:cs="Arial"/>
          <w:b/>
          <w:bCs/>
          <w:color w:val="303B44"/>
          <w:sz w:val="26"/>
          <w:szCs w:val="26"/>
        </w:rPr>
      </w:pPr>
      <w:r w:rsidRPr="0004088D">
        <w:rPr>
          <w:rFonts w:ascii="Arial" w:hAnsi="Arial" w:cs="Arial"/>
          <w:b/>
          <w:bCs/>
          <w:color w:val="303B44"/>
          <w:sz w:val="26"/>
          <w:szCs w:val="26"/>
        </w:rPr>
        <w:t>Focus on business context</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br/>
        <w:t>Organisations will, in addition, wish to measure the aspects of human capital that are relevant to their own business strategy (for example the need for a particular type of employee competency). As a result of this consideration, together with the other factors identified here, the emphasis of measurement has shifted away from absolute measures towards understanding of context to make an informed decision.</w:t>
      </w:r>
    </w:p>
    <w:p w:rsidR="00DC5E9C" w:rsidRPr="0004088D" w:rsidRDefault="00DC5E9C" w:rsidP="0004088D">
      <w:pPr>
        <w:shd w:val="clear" w:color="auto" w:fill="FFFFFF"/>
        <w:spacing w:before="100" w:beforeAutospacing="1" w:after="48" w:line="273" w:lineRule="atLeast"/>
        <w:outlineLvl w:val="2"/>
        <w:rPr>
          <w:rFonts w:ascii="Arial" w:hAnsi="Arial" w:cs="Arial"/>
          <w:b/>
          <w:bCs/>
          <w:color w:val="303B44"/>
          <w:sz w:val="26"/>
          <w:szCs w:val="26"/>
        </w:rPr>
      </w:pPr>
      <w:r w:rsidRPr="0004088D">
        <w:rPr>
          <w:rFonts w:ascii="Arial" w:hAnsi="Arial" w:cs="Arial"/>
          <w:b/>
          <w:bCs/>
          <w:color w:val="303B44"/>
          <w:sz w:val="26"/>
          <w:szCs w:val="26"/>
        </w:rPr>
        <w:t>Differing levels of data collection</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br/>
        <w:t>At the most basic level, human capital data can be collected for simple monitoring purposes, such as controlling absence or monitoring retention difficulties. At the highest level data can be used to identify performance drivers: by correlating different types of data with performance data organisations can begin to understand what the real benefits are of improving levels of motivation or retention.</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The table below summarises the different levels of data collection that might take place and the likely outcomes of data collection.</w:t>
      </w:r>
    </w:p>
    <w:tbl>
      <w:tblPr>
        <w:tblW w:w="9540" w:type="dxa"/>
        <w:tblCellSpacing w:w="15" w:type="dxa"/>
        <w:tblCellMar>
          <w:top w:w="15" w:type="dxa"/>
          <w:left w:w="15" w:type="dxa"/>
          <w:bottom w:w="15" w:type="dxa"/>
          <w:right w:w="15" w:type="dxa"/>
        </w:tblCellMar>
        <w:tblLook w:val="00A0" w:firstRow="1" w:lastRow="0" w:firstColumn="1" w:lastColumn="0" w:noHBand="0" w:noVBand="0"/>
      </w:tblPr>
      <w:tblGrid>
        <w:gridCol w:w="1362"/>
        <w:gridCol w:w="2678"/>
        <w:gridCol w:w="2957"/>
        <w:gridCol w:w="2543"/>
      </w:tblGrid>
      <w:tr w:rsidR="00DC5E9C" w:rsidRPr="004C4BFD" w:rsidTr="0004088D">
        <w:trPr>
          <w:tblHeader/>
          <w:tblCellSpacing w:w="15" w:type="dxa"/>
        </w:trPr>
        <w:tc>
          <w:tcPr>
            <w:tcW w:w="0" w:type="auto"/>
            <w:shd w:val="clear" w:color="auto" w:fill="517417"/>
            <w:tcMar>
              <w:top w:w="60" w:type="dxa"/>
              <w:left w:w="150" w:type="dxa"/>
              <w:bottom w:w="75" w:type="dxa"/>
              <w:right w:w="150" w:type="dxa"/>
            </w:tcMar>
          </w:tcPr>
          <w:p w:rsidR="00DC5E9C" w:rsidRPr="0004088D" w:rsidRDefault="00DC5E9C" w:rsidP="0004088D">
            <w:pPr>
              <w:spacing w:after="150" w:line="273" w:lineRule="atLeast"/>
              <w:jc w:val="center"/>
              <w:rPr>
                <w:rFonts w:ascii="Arial" w:hAnsi="Arial" w:cs="Arial"/>
                <w:b/>
                <w:bCs/>
                <w:color w:val="FFFFFF"/>
                <w:sz w:val="20"/>
                <w:szCs w:val="20"/>
              </w:rPr>
            </w:pPr>
          </w:p>
        </w:tc>
        <w:tc>
          <w:tcPr>
            <w:tcW w:w="0" w:type="auto"/>
            <w:shd w:val="clear" w:color="auto" w:fill="517417"/>
            <w:tcMar>
              <w:top w:w="60" w:type="dxa"/>
              <w:left w:w="150" w:type="dxa"/>
              <w:bottom w:w="75" w:type="dxa"/>
              <w:right w:w="150" w:type="dxa"/>
            </w:tcMar>
          </w:tcPr>
          <w:p w:rsidR="00DC5E9C" w:rsidRPr="0004088D" w:rsidRDefault="00DC5E9C" w:rsidP="0004088D">
            <w:pPr>
              <w:spacing w:after="150" w:line="273" w:lineRule="atLeast"/>
              <w:jc w:val="center"/>
              <w:rPr>
                <w:rFonts w:ascii="Arial" w:hAnsi="Arial" w:cs="Arial"/>
                <w:b/>
                <w:bCs/>
                <w:color w:val="FFFFFF"/>
                <w:sz w:val="20"/>
                <w:szCs w:val="20"/>
              </w:rPr>
            </w:pPr>
            <w:r w:rsidRPr="0004088D">
              <w:rPr>
                <w:rFonts w:ascii="Arial" w:hAnsi="Arial" w:cs="Arial"/>
                <w:b/>
                <w:bCs/>
                <w:color w:val="FFFFFF"/>
                <w:sz w:val="20"/>
                <w:szCs w:val="20"/>
              </w:rPr>
              <w:t>Basic level</w:t>
            </w:r>
          </w:p>
        </w:tc>
        <w:tc>
          <w:tcPr>
            <w:tcW w:w="0" w:type="auto"/>
            <w:shd w:val="clear" w:color="auto" w:fill="517417"/>
            <w:tcMar>
              <w:top w:w="60" w:type="dxa"/>
              <w:left w:w="150" w:type="dxa"/>
              <w:bottom w:w="75" w:type="dxa"/>
              <w:right w:w="150" w:type="dxa"/>
            </w:tcMar>
          </w:tcPr>
          <w:p w:rsidR="00DC5E9C" w:rsidRPr="0004088D" w:rsidRDefault="00DC5E9C" w:rsidP="0004088D">
            <w:pPr>
              <w:spacing w:after="150" w:line="273" w:lineRule="atLeast"/>
              <w:jc w:val="center"/>
              <w:rPr>
                <w:rFonts w:ascii="Arial" w:hAnsi="Arial" w:cs="Arial"/>
                <w:b/>
                <w:bCs/>
                <w:color w:val="FFFFFF"/>
                <w:sz w:val="20"/>
                <w:szCs w:val="20"/>
              </w:rPr>
            </w:pPr>
            <w:r w:rsidRPr="0004088D">
              <w:rPr>
                <w:rFonts w:ascii="Arial" w:hAnsi="Arial" w:cs="Arial"/>
                <w:b/>
                <w:bCs/>
                <w:color w:val="FFFFFF"/>
                <w:sz w:val="20"/>
                <w:szCs w:val="20"/>
              </w:rPr>
              <w:t>Intermediate level</w:t>
            </w:r>
          </w:p>
        </w:tc>
        <w:tc>
          <w:tcPr>
            <w:tcW w:w="0" w:type="auto"/>
            <w:shd w:val="clear" w:color="auto" w:fill="517417"/>
            <w:tcMar>
              <w:top w:w="60" w:type="dxa"/>
              <w:left w:w="150" w:type="dxa"/>
              <w:bottom w:w="75" w:type="dxa"/>
              <w:right w:w="150" w:type="dxa"/>
            </w:tcMar>
          </w:tcPr>
          <w:p w:rsidR="00DC5E9C" w:rsidRPr="0004088D" w:rsidRDefault="00DC5E9C" w:rsidP="0004088D">
            <w:pPr>
              <w:spacing w:after="150" w:line="273" w:lineRule="atLeast"/>
              <w:jc w:val="center"/>
              <w:rPr>
                <w:rFonts w:ascii="Arial" w:hAnsi="Arial" w:cs="Arial"/>
                <w:b/>
                <w:bCs/>
                <w:color w:val="FFFFFF"/>
                <w:sz w:val="20"/>
                <w:szCs w:val="20"/>
              </w:rPr>
            </w:pPr>
            <w:r w:rsidRPr="0004088D">
              <w:rPr>
                <w:rFonts w:ascii="Arial" w:hAnsi="Arial" w:cs="Arial"/>
                <w:b/>
                <w:bCs/>
                <w:color w:val="FFFFFF"/>
                <w:sz w:val="20"/>
                <w:szCs w:val="20"/>
              </w:rPr>
              <w:t>Higher level</w:t>
            </w:r>
          </w:p>
        </w:tc>
      </w:tr>
      <w:tr w:rsidR="00DC5E9C" w:rsidRPr="004C4BFD" w:rsidTr="0004088D">
        <w:trPr>
          <w:tblCellSpacing w:w="15" w:type="dxa"/>
        </w:trPr>
        <w:tc>
          <w:tcPr>
            <w:tcW w:w="0" w:type="auto"/>
            <w:shd w:val="clear" w:color="auto" w:fill="F9F9F9"/>
            <w:tcMar>
              <w:top w:w="225" w:type="dxa"/>
              <w:left w:w="225" w:type="dxa"/>
              <w:bottom w:w="225" w:type="dxa"/>
              <w:right w:w="225" w:type="dxa"/>
            </w:tcMar>
          </w:tcPr>
          <w:p w:rsidR="00DC5E9C" w:rsidRPr="0004088D" w:rsidRDefault="00DC5E9C" w:rsidP="0004088D">
            <w:pPr>
              <w:spacing w:after="150" w:line="273" w:lineRule="atLeast"/>
              <w:rPr>
                <w:rFonts w:ascii="Arial" w:hAnsi="Arial" w:cs="Arial"/>
                <w:color w:val="303B44"/>
                <w:sz w:val="20"/>
                <w:szCs w:val="20"/>
              </w:rPr>
            </w:pPr>
            <w:r w:rsidRPr="0004088D">
              <w:rPr>
                <w:rFonts w:ascii="Arial" w:hAnsi="Arial" w:cs="Arial"/>
                <w:b/>
                <w:bCs/>
                <w:color w:val="303B44"/>
                <w:sz w:val="20"/>
                <w:szCs w:val="20"/>
              </w:rPr>
              <w:t>Action</w:t>
            </w:r>
          </w:p>
        </w:tc>
        <w:tc>
          <w:tcPr>
            <w:tcW w:w="0" w:type="auto"/>
            <w:shd w:val="clear" w:color="auto" w:fill="F9F9F9"/>
            <w:tcMar>
              <w:top w:w="225" w:type="dxa"/>
              <w:left w:w="225" w:type="dxa"/>
              <w:bottom w:w="225" w:type="dxa"/>
              <w:right w:w="225" w:type="dxa"/>
            </w:tcMar>
          </w:tcPr>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Collect basic input measures such as absence data, turnover data</w:t>
            </w:r>
          </w:p>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Identify useful data already available, such as data from pay reviews, performance management, job evaluation, training, the recruitment process</w:t>
            </w:r>
          </w:p>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 xml:space="preserve">Use this data to </w:t>
            </w:r>
            <w:r w:rsidRPr="004C4BFD">
              <w:rPr>
                <w:rFonts w:ascii="Arial" w:hAnsi="Arial" w:cs="Arial"/>
                <w:color w:val="303B44"/>
                <w:sz w:val="20"/>
                <w:szCs w:val="20"/>
              </w:rPr>
              <w:lastRenderedPageBreak/>
              <w:t>communicate essential information to managers about absence, turnover or accident levels, compared by department</w:t>
            </w:r>
          </w:p>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Look for trends or patterns in the data and investigate their causes</w:t>
            </w:r>
          </w:p>
        </w:tc>
        <w:tc>
          <w:tcPr>
            <w:tcW w:w="0" w:type="auto"/>
            <w:shd w:val="clear" w:color="auto" w:fill="F9F9F9"/>
            <w:tcMar>
              <w:top w:w="225" w:type="dxa"/>
              <w:left w:w="225" w:type="dxa"/>
              <w:bottom w:w="225" w:type="dxa"/>
              <w:right w:w="225" w:type="dxa"/>
            </w:tcMar>
          </w:tcPr>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lastRenderedPageBreak/>
              <w:t>Design data collection for specific human capital needs. For example, conduct an employee attitude survey to measure satisfaction, or follow up on training activity to monitor implementation and use</w:t>
            </w:r>
          </w:p>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 xml:space="preserve">Look for correlations between data – for example, whether high levels of job satisfaction occur when certain HR </w:t>
            </w:r>
            <w:r w:rsidRPr="004C4BFD">
              <w:rPr>
                <w:rFonts w:ascii="Arial" w:hAnsi="Arial" w:cs="Arial"/>
                <w:color w:val="303B44"/>
                <w:sz w:val="20"/>
                <w:szCs w:val="20"/>
              </w:rPr>
              <w:lastRenderedPageBreak/>
              <w:t>practices are in place, such as performance management, career management or flexible working</w:t>
            </w:r>
          </w:p>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Identify specific actions to improve people management</w:t>
            </w:r>
          </w:p>
        </w:tc>
        <w:tc>
          <w:tcPr>
            <w:tcW w:w="0" w:type="auto"/>
            <w:shd w:val="clear" w:color="auto" w:fill="F9F9F9"/>
            <w:tcMar>
              <w:top w:w="225" w:type="dxa"/>
              <w:left w:w="225" w:type="dxa"/>
              <w:bottom w:w="225" w:type="dxa"/>
              <w:right w:w="225" w:type="dxa"/>
            </w:tcMar>
          </w:tcPr>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lastRenderedPageBreak/>
              <w:t>Identify key performance indicators relating to the business strategy, and design data collection processes to measure against them</w:t>
            </w:r>
          </w:p>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 xml:space="preserve">Provide managers with indicators on a range of measures designed to inform them on performance and progress in their </w:t>
            </w:r>
            <w:r w:rsidRPr="004C4BFD">
              <w:rPr>
                <w:rFonts w:ascii="Arial" w:hAnsi="Arial" w:cs="Arial"/>
                <w:color w:val="303B44"/>
                <w:sz w:val="20"/>
                <w:szCs w:val="20"/>
              </w:rPr>
              <w:lastRenderedPageBreak/>
              <w:t>department</w:t>
            </w:r>
          </w:p>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Accompany this with specific actions to be taken informed by the resulting human capital data</w:t>
            </w:r>
          </w:p>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Communicate data in ways that are meaningful to differing audiences</w:t>
            </w:r>
          </w:p>
        </w:tc>
      </w:tr>
      <w:tr w:rsidR="00DC5E9C" w:rsidRPr="004C4BFD" w:rsidTr="0004088D">
        <w:trPr>
          <w:tblCellSpacing w:w="15" w:type="dxa"/>
        </w:trPr>
        <w:tc>
          <w:tcPr>
            <w:tcW w:w="0" w:type="auto"/>
            <w:shd w:val="clear" w:color="auto" w:fill="F9F9F9"/>
            <w:tcMar>
              <w:top w:w="225" w:type="dxa"/>
              <w:left w:w="225" w:type="dxa"/>
              <w:bottom w:w="225" w:type="dxa"/>
              <w:right w:w="225" w:type="dxa"/>
            </w:tcMar>
          </w:tcPr>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b/>
                <w:bCs/>
                <w:color w:val="303B44"/>
                <w:sz w:val="20"/>
                <w:szCs w:val="20"/>
              </w:rPr>
              <w:lastRenderedPageBreak/>
              <w:t>Outcome</w:t>
            </w:r>
          </w:p>
        </w:tc>
        <w:tc>
          <w:tcPr>
            <w:tcW w:w="0" w:type="auto"/>
            <w:shd w:val="clear" w:color="auto" w:fill="F9F9F9"/>
            <w:tcMar>
              <w:top w:w="225" w:type="dxa"/>
              <w:left w:w="225" w:type="dxa"/>
              <w:bottom w:w="225" w:type="dxa"/>
              <w:right w:w="225" w:type="dxa"/>
            </w:tcMar>
          </w:tcPr>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Basic information for managers on headcount and make-up of the workforce</w:t>
            </w:r>
          </w:p>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Identification of any action that might be needed as a result of these measures – for example, to reduce accident rates, to improve the diversity profile of the workforce or to reduce absence</w:t>
            </w:r>
          </w:p>
        </w:tc>
        <w:tc>
          <w:tcPr>
            <w:tcW w:w="0" w:type="auto"/>
            <w:shd w:val="clear" w:color="auto" w:fill="F9F9F9"/>
            <w:tcMar>
              <w:top w:w="225" w:type="dxa"/>
              <w:left w:w="225" w:type="dxa"/>
              <w:bottom w:w="225" w:type="dxa"/>
              <w:right w:w="225" w:type="dxa"/>
            </w:tcMar>
          </w:tcPr>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Information to help design the HR model most likely to contribute to performance</w:t>
            </w:r>
          </w:p>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Communication to managers not just on how to implement processes, but with accompanying information on why they are important and what they can achieve</w:t>
            </w:r>
          </w:p>
        </w:tc>
        <w:tc>
          <w:tcPr>
            <w:tcW w:w="0" w:type="auto"/>
            <w:shd w:val="clear" w:color="auto" w:fill="F9F9F9"/>
            <w:tcMar>
              <w:top w:w="225" w:type="dxa"/>
              <w:left w:w="225" w:type="dxa"/>
              <w:bottom w:w="225" w:type="dxa"/>
              <w:right w:w="225" w:type="dxa"/>
            </w:tcMar>
          </w:tcPr>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Identification of the drivers of business performance</w:t>
            </w:r>
          </w:p>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Information that will enable better-informed decision-making both internally on the management of people and externally on the progress with regard to strategy</w:t>
            </w:r>
          </w:p>
        </w:tc>
      </w:tr>
    </w:tbl>
    <w:p w:rsidR="00DC5E9C" w:rsidRPr="0004088D" w:rsidRDefault="00DC5E9C" w:rsidP="0004088D">
      <w:pPr>
        <w:pBdr>
          <w:bottom w:val="single" w:sz="36" w:space="5" w:color="DAE6DB"/>
        </w:pBdr>
        <w:shd w:val="clear" w:color="auto" w:fill="FFFFFF"/>
        <w:spacing w:before="150" w:after="225" w:line="273" w:lineRule="atLeast"/>
        <w:outlineLvl w:val="1"/>
        <w:rPr>
          <w:rFonts w:ascii="Arial" w:hAnsi="Arial" w:cs="Arial"/>
          <w:b/>
          <w:bCs/>
          <w:color w:val="303B44"/>
          <w:sz w:val="28"/>
          <w:szCs w:val="28"/>
        </w:rPr>
      </w:pPr>
      <w:r w:rsidRPr="0004088D">
        <w:rPr>
          <w:rFonts w:ascii="Arial" w:hAnsi="Arial" w:cs="Arial"/>
          <w:b/>
          <w:bCs/>
          <w:color w:val="303B44"/>
          <w:sz w:val="28"/>
          <w:szCs w:val="28"/>
        </w:rPr>
        <w:t>Reporting human capital</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Different types of information will be of value to different audiences within the business:</w:t>
      </w:r>
    </w:p>
    <w:p w:rsidR="00DC5E9C" w:rsidRPr="0004088D" w:rsidRDefault="00DC5E9C" w:rsidP="0004088D">
      <w:pPr>
        <w:numPr>
          <w:ilvl w:val="0"/>
          <w:numId w:val="6"/>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Shareholders seek information on the employee attributes or behaviours that are likely to influence short- or long-term financial performance.</w:t>
      </w:r>
    </w:p>
    <w:p w:rsidR="00DC5E9C" w:rsidRPr="0004088D" w:rsidRDefault="00DC5E9C" w:rsidP="0004088D">
      <w:pPr>
        <w:numPr>
          <w:ilvl w:val="0"/>
          <w:numId w:val="6"/>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Customers wish to know if they will get good service and after sales support.</w:t>
      </w:r>
    </w:p>
    <w:p w:rsidR="00DC5E9C" w:rsidRPr="0004088D" w:rsidRDefault="00DC5E9C" w:rsidP="0004088D">
      <w:pPr>
        <w:numPr>
          <w:ilvl w:val="0"/>
          <w:numId w:val="6"/>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Employees want to know their jobs are secure and how they can develop themselves and their skills.</w:t>
      </w:r>
    </w:p>
    <w:p w:rsidR="00DC5E9C" w:rsidRPr="0004088D" w:rsidRDefault="00DC5E9C" w:rsidP="0004088D">
      <w:pPr>
        <w:numPr>
          <w:ilvl w:val="0"/>
          <w:numId w:val="6"/>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Managers require information on which actions they can take to improve the performance of their business units.</w:t>
      </w:r>
    </w:p>
    <w:p w:rsidR="00DC5E9C" w:rsidRPr="0004088D" w:rsidRDefault="00DC5E9C" w:rsidP="0004088D">
      <w:pPr>
        <w:shd w:val="clear" w:color="auto" w:fill="FFFFFF"/>
        <w:spacing w:before="100" w:beforeAutospacing="1" w:after="48" w:line="273" w:lineRule="atLeast"/>
        <w:outlineLvl w:val="2"/>
        <w:rPr>
          <w:rFonts w:ascii="Arial" w:hAnsi="Arial" w:cs="Arial"/>
          <w:b/>
          <w:bCs/>
          <w:color w:val="303B44"/>
          <w:sz w:val="26"/>
          <w:szCs w:val="26"/>
        </w:rPr>
      </w:pPr>
      <w:r w:rsidRPr="0004088D">
        <w:rPr>
          <w:rFonts w:ascii="Arial" w:hAnsi="Arial" w:cs="Arial"/>
          <w:b/>
          <w:bCs/>
          <w:color w:val="303B44"/>
          <w:sz w:val="26"/>
          <w:szCs w:val="26"/>
        </w:rPr>
        <w:t>External reporting</w:t>
      </w:r>
    </w:p>
    <w:p w:rsidR="00DC5E9C" w:rsidRPr="0004088D" w:rsidRDefault="00DC5E9C" w:rsidP="0004088D">
      <w:pPr>
        <w:shd w:val="clear" w:color="auto" w:fill="FFFFFF"/>
        <w:spacing w:before="100" w:beforeAutospacing="1" w:after="48" w:line="273" w:lineRule="atLeast"/>
        <w:outlineLvl w:val="3"/>
        <w:rPr>
          <w:rFonts w:ascii="Arial" w:hAnsi="Arial" w:cs="Arial"/>
          <w:b/>
          <w:bCs/>
          <w:color w:val="303B44"/>
          <w:sz w:val="22"/>
          <w:szCs w:val="22"/>
        </w:rPr>
      </w:pPr>
      <w:r w:rsidRPr="0004088D">
        <w:rPr>
          <w:rFonts w:ascii="Arial" w:hAnsi="Arial" w:cs="Arial"/>
          <w:b/>
          <w:bCs/>
          <w:color w:val="303B44"/>
          <w:sz w:val="22"/>
          <w:szCs w:val="22"/>
        </w:rPr>
        <w:t>Regulatory background</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lastRenderedPageBreak/>
        <w:t>The extent of external reporting on human capital remains limited. There are two main sections where such data may be published within companies’ annual reports:</w:t>
      </w:r>
    </w:p>
    <w:p w:rsidR="00DC5E9C" w:rsidRPr="0004088D" w:rsidRDefault="00DC5E9C" w:rsidP="0004088D">
      <w:pPr>
        <w:numPr>
          <w:ilvl w:val="0"/>
          <w:numId w:val="7"/>
        </w:numPr>
        <w:shd w:val="clear" w:color="auto" w:fill="FFFFFF"/>
        <w:spacing w:after="225" w:line="273" w:lineRule="atLeast"/>
        <w:rPr>
          <w:rFonts w:ascii="Arial" w:hAnsi="Arial" w:cs="Arial"/>
          <w:color w:val="303B44"/>
          <w:sz w:val="20"/>
          <w:szCs w:val="20"/>
        </w:rPr>
      </w:pPr>
      <w:r w:rsidRPr="0004088D">
        <w:rPr>
          <w:rFonts w:ascii="Arial" w:hAnsi="Arial" w:cs="Arial"/>
          <w:b/>
          <w:bCs/>
          <w:color w:val="303B44"/>
          <w:sz w:val="20"/>
          <w:szCs w:val="20"/>
        </w:rPr>
        <w:t>Business review</w:t>
      </w:r>
      <w:r w:rsidRPr="0004088D">
        <w:rPr>
          <w:rFonts w:ascii="Arial" w:hAnsi="Arial" w:cs="Arial"/>
          <w:color w:val="303B44"/>
          <w:sz w:val="20"/>
          <w:szCs w:val="20"/>
        </w:rPr>
        <w:t> - quoted companies are required to include information on employees (as well as other issues) within the business review section of the annual report.</w:t>
      </w:r>
    </w:p>
    <w:p w:rsidR="00DC5E9C" w:rsidRPr="0004088D" w:rsidRDefault="00DC5E9C" w:rsidP="0004088D">
      <w:pPr>
        <w:numPr>
          <w:ilvl w:val="0"/>
          <w:numId w:val="7"/>
        </w:numPr>
        <w:shd w:val="clear" w:color="auto" w:fill="FFFFFF"/>
        <w:spacing w:after="225" w:line="273" w:lineRule="atLeast"/>
        <w:rPr>
          <w:rFonts w:ascii="Arial" w:hAnsi="Arial" w:cs="Arial"/>
          <w:color w:val="303B44"/>
          <w:sz w:val="20"/>
          <w:szCs w:val="20"/>
        </w:rPr>
      </w:pPr>
      <w:r w:rsidRPr="0004088D">
        <w:rPr>
          <w:rFonts w:ascii="Arial" w:hAnsi="Arial" w:cs="Arial"/>
          <w:b/>
          <w:bCs/>
          <w:color w:val="303B44"/>
          <w:sz w:val="20"/>
          <w:szCs w:val="20"/>
        </w:rPr>
        <w:t>Operating and financial review</w:t>
      </w:r>
      <w:r w:rsidRPr="0004088D">
        <w:rPr>
          <w:rFonts w:ascii="Arial" w:hAnsi="Arial" w:cs="Arial"/>
          <w:color w:val="303B44"/>
          <w:sz w:val="20"/>
          <w:szCs w:val="20"/>
        </w:rPr>
        <w:t> - with the growth of interest in the idea of human capital reporting during the early years of this century, culminating in the publication of the Kingsmill report (mentioned above), government proposals were developed to introduce mandatory compliance with best practice principles on narrative reporting in the operating and financial review section of annual reports. However, these plans for compulsion were abandoned in 2005, although some companies follow such principles on a voluntary basis, though only among in a minority of cases, according to the latest analysis of the content of annual reports from Deloitte</w:t>
      </w:r>
      <w:r w:rsidRPr="0004088D">
        <w:rPr>
          <w:rFonts w:ascii="Arial" w:hAnsi="Arial" w:cs="Arial"/>
          <w:color w:val="303B44"/>
          <w:sz w:val="20"/>
          <w:szCs w:val="20"/>
          <w:vertAlign w:val="superscript"/>
        </w:rPr>
        <w:t>2</w:t>
      </w:r>
      <w:r w:rsidRPr="0004088D">
        <w:rPr>
          <w:rFonts w:ascii="Arial" w:hAnsi="Arial" w:cs="Arial"/>
          <w:color w:val="303B44"/>
          <w:sz w:val="20"/>
          <w:szCs w:val="20"/>
        </w:rPr>
        <w:t>.</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A detailed consideration of the highly complex regulatory background is beyond the scope of this factsheet. However, recent years have seen a renewed interest in the issue of company reporting as a result of perceived deficiencies in companies’ reporting procedures in the wake of the global financial crisis. More information can be found in our factsheet on corporate governance.</w:t>
      </w:r>
    </w:p>
    <w:p w:rsidR="00DC5E9C" w:rsidRPr="0004088D" w:rsidRDefault="00022862" w:rsidP="0004088D">
      <w:pPr>
        <w:numPr>
          <w:ilvl w:val="0"/>
          <w:numId w:val="8"/>
        </w:numPr>
        <w:shd w:val="clear" w:color="auto" w:fill="FFFFFF"/>
        <w:spacing w:after="225" w:line="273" w:lineRule="atLeast"/>
        <w:rPr>
          <w:rFonts w:ascii="Arial" w:hAnsi="Arial" w:cs="Arial"/>
          <w:color w:val="303B44"/>
          <w:sz w:val="20"/>
          <w:szCs w:val="20"/>
        </w:rPr>
      </w:pPr>
      <w:hyperlink r:id="rId7" w:tooltip="Corporate governance" w:history="1">
        <w:r w:rsidR="00DC5E9C" w:rsidRPr="0004088D">
          <w:rPr>
            <w:rFonts w:ascii="Arial" w:hAnsi="Arial" w:cs="Arial"/>
            <w:color w:val="1578BE"/>
            <w:sz w:val="20"/>
            <w:szCs w:val="20"/>
            <w:u w:val="single"/>
          </w:rPr>
          <w:t>Go to our corporate governance factsheet</w:t>
        </w:r>
      </w:hyperlink>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In 2010, the Department for Business Innovation and Skills launched a consultation on the future of narrative reporting (sometimes known as ‘the front half’ of company reports)</w:t>
      </w:r>
      <w:r w:rsidRPr="0004088D">
        <w:rPr>
          <w:rFonts w:ascii="Arial" w:hAnsi="Arial" w:cs="Arial"/>
          <w:color w:val="303B44"/>
          <w:sz w:val="20"/>
          <w:szCs w:val="20"/>
          <w:vertAlign w:val="superscript"/>
        </w:rPr>
        <w:t>3</w:t>
      </w:r>
      <w:r w:rsidRPr="0004088D">
        <w:rPr>
          <w:rFonts w:ascii="Arial" w:hAnsi="Arial" w:cs="Arial"/>
          <w:color w:val="303B44"/>
          <w:sz w:val="20"/>
          <w:szCs w:val="20"/>
        </w:rPr>
        <w:t>. Information on the CIPD’s position is available in our response to that consultation. As yet no firm proposals or reporting have been forthcoming.</w:t>
      </w:r>
    </w:p>
    <w:p w:rsidR="00DC5E9C" w:rsidRPr="0004088D" w:rsidRDefault="00022862" w:rsidP="0004088D">
      <w:pPr>
        <w:numPr>
          <w:ilvl w:val="0"/>
          <w:numId w:val="9"/>
        </w:numPr>
        <w:shd w:val="clear" w:color="auto" w:fill="FFFFFF"/>
        <w:spacing w:after="225" w:line="273" w:lineRule="atLeast"/>
        <w:rPr>
          <w:rFonts w:ascii="Arial" w:hAnsi="Arial" w:cs="Arial"/>
          <w:color w:val="303B44"/>
          <w:sz w:val="20"/>
          <w:szCs w:val="20"/>
        </w:rPr>
      </w:pPr>
      <w:hyperlink r:id="rId8" w:tooltip="The future of narrative reporting" w:history="1">
        <w:r w:rsidR="00DC5E9C" w:rsidRPr="0004088D">
          <w:rPr>
            <w:rFonts w:ascii="Arial" w:hAnsi="Arial" w:cs="Arial"/>
            <w:color w:val="1578BE"/>
            <w:sz w:val="20"/>
            <w:szCs w:val="20"/>
            <w:u w:val="single"/>
          </w:rPr>
          <w:t>Visit CIPD response</w:t>
        </w:r>
      </w:hyperlink>
    </w:p>
    <w:p w:rsidR="00DC5E9C" w:rsidRPr="0004088D" w:rsidRDefault="00DC5E9C" w:rsidP="0004088D">
      <w:pPr>
        <w:shd w:val="clear" w:color="auto" w:fill="FFFFFF"/>
        <w:spacing w:before="100" w:beforeAutospacing="1" w:after="48" w:line="273" w:lineRule="atLeast"/>
        <w:outlineLvl w:val="3"/>
        <w:rPr>
          <w:rFonts w:ascii="Arial" w:hAnsi="Arial" w:cs="Arial"/>
          <w:b/>
          <w:bCs/>
          <w:color w:val="303B44"/>
          <w:sz w:val="22"/>
          <w:szCs w:val="22"/>
        </w:rPr>
      </w:pPr>
      <w:r w:rsidRPr="0004088D">
        <w:rPr>
          <w:rFonts w:ascii="Arial" w:hAnsi="Arial" w:cs="Arial"/>
          <w:b/>
          <w:bCs/>
          <w:color w:val="303B44"/>
          <w:sz w:val="22"/>
          <w:szCs w:val="22"/>
        </w:rPr>
        <w:t>Published human capital data</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More information on the extent of human capital reporting that is included within annual reports is available in our report </w:t>
      </w:r>
      <w:r w:rsidRPr="0004088D">
        <w:rPr>
          <w:rFonts w:ascii="Arial" w:hAnsi="Arial" w:cs="Arial"/>
          <w:i/>
          <w:iCs/>
          <w:color w:val="303B44"/>
          <w:sz w:val="20"/>
          <w:szCs w:val="20"/>
        </w:rPr>
        <w:t>Human capital management: an analysis of disclosure in UK reports</w:t>
      </w:r>
      <w:r w:rsidRPr="0004088D">
        <w:rPr>
          <w:rFonts w:ascii="Arial" w:hAnsi="Arial" w:cs="Arial"/>
          <w:color w:val="303B44"/>
          <w:sz w:val="20"/>
          <w:szCs w:val="20"/>
        </w:rPr>
        <w:t> setting out an analysis of disclosure levels produced in conjunction with professional accountants’ body ACCA.</w:t>
      </w:r>
    </w:p>
    <w:p w:rsidR="00DC5E9C" w:rsidRPr="0004088D" w:rsidRDefault="00022862" w:rsidP="0004088D">
      <w:pPr>
        <w:numPr>
          <w:ilvl w:val="0"/>
          <w:numId w:val="10"/>
        </w:numPr>
        <w:shd w:val="clear" w:color="auto" w:fill="FFFFFF"/>
        <w:spacing w:after="225" w:line="273" w:lineRule="atLeast"/>
        <w:rPr>
          <w:rFonts w:ascii="Arial" w:hAnsi="Arial" w:cs="Arial"/>
          <w:color w:val="303B44"/>
          <w:sz w:val="20"/>
          <w:szCs w:val="20"/>
        </w:rPr>
      </w:pPr>
      <w:hyperlink r:id="rId9" w:tooltip="Human capital management: an analysis of disclosure in UK reports" w:history="1">
        <w:r w:rsidR="00DC5E9C" w:rsidRPr="0004088D">
          <w:rPr>
            <w:rFonts w:ascii="Arial" w:hAnsi="Arial" w:cs="Arial"/>
            <w:color w:val="1578BE"/>
            <w:sz w:val="20"/>
            <w:szCs w:val="20"/>
            <w:u w:val="single"/>
          </w:rPr>
          <w:t>Visit the report</w:t>
        </w:r>
      </w:hyperlink>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Additionally, our latest research into the ways in which human capital reporting can inform investment decisions  has found that stakeholders would particularly value information that is comparable, explained in context and related to business outcomes, whilst also finding that a focus on risk in human capital reporting would be particularly relevant to the business community.</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Find out more in our report </w:t>
      </w:r>
      <w:r w:rsidRPr="0004088D">
        <w:rPr>
          <w:rFonts w:ascii="Arial" w:hAnsi="Arial" w:cs="Arial"/>
          <w:i/>
          <w:iCs/>
          <w:color w:val="303B44"/>
          <w:sz w:val="20"/>
          <w:szCs w:val="20"/>
        </w:rPr>
        <w:t>View from the City: how can human capital reporting inform investment decisions?</w:t>
      </w:r>
    </w:p>
    <w:p w:rsidR="00DC5E9C" w:rsidRPr="0004088D" w:rsidRDefault="00022862" w:rsidP="0004088D">
      <w:pPr>
        <w:numPr>
          <w:ilvl w:val="0"/>
          <w:numId w:val="11"/>
        </w:numPr>
        <w:shd w:val="clear" w:color="auto" w:fill="FFFFFF"/>
        <w:spacing w:after="225" w:line="273" w:lineRule="atLeast"/>
        <w:rPr>
          <w:rFonts w:ascii="Arial" w:hAnsi="Arial" w:cs="Arial"/>
          <w:color w:val="303B44"/>
          <w:sz w:val="20"/>
          <w:szCs w:val="20"/>
        </w:rPr>
      </w:pPr>
      <w:hyperlink r:id="rId10" w:tooltip="View from the City: how can human capital management and reporting inform investment decisions?" w:history="1">
        <w:r w:rsidR="00DC5E9C" w:rsidRPr="0004088D">
          <w:rPr>
            <w:rFonts w:ascii="Arial" w:hAnsi="Arial" w:cs="Arial"/>
            <w:color w:val="1578BE"/>
            <w:sz w:val="20"/>
            <w:szCs w:val="20"/>
            <w:u w:val="single"/>
          </w:rPr>
          <w:t>Go to the report</w:t>
        </w:r>
      </w:hyperlink>
    </w:p>
    <w:p w:rsidR="00DC5E9C" w:rsidRPr="0004088D" w:rsidRDefault="00DC5E9C" w:rsidP="0004088D">
      <w:pPr>
        <w:shd w:val="clear" w:color="auto" w:fill="FFFFFF"/>
        <w:spacing w:before="100" w:beforeAutospacing="1" w:after="48" w:line="273" w:lineRule="atLeast"/>
        <w:outlineLvl w:val="2"/>
        <w:rPr>
          <w:rFonts w:ascii="Arial" w:hAnsi="Arial" w:cs="Arial"/>
          <w:b/>
          <w:bCs/>
          <w:color w:val="303B44"/>
          <w:sz w:val="26"/>
          <w:szCs w:val="26"/>
        </w:rPr>
      </w:pPr>
      <w:r w:rsidRPr="0004088D">
        <w:rPr>
          <w:rFonts w:ascii="Arial" w:hAnsi="Arial" w:cs="Arial"/>
          <w:b/>
          <w:bCs/>
          <w:color w:val="303B44"/>
          <w:sz w:val="26"/>
          <w:szCs w:val="26"/>
        </w:rPr>
        <w:t>Internal reporting</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lastRenderedPageBreak/>
        <w:br/>
        <w:t>Internal reporting is far more prevalent than external reporting, as this is important in the evaluation of the effectiveness of HR interventions and guiding future HR strategy, while also protecting business confidentiality where desired. It takes a number of forms. </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Generally any human capital data reported internally should be:</w:t>
      </w:r>
    </w:p>
    <w:p w:rsidR="00DC5E9C" w:rsidRPr="0004088D" w:rsidRDefault="00DC5E9C" w:rsidP="0004088D">
      <w:pPr>
        <w:numPr>
          <w:ilvl w:val="0"/>
          <w:numId w:val="12"/>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reliable and open to scrutiny</w:t>
      </w:r>
    </w:p>
    <w:p w:rsidR="00DC5E9C" w:rsidRPr="0004088D" w:rsidRDefault="00DC5E9C" w:rsidP="0004088D">
      <w:pPr>
        <w:numPr>
          <w:ilvl w:val="0"/>
          <w:numId w:val="12"/>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accompanied by adequate explanation</w:t>
      </w:r>
    </w:p>
    <w:p w:rsidR="00DC5E9C" w:rsidRPr="0004088D" w:rsidRDefault="00DC5E9C" w:rsidP="0004088D">
      <w:pPr>
        <w:numPr>
          <w:ilvl w:val="0"/>
          <w:numId w:val="12"/>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presented in a manner that is easily understandable for the audience</w:t>
      </w:r>
    </w:p>
    <w:p w:rsidR="00DC5E9C" w:rsidRPr="0004088D" w:rsidRDefault="00DC5E9C" w:rsidP="0004088D">
      <w:pPr>
        <w:numPr>
          <w:ilvl w:val="0"/>
          <w:numId w:val="12"/>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related to business needs</w:t>
      </w:r>
    </w:p>
    <w:p w:rsidR="00DC5E9C" w:rsidRPr="0004088D" w:rsidRDefault="00DC5E9C" w:rsidP="0004088D">
      <w:pPr>
        <w:numPr>
          <w:ilvl w:val="0"/>
          <w:numId w:val="12"/>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enable managers to identify appropriate actions that will improve business performance.</w:t>
      </w:r>
    </w:p>
    <w:p w:rsidR="00DC5E9C" w:rsidRPr="0004088D" w:rsidRDefault="00DC5E9C" w:rsidP="0004088D">
      <w:pPr>
        <w:shd w:val="clear" w:color="auto" w:fill="FFFFFF"/>
        <w:spacing w:before="100" w:beforeAutospacing="1" w:after="48" w:line="273" w:lineRule="atLeast"/>
        <w:outlineLvl w:val="2"/>
        <w:rPr>
          <w:rFonts w:ascii="Arial" w:hAnsi="Arial" w:cs="Arial"/>
          <w:b/>
          <w:bCs/>
          <w:color w:val="303B44"/>
          <w:sz w:val="26"/>
          <w:szCs w:val="26"/>
        </w:rPr>
      </w:pPr>
      <w:r w:rsidRPr="0004088D">
        <w:rPr>
          <w:rFonts w:ascii="Arial" w:hAnsi="Arial" w:cs="Arial"/>
          <w:b/>
          <w:bCs/>
          <w:color w:val="303B44"/>
          <w:sz w:val="26"/>
          <w:szCs w:val="26"/>
        </w:rPr>
        <w:t>Identifying business drivers</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br/>
        <w:t>Because the evaluation of human capital is context-dependent, the key to identifying business drivers lies in developing a better understanding of the people element of the business and what policies and practices to manage teams or individuals are likely to achieve results.</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There are a number of good examples of organisations that have successfully correlated human capital data with performance data to identify which interventions are likely to produce results.  Many of these are reported in our guide on internal human capital reporting </w:t>
      </w:r>
      <w:r w:rsidRPr="0004088D">
        <w:rPr>
          <w:rFonts w:ascii="Arial" w:hAnsi="Arial" w:cs="Arial"/>
          <w:i/>
          <w:iCs/>
          <w:color w:val="303B44"/>
          <w:sz w:val="20"/>
          <w:szCs w:val="20"/>
        </w:rPr>
        <w:t>Human capital reporting: an internal perspective</w:t>
      </w:r>
      <w:r w:rsidRPr="0004088D">
        <w:rPr>
          <w:rFonts w:ascii="Arial" w:hAnsi="Arial" w:cs="Arial"/>
          <w:color w:val="303B44"/>
          <w:sz w:val="20"/>
          <w:szCs w:val="20"/>
        </w:rPr>
        <w:t>.</w:t>
      </w:r>
    </w:p>
    <w:p w:rsidR="00DC5E9C" w:rsidRPr="0004088D" w:rsidRDefault="00022862" w:rsidP="0004088D">
      <w:pPr>
        <w:numPr>
          <w:ilvl w:val="0"/>
          <w:numId w:val="13"/>
        </w:numPr>
        <w:shd w:val="clear" w:color="auto" w:fill="FFFFFF"/>
        <w:spacing w:after="225" w:line="273" w:lineRule="atLeast"/>
        <w:rPr>
          <w:rFonts w:ascii="Arial" w:hAnsi="Arial" w:cs="Arial"/>
          <w:color w:val="303B44"/>
          <w:sz w:val="20"/>
          <w:szCs w:val="20"/>
        </w:rPr>
      </w:pPr>
      <w:hyperlink r:id="rId11" w:tooltip="Human capital reporting: an internal perspective" w:history="1">
        <w:r w:rsidR="00DC5E9C" w:rsidRPr="0004088D">
          <w:rPr>
            <w:rFonts w:ascii="Arial" w:hAnsi="Arial" w:cs="Arial"/>
            <w:color w:val="1578BE"/>
            <w:sz w:val="20"/>
            <w:szCs w:val="20"/>
            <w:u w:val="single"/>
          </w:rPr>
          <w:t>Go to our guide</w:t>
        </w:r>
      </w:hyperlink>
    </w:p>
    <w:p w:rsidR="00DC5E9C" w:rsidRPr="0004088D" w:rsidRDefault="00DC5E9C" w:rsidP="0004088D">
      <w:pPr>
        <w:pBdr>
          <w:bottom w:val="single" w:sz="36" w:space="5" w:color="DAE6DB"/>
        </w:pBdr>
        <w:shd w:val="clear" w:color="auto" w:fill="FFFFFF"/>
        <w:spacing w:before="150" w:after="225" w:line="273" w:lineRule="atLeast"/>
        <w:outlineLvl w:val="1"/>
        <w:rPr>
          <w:rFonts w:ascii="Arial" w:hAnsi="Arial" w:cs="Arial"/>
          <w:b/>
          <w:bCs/>
          <w:color w:val="303B44"/>
          <w:sz w:val="28"/>
          <w:szCs w:val="28"/>
        </w:rPr>
      </w:pPr>
      <w:r w:rsidRPr="0004088D">
        <w:rPr>
          <w:rFonts w:ascii="Arial" w:hAnsi="Arial" w:cs="Arial"/>
          <w:b/>
          <w:bCs/>
          <w:color w:val="303B44"/>
          <w:sz w:val="28"/>
          <w:szCs w:val="28"/>
        </w:rPr>
        <w:t>CIPD viewpoint</w:t>
      </w:r>
    </w:p>
    <w:p w:rsidR="00DC5E9C" w:rsidRPr="0004088D" w:rsidRDefault="00DC5E9C" w:rsidP="0004088D">
      <w:pPr>
        <w:spacing w:after="225"/>
        <w:rPr>
          <w:rFonts w:ascii="Times" w:hAnsi="Times"/>
          <w:sz w:val="20"/>
          <w:szCs w:val="20"/>
        </w:rPr>
      </w:pPr>
      <w:r w:rsidRPr="0004088D">
        <w:rPr>
          <w:rFonts w:ascii="Times" w:hAnsi="Times"/>
          <w:sz w:val="20"/>
          <w:szCs w:val="20"/>
        </w:rPr>
        <w:t>There is a great deal of evidence that the contribution of people is the largest driver of organisational performance. Systematically collecting, analysing and communicating information on the value of this contribution is vital and will assist in the design and implementation of HR policies and practices to maximise the impact on business performance. However, all our research to date indicates that the evaluation of human capital is highly contextual and therefore no single measure or set of measures can adequately convey its value. Organisations need to decide which measures are relevant to them and will give them to information they need to effectively communicate the value and contribution of human capital both internally and externally. They will then need to interpret these measure in context to inform their relevance to key business performance indicators.</w:t>
      </w:r>
    </w:p>
    <w:p w:rsidR="00DC5E9C" w:rsidRPr="0004088D" w:rsidRDefault="00DC5E9C" w:rsidP="0004088D">
      <w:pPr>
        <w:pBdr>
          <w:bottom w:val="single" w:sz="36" w:space="5" w:color="DAE6DB"/>
        </w:pBdr>
        <w:shd w:val="clear" w:color="auto" w:fill="FFFFFF"/>
        <w:spacing w:before="150" w:after="225" w:line="273" w:lineRule="atLeast"/>
        <w:outlineLvl w:val="1"/>
        <w:rPr>
          <w:rFonts w:ascii="Arial" w:hAnsi="Arial" w:cs="Arial"/>
          <w:b/>
          <w:bCs/>
          <w:color w:val="303B44"/>
          <w:sz w:val="28"/>
          <w:szCs w:val="28"/>
        </w:rPr>
      </w:pPr>
      <w:r w:rsidRPr="0004088D">
        <w:rPr>
          <w:rFonts w:ascii="Arial" w:hAnsi="Arial" w:cs="Arial"/>
          <w:b/>
          <w:bCs/>
          <w:color w:val="303B44"/>
          <w:sz w:val="28"/>
          <w:szCs w:val="28"/>
        </w:rPr>
        <w:t>References</w:t>
      </w:r>
    </w:p>
    <w:p w:rsidR="00DC5E9C" w:rsidRPr="0004088D" w:rsidRDefault="00DC5E9C" w:rsidP="0004088D">
      <w:pPr>
        <w:numPr>
          <w:ilvl w:val="0"/>
          <w:numId w:val="14"/>
        </w:numPr>
        <w:spacing w:after="225"/>
        <w:rPr>
          <w:rFonts w:ascii="Times" w:hAnsi="Times"/>
          <w:sz w:val="20"/>
          <w:szCs w:val="20"/>
        </w:rPr>
      </w:pPr>
      <w:r w:rsidRPr="0004088D">
        <w:rPr>
          <w:rFonts w:ascii="Times" w:hAnsi="Times"/>
          <w:sz w:val="20"/>
          <w:szCs w:val="20"/>
        </w:rPr>
        <w:t>KINGSMILL, D. (2003) </w:t>
      </w:r>
      <w:r w:rsidRPr="0004088D">
        <w:rPr>
          <w:rFonts w:ascii="Times" w:hAnsi="Times"/>
          <w:i/>
          <w:iCs/>
          <w:sz w:val="20"/>
          <w:szCs w:val="20"/>
        </w:rPr>
        <w:t>Accounting for people: report</w:t>
      </w:r>
      <w:r w:rsidRPr="0004088D">
        <w:rPr>
          <w:rFonts w:ascii="Times" w:hAnsi="Times"/>
          <w:sz w:val="20"/>
          <w:szCs w:val="20"/>
        </w:rPr>
        <w:t>. London: Task Force on Human Capital Management.</w:t>
      </w:r>
    </w:p>
    <w:p w:rsidR="00DC5E9C" w:rsidRPr="0004088D" w:rsidRDefault="00DC5E9C" w:rsidP="0004088D">
      <w:pPr>
        <w:numPr>
          <w:ilvl w:val="0"/>
          <w:numId w:val="14"/>
        </w:numPr>
        <w:spacing w:after="225"/>
        <w:rPr>
          <w:rFonts w:ascii="Times" w:hAnsi="Times"/>
          <w:sz w:val="20"/>
          <w:szCs w:val="20"/>
        </w:rPr>
      </w:pPr>
      <w:r w:rsidRPr="0004088D">
        <w:rPr>
          <w:rFonts w:ascii="Times" w:hAnsi="Times"/>
          <w:sz w:val="20"/>
          <w:szCs w:val="20"/>
        </w:rPr>
        <w:t>DELOITTE. (2010) </w:t>
      </w:r>
      <w:r w:rsidRPr="0004088D">
        <w:rPr>
          <w:rFonts w:ascii="Times" w:hAnsi="Times"/>
          <w:i/>
          <w:iCs/>
          <w:sz w:val="20"/>
          <w:szCs w:val="20"/>
        </w:rPr>
        <w:t>Swimming in words – surveying narrative reporting in annual reports</w:t>
      </w:r>
      <w:r w:rsidRPr="0004088D">
        <w:rPr>
          <w:rFonts w:ascii="Times" w:hAnsi="Times"/>
          <w:sz w:val="20"/>
          <w:szCs w:val="20"/>
        </w:rPr>
        <w:t>. London: Deloitte. Available at: </w:t>
      </w:r>
      <w:hyperlink r:id="rId12" w:history="1">
        <w:r w:rsidRPr="0004088D">
          <w:rPr>
            <w:rFonts w:ascii="Times" w:hAnsi="Times"/>
            <w:color w:val="1578BE"/>
            <w:sz w:val="20"/>
            <w:szCs w:val="20"/>
            <w:u w:val="single"/>
          </w:rPr>
          <w:t>http://www.deloitte.com/view/en_GB/uk/news/news-releases/3f68dca8434cb210VgnVCM3000001c56f00aRCRD.htm</w:t>
        </w:r>
      </w:hyperlink>
    </w:p>
    <w:p w:rsidR="00DC5E9C" w:rsidRPr="0004088D" w:rsidRDefault="00DC5E9C" w:rsidP="0004088D">
      <w:pPr>
        <w:numPr>
          <w:ilvl w:val="0"/>
          <w:numId w:val="14"/>
        </w:numPr>
        <w:spacing w:after="225"/>
        <w:rPr>
          <w:rFonts w:ascii="Times" w:hAnsi="Times"/>
          <w:sz w:val="20"/>
          <w:szCs w:val="20"/>
        </w:rPr>
      </w:pPr>
      <w:r w:rsidRPr="0004088D">
        <w:rPr>
          <w:rFonts w:ascii="Times" w:hAnsi="Times"/>
          <w:sz w:val="20"/>
          <w:szCs w:val="20"/>
        </w:rPr>
        <w:t>DEPARTMENT FOR BUSSINESS INNOVATION AND SKILLS. (2010) </w:t>
      </w:r>
      <w:r w:rsidRPr="0004088D">
        <w:rPr>
          <w:rFonts w:ascii="Times" w:hAnsi="Times"/>
          <w:i/>
          <w:iCs/>
          <w:sz w:val="20"/>
          <w:szCs w:val="20"/>
        </w:rPr>
        <w:t>The future of narrative reporting: a consultation.</w:t>
      </w:r>
      <w:r w:rsidRPr="0004088D">
        <w:rPr>
          <w:rFonts w:ascii="Times" w:hAnsi="Times"/>
          <w:sz w:val="20"/>
          <w:szCs w:val="20"/>
        </w:rPr>
        <w:t xml:space="preserve"> London: BIS. Available </w:t>
      </w:r>
      <w:r w:rsidRPr="0004088D">
        <w:rPr>
          <w:rFonts w:ascii="Times" w:hAnsi="Times"/>
          <w:sz w:val="20"/>
          <w:szCs w:val="20"/>
        </w:rPr>
        <w:lastRenderedPageBreak/>
        <w:t>at: </w:t>
      </w:r>
      <w:hyperlink r:id="rId13" w:history="1">
        <w:r w:rsidRPr="0004088D">
          <w:rPr>
            <w:rFonts w:ascii="Times" w:hAnsi="Times"/>
            <w:color w:val="1578BE"/>
            <w:sz w:val="20"/>
            <w:szCs w:val="20"/>
            <w:u w:val="single"/>
          </w:rPr>
          <w:t>http://www.bis.gov.uk/assets/biscore/business-law/docs/n/10-1057-future-narrative-reporting-consultation</w:t>
        </w:r>
      </w:hyperlink>
      <w:r w:rsidRPr="0004088D">
        <w:rPr>
          <w:rFonts w:ascii="Times" w:hAnsi="Times"/>
          <w:sz w:val="20"/>
          <w:szCs w:val="20"/>
        </w:rPr>
        <w:t> </w:t>
      </w:r>
    </w:p>
    <w:p w:rsidR="00DC5E9C" w:rsidRPr="0004088D" w:rsidRDefault="00DC5E9C" w:rsidP="0004088D">
      <w:pPr>
        <w:shd w:val="clear" w:color="auto" w:fill="DAE6DB"/>
        <w:spacing w:before="450" w:after="100" w:afterAutospacing="1" w:line="273" w:lineRule="atLeast"/>
        <w:outlineLvl w:val="1"/>
        <w:rPr>
          <w:rFonts w:ascii="Arial" w:hAnsi="Arial" w:cs="Arial"/>
          <w:b/>
          <w:bCs/>
          <w:color w:val="303B44"/>
          <w:sz w:val="28"/>
          <w:szCs w:val="28"/>
        </w:rPr>
      </w:pPr>
      <w:r w:rsidRPr="0004088D">
        <w:rPr>
          <w:rFonts w:ascii="Arial" w:hAnsi="Arial" w:cs="Arial"/>
          <w:b/>
          <w:bCs/>
          <w:color w:val="303B44"/>
          <w:sz w:val="28"/>
          <w:szCs w:val="28"/>
        </w:rPr>
        <w:t>Further reading</w:t>
      </w:r>
    </w:p>
    <w:p w:rsidR="00DC5E9C" w:rsidRPr="0004088D" w:rsidRDefault="00DC5E9C" w:rsidP="0004088D">
      <w:pPr>
        <w:shd w:val="clear" w:color="auto" w:fill="FFFFFF"/>
        <w:spacing w:before="100" w:beforeAutospacing="1" w:after="48" w:line="273" w:lineRule="atLeast"/>
        <w:outlineLvl w:val="2"/>
        <w:rPr>
          <w:rFonts w:ascii="Arial" w:hAnsi="Arial" w:cs="Arial"/>
          <w:b/>
          <w:bCs/>
          <w:color w:val="303B44"/>
          <w:sz w:val="26"/>
          <w:szCs w:val="26"/>
        </w:rPr>
      </w:pPr>
      <w:r w:rsidRPr="0004088D">
        <w:rPr>
          <w:rFonts w:ascii="Arial" w:hAnsi="Arial" w:cs="Arial"/>
          <w:b/>
          <w:bCs/>
          <w:color w:val="303B44"/>
          <w:sz w:val="26"/>
          <w:szCs w:val="26"/>
        </w:rPr>
        <w:t>Books and reports</w:t>
      </w:r>
    </w:p>
    <w:p w:rsidR="00DC5E9C" w:rsidRPr="0004088D" w:rsidRDefault="00DC5E9C" w:rsidP="0004088D">
      <w:pPr>
        <w:spacing w:after="225"/>
        <w:rPr>
          <w:rFonts w:ascii="Times" w:hAnsi="Times"/>
          <w:sz w:val="20"/>
          <w:szCs w:val="20"/>
        </w:rPr>
      </w:pPr>
      <w:r w:rsidRPr="0004088D">
        <w:rPr>
          <w:rFonts w:ascii="Times" w:hAnsi="Times"/>
          <w:sz w:val="20"/>
          <w:szCs w:val="20"/>
        </w:rPr>
        <w:br/>
        <w:t>ACCENTURE. (2010) </w:t>
      </w:r>
      <w:r w:rsidRPr="0004088D">
        <w:rPr>
          <w:rFonts w:ascii="Times" w:hAnsi="Times"/>
          <w:i/>
          <w:iCs/>
          <w:sz w:val="20"/>
          <w:szCs w:val="20"/>
        </w:rPr>
        <w:t>The new generation of human capital analytics</w:t>
      </w:r>
      <w:r w:rsidRPr="0004088D">
        <w:rPr>
          <w:rFonts w:ascii="Times" w:hAnsi="Times"/>
          <w:sz w:val="20"/>
          <w:szCs w:val="20"/>
        </w:rPr>
        <w:t>. Boston, MA: Accenture. 10pp. Available at:   </w:t>
      </w:r>
      <w:r w:rsidRPr="0004088D">
        <w:rPr>
          <w:rFonts w:ascii="Times" w:hAnsi="Times"/>
          <w:sz w:val="20"/>
          <w:szCs w:val="20"/>
        </w:rPr>
        <w:br/>
      </w:r>
      <w:hyperlink r:id="rId14" w:history="1">
        <w:r w:rsidRPr="0004088D">
          <w:rPr>
            <w:rFonts w:ascii="Times" w:hAnsi="Times"/>
            <w:color w:val="1578BE"/>
            <w:sz w:val="20"/>
            <w:szCs w:val="20"/>
            <w:u w:val="single"/>
          </w:rPr>
          <w:t>http://www.accenture.com/us-en/Pages/insight-new-generation-human-capital-analytics-summary.asp</w:t>
        </w:r>
      </w:hyperlink>
      <w:r w:rsidRPr="0004088D">
        <w:rPr>
          <w:rFonts w:ascii="Times" w:hAnsi="Times"/>
          <w:sz w:val="20"/>
          <w:szCs w:val="20"/>
        </w:rPr>
        <w:t>  </w:t>
      </w:r>
      <w:r w:rsidRPr="0004088D">
        <w:rPr>
          <w:rFonts w:ascii="Times" w:hAnsi="Times"/>
          <w:sz w:val="20"/>
          <w:szCs w:val="20"/>
        </w:rPr>
        <w:br/>
      </w:r>
      <w:r w:rsidRPr="0004088D">
        <w:rPr>
          <w:rFonts w:ascii="Times" w:hAnsi="Times"/>
          <w:sz w:val="20"/>
          <w:szCs w:val="20"/>
        </w:rPr>
        <w:br/>
        <w:t>BARON, A. and ARMSTRONG, M. (2007) </w:t>
      </w:r>
      <w:r w:rsidRPr="0004088D">
        <w:rPr>
          <w:rFonts w:ascii="Times" w:hAnsi="Times"/>
          <w:i/>
          <w:iCs/>
          <w:sz w:val="20"/>
          <w:szCs w:val="20"/>
        </w:rPr>
        <w:t>Human capital management: achieving added value through people.</w:t>
      </w:r>
      <w:r w:rsidRPr="0004088D">
        <w:rPr>
          <w:rFonts w:ascii="Times" w:hAnsi="Times"/>
          <w:sz w:val="20"/>
          <w:szCs w:val="20"/>
        </w:rPr>
        <w:t> London: Kogan Page. </w:t>
      </w:r>
      <w:r w:rsidRPr="0004088D">
        <w:rPr>
          <w:rFonts w:ascii="Times" w:hAnsi="Times"/>
          <w:sz w:val="20"/>
          <w:szCs w:val="20"/>
        </w:rPr>
        <w:br/>
      </w:r>
      <w:r w:rsidRPr="0004088D">
        <w:rPr>
          <w:rFonts w:ascii="Times" w:hAnsi="Times"/>
          <w:sz w:val="20"/>
          <w:szCs w:val="20"/>
        </w:rPr>
        <w:br/>
        <w:t>KEARNS, P. et al. (2006) </w:t>
      </w:r>
      <w:hyperlink r:id="rId15" w:history="1">
        <w:r w:rsidRPr="0004088D">
          <w:rPr>
            <w:rFonts w:ascii="Times" w:hAnsi="Times"/>
            <w:i/>
            <w:iCs/>
            <w:color w:val="1578BE"/>
            <w:sz w:val="20"/>
            <w:szCs w:val="20"/>
          </w:rPr>
          <w:t>What's the future for human capital?</w:t>
        </w:r>
      </w:hyperlink>
      <w:r w:rsidRPr="0004088D">
        <w:rPr>
          <w:rFonts w:ascii="Times" w:hAnsi="Times"/>
          <w:sz w:val="20"/>
          <w:szCs w:val="20"/>
        </w:rPr>
        <w:t> Executive briefing. London: Chartered Institute of Personnel and Development. </w:t>
      </w:r>
      <w:r w:rsidRPr="0004088D">
        <w:rPr>
          <w:rFonts w:ascii="Times" w:hAnsi="Times"/>
          <w:sz w:val="20"/>
          <w:szCs w:val="20"/>
        </w:rPr>
        <w:br/>
      </w:r>
      <w:r w:rsidRPr="0004088D">
        <w:rPr>
          <w:rFonts w:ascii="Times" w:hAnsi="Times"/>
          <w:sz w:val="20"/>
          <w:szCs w:val="20"/>
        </w:rPr>
        <w:br/>
        <w:t>Visit the </w:t>
      </w:r>
      <w:hyperlink r:id="rId16" w:history="1">
        <w:r w:rsidRPr="0004088D">
          <w:rPr>
            <w:rFonts w:ascii="Times" w:hAnsi="Times"/>
            <w:color w:val="1578BE"/>
            <w:sz w:val="20"/>
            <w:szCs w:val="20"/>
            <w:u w:val="single"/>
          </w:rPr>
          <w:t>CIPD Store</w:t>
        </w:r>
      </w:hyperlink>
      <w:r w:rsidRPr="0004088D">
        <w:rPr>
          <w:rFonts w:ascii="Times" w:hAnsi="Times"/>
          <w:sz w:val="20"/>
          <w:szCs w:val="20"/>
        </w:rPr>
        <w:t> to see all our priced publications currently in print.</w:t>
      </w:r>
    </w:p>
    <w:p w:rsidR="00DC5E9C" w:rsidRPr="0004088D" w:rsidRDefault="00DC5E9C" w:rsidP="0004088D">
      <w:pPr>
        <w:shd w:val="clear" w:color="auto" w:fill="FFFFFF"/>
        <w:spacing w:before="100" w:beforeAutospacing="1" w:after="48" w:line="273" w:lineRule="atLeast"/>
        <w:outlineLvl w:val="2"/>
        <w:rPr>
          <w:rFonts w:ascii="Arial" w:hAnsi="Arial" w:cs="Arial"/>
          <w:b/>
          <w:bCs/>
          <w:color w:val="303B44"/>
          <w:sz w:val="26"/>
          <w:szCs w:val="26"/>
        </w:rPr>
      </w:pPr>
      <w:r w:rsidRPr="0004088D">
        <w:rPr>
          <w:rFonts w:ascii="Arial" w:hAnsi="Arial" w:cs="Arial"/>
          <w:b/>
          <w:bCs/>
          <w:color w:val="303B44"/>
          <w:sz w:val="26"/>
          <w:szCs w:val="26"/>
        </w:rPr>
        <w:t>Journal articles</w:t>
      </w:r>
    </w:p>
    <w:p w:rsidR="00DC5E9C" w:rsidRPr="0004088D" w:rsidRDefault="00DC5E9C" w:rsidP="0004088D">
      <w:pPr>
        <w:spacing w:after="225"/>
        <w:rPr>
          <w:rFonts w:ascii="Times" w:hAnsi="Times"/>
          <w:sz w:val="20"/>
          <w:szCs w:val="20"/>
        </w:rPr>
      </w:pPr>
      <w:r w:rsidRPr="0004088D">
        <w:rPr>
          <w:rFonts w:ascii="Times" w:hAnsi="Times"/>
          <w:sz w:val="20"/>
          <w:szCs w:val="20"/>
        </w:rPr>
        <w:br/>
        <w:t>BARBER, F. and STRACK, R. (2005) The surprising economics of a people business. </w:t>
      </w:r>
      <w:r w:rsidRPr="0004088D">
        <w:rPr>
          <w:rFonts w:ascii="Times" w:hAnsi="Times"/>
          <w:i/>
          <w:iCs/>
          <w:sz w:val="20"/>
          <w:szCs w:val="20"/>
        </w:rPr>
        <w:t>Harvard Business Review</w:t>
      </w:r>
      <w:r w:rsidRPr="0004088D">
        <w:rPr>
          <w:rFonts w:ascii="Times" w:hAnsi="Times"/>
          <w:sz w:val="20"/>
          <w:szCs w:val="20"/>
        </w:rPr>
        <w:t>. Vol 83, No 6, June. pp81-90.</w:t>
      </w:r>
    </w:p>
    <w:p w:rsidR="00DC5E9C" w:rsidRPr="0004088D" w:rsidRDefault="00DC5E9C" w:rsidP="0004088D">
      <w:pPr>
        <w:spacing w:after="225"/>
        <w:rPr>
          <w:rFonts w:ascii="Times" w:hAnsi="Times"/>
          <w:sz w:val="20"/>
          <w:szCs w:val="20"/>
        </w:rPr>
      </w:pPr>
      <w:r w:rsidRPr="0004088D">
        <w:rPr>
          <w:rFonts w:ascii="Times" w:hAnsi="Times"/>
          <w:sz w:val="20"/>
          <w:szCs w:val="20"/>
        </w:rPr>
        <w:t>BARON, A. (2011) Measuring human capital. </w:t>
      </w:r>
      <w:r w:rsidRPr="0004088D">
        <w:rPr>
          <w:rFonts w:ascii="Times" w:hAnsi="Times"/>
          <w:i/>
          <w:iCs/>
          <w:sz w:val="20"/>
          <w:szCs w:val="20"/>
        </w:rPr>
        <w:t>Strategic HR Review</w:t>
      </w:r>
      <w:r w:rsidRPr="0004088D">
        <w:rPr>
          <w:rFonts w:ascii="Times" w:hAnsi="Times"/>
          <w:sz w:val="20"/>
          <w:szCs w:val="20"/>
        </w:rPr>
        <w:t>. Vol 10, No 2. pp30-35.</w:t>
      </w:r>
    </w:p>
    <w:p w:rsidR="00DC5E9C" w:rsidRPr="0004088D" w:rsidRDefault="00DC5E9C" w:rsidP="0004088D">
      <w:pPr>
        <w:spacing w:after="225"/>
        <w:rPr>
          <w:rFonts w:ascii="Times" w:hAnsi="Times"/>
          <w:sz w:val="20"/>
          <w:szCs w:val="20"/>
        </w:rPr>
      </w:pPr>
      <w:r w:rsidRPr="0004088D">
        <w:rPr>
          <w:rFonts w:ascii="Times" w:hAnsi="Times"/>
          <w:sz w:val="20"/>
          <w:szCs w:val="20"/>
        </w:rPr>
        <w:t>LAWLER, E.E. (2009) Make human capital a source of competitive advantage. </w:t>
      </w:r>
      <w:r w:rsidRPr="0004088D">
        <w:rPr>
          <w:rFonts w:ascii="Times" w:hAnsi="Times"/>
          <w:i/>
          <w:iCs/>
          <w:sz w:val="20"/>
          <w:szCs w:val="20"/>
        </w:rPr>
        <w:t>Organizational Dynamics</w:t>
      </w:r>
      <w:r w:rsidRPr="0004088D">
        <w:rPr>
          <w:rFonts w:ascii="Times" w:hAnsi="Times"/>
          <w:sz w:val="20"/>
          <w:szCs w:val="20"/>
        </w:rPr>
        <w:t>. Vol 38, No 1, January-March. pp1-7.</w:t>
      </w:r>
    </w:p>
    <w:p w:rsidR="00DC5E9C" w:rsidRPr="0004088D" w:rsidRDefault="00DC5E9C" w:rsidP="0004088D">
      <w:pPr>
        <w:spacing w:after="225"/>
        <w:rPr>
          <w:rFonts w:ascii="Times" w:hAnsi="Times"/>
          <w:sz w:val="20"/>
          <w:szCs w:val="20"/>
        </w:rPr>
      </w:pPr>
      <w:r w:rsidRPr="0004088D">
        <w:rPr>
          <w:rFonts w:ascii="Times" w:hAnsi="Times"/>
          <w:sz w:val="20"/>
          <w:szCs w:val="20"/>
        </w:rPr>
        <w:t>WRIGHT, P.M. and MCMAHAN, G.C. (2011) Exploring human capital: putting human back into strategic human resource management. </w:t>
      </w:r>
      <w:r w:rsidRPr="0004088D">
        <w:rPr>
          <w:rFonts w:ascii="Times" w:hAnsi="Times"/>
          <w:i/>
          <w:iCs/>
          <w:sz w:val="20"/>
          <w:szCs w:val="20"/>
        </w:rPr>
        <w:t>Human Resource Management Journal</w:t>
      </w:r>
      <w:r w:rsidRPr="0004088D">
        <w:rPr>
          <w:rFonts w:ascii="Times" w:hAnsi="Times"/>
          <w:sz w:val="20"/>
          <w:szCs w:val="20"/>
        </w:rPr>
        <w:t>. Vol 21, No 2. April. pp93-104. </w:t>
      </w:r>
    </w:p>
    <w:p w:rsidR="00DC5E9C" w:rsidRPr="0004088D" w:rsidRDefault="00DC5E9C" w:rsidP="0004088D">
      <w:pPr>
        <w:spacing w:after="225"/>
        <w:rPr>
          <w:rFonts w:ascii="Times" w:hAnsi="Times"/>
          <w:sz w:val="20"/>
          <w:szCs w:val="20"/>
        </w:rPr>
      </w:pPr>
      <w:r w:rsidRPr="0004088D">
        <w:rPr>
          <w:rFonts w:ascii="Times" w:hAnsi="Times"/>
          <w:sz w:val="20"/>
          <w:szCs w:val="20"/>
        </w:rPr>
        <w:t>CIPD members can use our </w:t>
      </w:r>
      <w:hyperlink r:id="rId17" w:history="1">
        <w:r w:rsidRPr="0004088D">
          <w:rPr>
            <w:rFonts w:ascii="Times" w:hAnsi="Times"/>
            <w:color w:val="1578BE"/>
            <w:sz w:val="20"/>
            <w:szCs w:val="20"/>
            <w:u w:val="single"/>
          </w:rPr>
          <w:t>online journals</w:t>
        </w:r>
      </w:hyperlink>
      <w:r w:rsidRPr="0004088D">
        <w:rPr>
          <w:rFonts w:ascii="Times" w:hAnsi="Times"/>
          <w:sz w:val="20"/>
          <w:szCs w:val="20"/>
        </w:rPr>
        <w:t> to find articles from over 300 journal titles relevant to HR. </w:t>
      </w:r>
      <w:r w:rsidRPr="0004088D">
        <w:rPr>
          <w:rFonts w:ascii="Times" w:hAnsi="Times"/>
          <w:sz w:val="20"/>
          <w:szCs w:val="20"/>
        </w:rPr>
        <w:br/>
        <w:t>Members and </w:t>
      </w:r>
      <w:r w:rsidRPr="0004088D">
        <w:rPr>
          <w:rFonts w:ascii="Times" w:hAnsi="Times"/>
          <w:i/>
          <w:iCs/>
          <w:sz w:val="20"/>
          <w:szCs w:val="20"/>
        </w:rPr>
        <w:t>People Management</w:t>
      </w:r>
      <w:r w:rsidRPr="0004088D">
        <w:rPr>
          <w:rFonts w:ascii="Times" w:hAnsi="Times"/>
          <w:sz w:val="20"/>
          <w:szCs w:val="20"/>
        </w:rPr>
        <w:t> subscribers can see articles on the </w:t>
      </w:r>
      <w:hyperlink r:id="rId18" w:history="1">
        <w:r w:rsidRPr="0004088D">
          <w:rPr>
            <w:rFonts w:ascii="Times" w:hAnsi="Times"/>
            <w:i/>
            <w:iCs/>
            <w:color w:val="1578BE"/>
            <w:sz w:val="20"/>
            <w:szCs w:val="20"/>
          </w:rPr>
          <w:t>People Management</w:t>
        </w:r>
        <w:r w:rsidRPr="0004088D">
          <w:rPr>
            <w:rFonts w:ascii="Times" w:hAnsi="Times"/>
            <w:color w:val="1578BE"/>
            <w:sz w:val="20"/>
            <w:szCs w:val="20"/>
          </w:rPr>
          <w:t> </w:t>
        </w:r>
        <w:r w:rsidRPr="0004088D">
          <w:rPr>
            <w:rFonts w:ascii="Times" w:hAnsi="Times"/>
            <w:color w:val="1578BE"/>
            <w:sz w:val="20"/>
            <w:szCs w:val="20"/>
            <w:u w:val="single"/>
          </w:rPr>
          <w:t>website.</w:t>
        </w:r>
      </w:hyperlink>
    </w:p>
    <w:p w:rsidR="00DC5E9C" w:rsidRPr="0004088D" w:rsidRDefault="00DC5E9C" w:rsidP="0004088D">
      <w:pPr>
        <w:rPr>
          <w:rFonts w:ascii="Times" w:hAnsi="Times"/>
          <w:sz w:val="20"/>
          <w:szCs w:val="20"/>
        </w:rPr>
      </w:pPr>
    </w:p>
    <w:p w:rsidR="00DC5E9C" w:rsidRDefault="00DC5E9C"/>
    <w:sectPr w:rsidR="00DC5E9C" w:rsidSect="006E29C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A7C40"/>
    <w:multiLevelType w:val="multilevel"/>
    <w:tmpl w:val="04DA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52354"/>
    <w:multiLevelType w:val="multilevel"/>
    <w:tmpl w:val="298E7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A6845"/>
    <w:multiLevelType w:val="multilevel"/>
    <w:tmpl w:val="E8965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D624EA"/>
    <w:multiLevelType w:val="multilevel"/>
    <w:tmpl w:val="CF5ED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1721D9"/>
    <w:multiLevelType w:val="multilevel"/>
    <w:tmpl w:val="52982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364B04"/>
    <w:multiLevelType w:val="multilevel"/>
    <w:tmpl w:val="3288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2E434A"/>
    <w:multiLevelType w:val="multilevel"/>
    <w:tmpl w:val="62D63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0F166A"/>
    <w:multiLevelType w:val="multilevel"/>
    <w:tmpl w:val="1DCCA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1550CD"/>
    <w:multiLevelType w:val="multilevel"/>
    <w:tmpl w:val="41A26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7F183E"/>
    <w:multiLevelType w:val="multilevel"/>
    <w:tmpl w:val="7E4EF03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15:restartNumberingAfterBreak="0">
    <w:nsid w:val="4D7F4481"/>
    <w:multiLevelType w:val="multilevel"/>
    <w:tmpl w:val="B5CE1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755106"/>
    <w:multiLevelType w:val="multilevel"/>
    <w:tmpl w:val="500A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4B2084"/>
    <w:multiLevelType w:val="multilevel"/>
    <w:tmpl w:val="3B42A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0444EE"/>
    <w:multiLevelType w:val="multilevel"/>
    <w:tmpl w:val="4FE8D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8"/>
  </w:num>
  <w:num w:numId="3">
    <w:abstractNumId w:val="7"/>
  </w:num>
  <w:num w:numId="4">
    <w:abstractNumId w:val="6"/>
  </w:num>
  <w:num w:numId="5">
    <w:abstractNumId w:val="10"/>
  </w:num>
  <w:num w:numId="6">
    <w:abstractNumId w:val="12"/>
  </w:num>
  <w:num w:numId="7">
    <w:abstractNumId w:val="3"/>
  </w:num>
  <w:num w:numId="8">
    <w:abstractNumId w:val="4"/>
  </w:num>
  <w:num w:numId="9">
    <w:abstractNumId w:val="0"/>
  </w:num>
  <w:num w:numId="10">
    <w:abstractNumId w:val="2"/>
  </w:num>
  <w:num w:numId="11">
    <w:abstractNumId w:val="11"/>
  </w:num>
  <w:num w:numId="12">
    <w:abstractNumId w:val="5"/>
  </w:num>
  <w:num w:numId="13">
    <w:abstractNumId w:val="1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88D"/>
    <w:rsid w:val="00022862"/>
    <w:rsid w:val="0004088D"/>
    <w:rsid w:val="004C4BFD"/>
    <w:rsid w:val="0050767F"/>
    <w:rsid w:val="005610D4"/>
    <w:rsid w:val="006E29CA"/>
    <w:rsid w:val="00766D35"/>
    <w:rsid w:val="00D30B76"/>
    <w:rsid w:val="00DC5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2B5FC93-7695-4781-898B-6405B61CE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 w:hAnsi="Cambria" w:cs="Times New Roman"/>
        <w:sz w:val="22"/>
        <w:szCs w:val="22"/>
        <w:lang w:val="en-GB" w:eastAsia="en-GB" w:bidi="ar-SA"/>
      </w:rPr>
    </w:rPrDefault>
    <w:pPrDefault/>
  </w:docDefaults>
  <w:latentStyles w:defLockedState="0" w:defUIPriority="99" w:defSemiHidden="0" w:defUnhideWhenUsed="0" w:defQFormat="0" w:count="374">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50767F"/>
    <w:rPr>
      <w:sz w:val="24"/>
      <w:szCs w:val="24"/>
      <w:lang w:eastAsia="en-US"/>
    </w:rPr>
  </w:style>
  <w:style w:type="paragraph" w:styleId="Heading2">
    <w:name w:val="heading 2"/>
    <w:basedOn w:val="Normal"/>
    <w:link w:val="Heading2Char"/>
    <w:uiPriority w:val="99"/>
    <w:qFormat/>
    <w:rsid w:val="0004088D"/>
    <w:pPr>
      <w:spacing w:before="100" w:beforeAutospacing="1" w:after="100" w:afterAutospacing="1"/>
      <w:outlineLvl w:val="1"/>
    </w:pPr>
    <w:rPr>
      <w:rFonts w:ascii="Times" w:hAnsi="Times"/>
      <w:b/>
      <w:bCs/>
      <w:sz w:val="36"/>
      <w:szCs w:val="36"/>
    </w:rPr>
  </w:style>
  <w:style w:type="paragraph" w:styleId="Heading3">
    <w:name w:val="heading 3"/>
    <w:basedOn w:val="Normal"/>
    <w:link w:val="Heading3Char"/>
    <w:uiPriority w:val="99"/>
    <w:qFormat/>
    <w:rsid w:val="0004088D"/>
    <w:pPr>
      <w:spacing w:before="100" w:beforeAutospacing="1" w:after="100" w:afterAutospacing="1"/>
      <w:outlineLvl w:val="2"/>
    </w:pPr>
    <w:rPr>
      <w:rFonts w:ascii="Times" w:hAnsi="Times"/>
      <w:b/>
      <w:bCs/>
      <w:sz w:val="27"/>
      <w:szCs w:val="27"/>
    </w:rPr>
  </w:style>
  <w:style w:type="paragraph" w:styleId="Heading4">
    <w:name w:val="heading 4"/>
    <w:basedOn w:val="Normal"/>
    <w:link w:val="Heading4Char"/>
    <w:uiPriority w:val="99"/>
    <w:qFormat/>
    <w:rsid w:val="0004088D"/>
    <w:pPr>
      <w:spacing w:before="100" w:beforeAutospacing="1" w:after="100" w:afterAutospacing="1"/>
      <w:outlineLvl w:val="3"/>
    </w:pPr>
    <w:rPr>
      <w:rFonts w:ascii="Times" w:hAns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04088D"/>
    <w:rPr>
      <w:rFonts w:ascii="Times" w:hAnsi="Times" w:cs="Times New Roman"/>
      <w:b/>
      <w:bCs/>
      <w:sz w:val="36"/>
      <w:szCs w:val="36"/>
    </w:rPr>
  </w:style>
  <w:style w:type="character" w:customStyle="1" w:styleId="Heading3Char">
    <w:name w:val="Heading 3 Char"/>
    <w:basedOn w:val="DefaultParagraphFont"/>
    <w:link w:val="Heading3"/>
    <w:uiPriority w:val="99"/>
    <w:locked/>
    <w:rsid w:val="0004088D"/>
    <w:rPr>
      <w:rFonts w:ascii="Times" w:hAnsi="Times" w:cs="Times New Roman"/>
      <w:b/>
      <w:bCs/>
      <w:sz w:val="27"/>
      <w:szCs w:val="27"/>
    </w:rPr>
  </w:style>
  <w:style w:type="character" w:customStyle="1" w:styleId="Heading4Char">
    <w:name w:val="Heading 4 Char"/>
    <w:basedOn w:val="DefaultParagraphFont"/>
    <w:link w:val="Heading4"/>
    <w:uiPriority w:val="99"/>
    <w:locked/>
    <w:rsid w:val="0004088D"/>
    <w:rPr>
      <w:rFonts w:ascii="Times" w:hAnsi="Times" w:cs="Times New Roman"/>
      <w:b/>
      <w:bCs/>
    </w:rPr>
  </w:style>
  <w:style w:type="paragraph" w:styleId="NormalWeb">
    <w:name w:val="Normal (Web)"/>
    <w:basedOn w:val="Normal"/>
    <w:uiPriority w:val="99"/>
    <w:rsid w:val="0004088D"/>
    <w:pPr>
      <w:spacing w:before="100" w:beforeAutospacing="1" w:after="100" w:afterAutospacing="1"/>
    </w:pPr>
    <w:rPr>
      <w:rFonts w:ascii="Times" w:hAnsi="Times"/>
      <w:sz w:val="20"/>
      <w:szCs w:val="20"/>
    </w:rPr>
  </w:style>
  <w:style w:type="character" w:styleId="Strong">
    <w:name w:val="Strong"/>
    <w:basedOn w:val="DefaultParagraphFont"/>
    <w:uiPriority w:val="99"/>
    <w:qFormat/>
    <w:rsid w:val="0004088D"/>
    <w:rPr>
      <w:rFonts w:cs="Times New Roman"/>
      <w:b/>
      <w:bCs/>
    </w:rPr>
  </w:style>
  <w:style w:type="character" w:customStyle="1" w:styleId="apple-converted-space">
    <w:name w:val="apple-converted-space"/>
    <w:basedOn w:val="DefaultParagraphFont"/>
    <w:uiPriority w:val="99"/>
    <w:rsid w:val="0004088D"/>
    <w:rPr>
      <w:rFonts w:cs="Times New Roman"/>
    </w:rPr>
  </w:style>
  <w:style w:type="character" w:styleId="Emphasis">
    <w:name w:val="Emphasis"/>
    <w:basedOn w:val="DefaultParagraphFont"/>
    <w:uiPriority w:val="99"/>
    <w:qFormat/>
    <w:rsid w:val="0004088D"/>
    <w:rPr>
      <w:rFonts w:cs="Times New Roman"/>
      <w:i/>
      <w:iCs/>
    </w:rPr>
  </w:style>
  <w:style w:type="character" w:styleId="Hyperlink">
    <w:name w:val="Hyperlink"/>
    <w:basedOn w:val="DefaultParagraphFont"/>
    <w:uiPriority w:val="99"/>
    <w:semiHidden/>
    <w:rsid w:val="0004088D"/>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8733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ipd.co.uk/publicpolicy/consultation-responses/narrative-reporting.aspx" TargetMode="External"/><Relationship Id="rId13" Type="http://schemas.openxmlformats.org/officeDocument/2006/relationships/hyperlink" Target="http://www.bis.gov.uk/assets/biscore/business-law/docs/n/10-1057-future-narrative-reporting-consultation" TargetMode="External"/><Relationship Id="rId18" Type="http://schemas.openxmlformats.org/officeDocument/2006/relationships/hyperlink" Target="http://www.peoplemanagement.co.uk/" TargetMode="External"/><Relationship Id="rId3" Type="http://schemas.openxmlformats.org/officeDocument/2006/relationships/settings" Target="settings.xml"/><Relationship Id="rId7" Type="http://schemas.openxmlformats.org/officeDocument/2006/relationships/hyperlink" Target="http://www.cipd.co.uk/hr-resources/factsheets/corporate-governance.aspx" TargetMode="External"/><Relationship Id="rId12" Type="http://schemas.openxmlformats.org/officeDocument/2006/relationships/hyperlink" Target="http://www.deloitte.com/view/en_GB/uk/news/news-releases/3f68dca8434cb210VgnVCM3000001c56f00aRCRD.htm" TargetMode="External"/><Relationship Id="rId17" Type="http://schemas.openxmlformats.org/officeDocument/2006/relationships/hyperlink" Target="http://www.cipd.co.uk/onlineinfodocuments/journals" TargetMode="External"/><Relationship Id="rId2" Type="http://schemas.openxmlformats.org/officeDocument/2006/relationships/styles" Target="styles.xml"/><Relationship Id="rId16" Type="http://schemas.openxmlformats.org/officeDocument/2006/relationships/hyperlink" Target="http://www.cipd.co.uk/bookstor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cipd.co.uk/hr-resources/factsheets/employee-engagement.aspx" TargetMode="External"/><Relationship Id="rId11" Type="http://schemas.openxmlformats.org/officeDocument/2006/relationships/hyperlink" Target="http://www.cipd.co.uk/hr-resources/guides/human-capital-reporting-internal-perspective.aspx" TargetMode="External"/><Relationship Id="rId5" Type="http://schemas.openxmlformats.org/officeDocument/2006/relationships/hyperlink" Target="http://www.cipd.co.uk/hr-resources/practical-tools/human-capital-management.aspx" TargetMode="External"/><Relationship Id="rId15" Type="http://schemas.openxmlformats.org/officeDocument/2006/relationships/hyperlink" Target="http://www.cipd.co.uk/Bookstore/_catalogue/CorporateAndHRStrategy/1843981637.htm" TargetMode="External"/><Relationship Id="rId10" Type="http://schemas.openxmlformats.org/officeDocument/2006/relationships/hyperlink" Target="http://www.cipd.co.uk/hr-resources/research/human-capital-management-inform-decisions.aspx"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ipd.co.uk/hr-resources/research/human-capital-management-disclosure-uk-reports-analysis.aspx" TargetMode="External"/><Relationship Id="rId14" Type="http://schemas.openxmlformats.org/officeDocument/2006/relationships/hyperlink" Target="http://www.accenture.com/us-en/Pages/insight-new-generation-human-capital-analytics-summary.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2664</Words>
  <Characters>15190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What is human capital</vt:lpstr>
    </vt:vector>
  </TitlesOfParts>
  <Company>Fortitude Development Ltd</Company>
  <LinksUpToDate>false</LinksUpToDate>
  <CharactersWithSpaces>17819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is human capital</dc:title>
  <dc:subject/>
  <dc:creator>Caroline Foster</dc:creator>
  <cp:keywords/>
  <dc:description/>
  <cp:lastModifiedBy>Mary</cp:lastModifiedBy>
  <cp:revision>2</cp:revision>
  <dcterms:created xsi:type="dcterms:W3CDTF">2017-02-03T10:05:00Z</dcterms:created>
  <dcterms:modified xsi:type="dcterms:W3CDTF">2017-02-03T10:05:00Z</dcterms:modified>
</cp:coreProperties>
</file>