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47699" w14:textId="182A885A" w:rsidR="00703361" w:rsidRDefault="00703361">
      <w:r>
        <w:t xml:space="preserve">Mariam </w:t>
      </w:r>
      <w:proofErr w:type="gramStart"/>
      <w:r>
        <w:t>begum</w:t>
      </w:r>
      <w:proofErr w:type="gramEnd"/>
      <w:r>
        <w:t xml:space="preserve"> </w:t>
      </w:r>
    </w:p>
    <w:p w14:paraId="325AB56E" w14:textId="171396F5" w:rsidR="00703361" w:rsidRDefault="00703361">
      <w:r>
        <w:t>2321253</w:t>
      </w:r>
    </w:p>
    <w:p w14:paraId="509440DB" w14:textId="54F50C59" w:rsidR="00703361" w:rsidRDefault="00625B86">
      <w:r>
        <w:t xml:space="preserve">Kennedy </w:t>
      </w:r>
      <w:proofErr w:type="spellStart"/>
      <w:r>
        <w:t>Obohwemu</w:t>
      </w:r>
      <w:proofErr w:type="spellEnd"/>
    </w:p>
    <w:p w14:paraId="69554184" w14:textId="5D1DFCD6" w:rsidR="00625B86" w:rsidRDefault="00FA55A1">
      <w:r>
        <w:t>B</w:t>
      </w:r>
      <w:r w:rsidR="008F3F37">
        <w:t>MHP6029</w:t>
      </w:r>
    </w:p>
    <w:p w14:paraId="6C881749" w14:textId="1600A4C1" w:rsidR="008F3F37" w:rsidRDefault="008F3F37">
      <w:r>
        <w:t xml:space="preserve">Component 1: individual presentation </w:t>
      </w:r>
      <w:r w:rsidR="00693B97">
        <w:t>(academic poster)</w:t>
      </w:r>
    </w:p>
    <w:p w14:paraId="21CE7FE0" w14:textId="77777777" w:rsidR="00703361" w:rsidRDefault="00703361">
      <w:r>
        <w:br w:type="page"/>
      </w:r>
    </w:p>
    <w:sdt>
      <w:sdtPr>
        <w:id w:val="-1523861052"/>
        <w:docPartObj>
          <w:docPartGallery w:val="Cover Pages"/>
          <w:docPartUnique/>
        </w:docPartObj>
      </w:sdtPr>
      <w:sdtContent>
        <w:p w14:paraId="7FC5B1B8" w14:textId="1D069D55" w:rsidR="000470E7" w:rsidRDefault="000470E7"/>
        <w:p w14:paraId="0F5CDFBD" w14:textId="3B15C14C" w:rsidR="000470E7" w:rsidRDefault="000470E7">
          <w:pPr>
            <w:rPr>
              <w:rFonts w:asciiTheme="majorHAnsi" w:eastAsiaTheme="majorEastAsia" w:hAnsiTheme="majorHAnsi" w:cstheme="majorBidi"/>
              <w:b/>
              <w:bCs/>
              <w:color w:val="365F91" w:themeColor="accent1" w:themeShade="BF"/>
              <w:sz w:val="28"/>
              <w:szCs w:val="28"/>
            </w:rPr>
          </w:pPr>
        </w:p>
      </w:sdtContent>
    </w:sdt>
    <w:p w14:paraId="5B563CBA" w14:textId="2E550992" w:rsidR="00DA4703" w:rsidRDefault="00271B38">
      <w:pPr>
        <w:pStyle w:val="Heading1"/>
      </w:pPr>
      <w:r>
        <w:rPr>
          <w:noProof/>
        </w:rPr>
        <w:drawing>
          <wp:anchor distT="0" distB="0" distL="114300" distR="114300" simplePos="0" relativeHeight="251656704" behindDoc="0" locked="0" layoutInCell="1" allowOverlap="1" wp14:anchorId="3A0160F4" wp14:editId="5B371A79">
            <wp:simplePos x="0" y="0"/>
            <wp:positionH relativeFrom="column">
              <wp:posOffset>-1130300</wp:posOffset>
            </wp:positionH>
            <wp:positionV relativeFrom="paragraph">
              <wp:posOffset>-908050</wp:posOffset>
            </wp:positionV>
            <wp:extent cx="7753350" cy="1739900"/>
            <wp:effectExtent l="0" t="0" r="0" b="0"/>
            <wp:wrapSquare wrapText="bothSides"/>
            <wp:docPr id="17497574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753350" cy="1739900"/>
                    </a:xfrm>
                    <a:prstGeom prst="rect">
                      <a:avLst/>
                    </a:prstGeom>
                    <a:noFill/>
                  </pic:spPr>
                </pic:pic>
              </a:graphicData>
            </a:graphic>
            <wp14:sizeRelH relativeFrom="margin">
              <wp14:pctWidth>0</wp14:pctWidth>
            </wp14:sizeRelH>
            <wp14:sizeRelV relativeFrom="margin">
              <wp14:pctHeight>0</wp14:pctHeight>
            </wp14:sizeRelV>
          </wp:anchor>
        </w:drawing>
      </w:r>
      <w:r w:rsidR="00300578">
        <w:t>Schizophrenia: Historical and Contemporary Treatment and Care</w:t>
      </w:r>
      <w:r w:rsidR="00300578">
        <w:br/>
        <w:t>(ICD-11 Chapter 06 – Mental, Behavioural or Neurodevelopmental Disorders)</w:t>
      </w:r>
    </w:p>
    <w:p w14:paraId="16649260" w14:textId="3036C47F" w:rsidR="00DA4703" w:rsidRDefault="001106A6">
      <w:pPr>
        <w:pStyle w:val="Heading2"/>
      </w:pPr>
      <w:r>
        <w:rPr>
          <w:noProof/>
        </w:rPr>
        <w:drawing>
          <wp:anchor distT="0" distB="0" distL="114300" distR="114300" simplePos="0" relativeHeight="251654656" behindDoc="0" locked="0" layoutInCell="1" allowOverlap="1" wp14:anchorId="781C0C75" wp14:editId="3E769987">
            <wp:simplePos x="0" y="0"/>
            <wp:positionH relativeFrom="column">
              <wp:posOffset>3989705</wp:posOffset>
            </wp:positionH>
            <wp:positionV relativeFrom="paragraph">
              <wp:posOffset>64135</wp:posOffset>
            </wp:positionV>
            <wp:extent cx="2539365" cy="1600200"/>
            <wp:effectExtent l="0" t="0" r="0" b="0"/>
            <wp:wrapSquare wrapText="bothSides"/>
            <wp:docPr id="1221969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39365" cy="1600200"/>
                    </a:xfrm>
                    <a:prstGeom prst="rect">
                      <a:avLst/>
                    </a:prstGeom>
                    <a:noFill/>
                  </pic:spPr>
                </pic:pic>
              </a:graphicData>
            </a:graphic>
            <wp14:sizeRelH relativeFrom="margin">
              <wp14:pctWidth>0</wp14:pctWidth>
            </wp14:sizeRelH>
            <wp14:sizeRelV relativeFrom="margin">
              <wp14:pctHeight>0</wp14:pctHeight>
            </wp14:sizeRelV>
          </wp:anchor>
        </w:drawing>
      </w:r>
      <w:r w:rsidR="00300578">
        <w:t>Overview and ICD-11 Classification</w:t>
      </w:r>
    </w:p>
    <w:p w14:paraId="2B502872" w14:textId="26A4874C" w:rsidR="00DA4703" w:rsidRDefault="00300578">
      <w:r>
        <w:t>Schizophrenia is classified within ICD-11 Chapter 06 as a primary psychotic disorder. It is characterised by persistent disturbances in thinking, perception, self-experience, and behaviour, including delusions, hallucinations, disorganised thinking, and negative symptoms. ICD-11 emphasises dimensional symptom assessment and functional impact rather than rigid subtypes.</w:t>
      </w:r>
      <w:r w:rsidR="001106A6" w:rsidRPr="001106A6">
        <w:t xml:space="preserve"> </w:t>
      </w:r>
    </w:p>
    <w:p w14:paraId="3D2C6067" w14:textId="4F84C5C3" w:rsidR="00DA4703" w:rsidRDefault="00271B38">
      <w:pPr>
        <w:pStyle w:val="Heading2"/>
      </w:pPr>
      <w:r>
        <w:rPr>
          <w:noProof/>
        </w:rPr>
        <w:drawing>
          <wp:anchor distT="0" distB="0" distL="114300" distR="114300" simplePos="0" relativeHeight="251655680" behindDoc="1" locked="0" layoutInCell="1" allowOverlap="1" wp14:anchorId="09C60584" wp14:editId="3EF7B9F0">
            <wp:simplePos x="0" y="0"/>
            <wp:positionH relativeFrom="column">
              <wp:posOffset>-1200150</wp:posOffset>
            </wp:positionH>
            <wp:positionV relativeFrom="paragraph">
              <wp:posOffset>291465</wp:posOffset>
            </wp:positionV>
            <wp:extent cx="2387600" cy="1615440"/>
            <wp:effectExtent l="0" t="0" r="0" b="3810"/>
            <wp:wrapTight wrapText="bothSides">
              <wp:wrapPolygon edited="0">
                <wp:start x="0" y="0"/>
                <wp:lineTo x="0" y="21396"/>
                <wp:lineTo x="21370" y="21396"/>
                <wp:lineTo x="21370" y="0"/>
                <wp:lineTo x="0" y="0"/>
              </wp:wrapPolygon>
            </wp:wrapTight>
            <wp:docPr id="1366309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7600" cy="1615440"/>
                    </a:xfrm>
                    <a:prstGeom prst="rect">
                      <a:avLst/>
                    </a:prstGeom>
                    <a:noFill/>
                  </pic:spPr>
                </pic:pic>
              </a:graphicData>
            </a:graphic>
            <wp14:sizeRelH relativeFrom="margin">
              <wp14:pctWidth>0</wp14:pctWidth>
            </wp14:sizeRelH>
            <wp14:sizeRelV relativeFrom="margin">
              <wp14:pctHeight>0</wp14:pctHeight>
            </wp14:sizeRelV>
          </wp:anchor>
        </w:drawing>
      </w:r>
      <w:r w:rsidR="00300578">
        <w:t>Historical Context of Treatment</w:t>
      </w:r>
    </w:p>
    <w:p w14:paraId="6A7B11BA" w14:textId="72FF8456" w:rsidR="00DA4703" w:rsidRDefault="00300578">
      <w:r>
        <w:t>Historically, schizophrenia was poorly understood and often associated with moral weakness, supernatural beliefs, or dangerousness. In the 19th and early 20th centuries, institutionalisation in asylums was the dominant model of care. Treatments included confinement, sedation, and later biological interventions such as insulin coma therapy and electroconvulsive therapy (ECT). The mid-20th century introduction of antipsychotic medication (e.g., chlorpromazine) marked a major shift, supporting deinstitutionalisation and community-based care.</w:t>
      </w:r>
    </w:p>
    <w:p w14:paraId="0E640343" w14:textId="63573153" w:rsidR="00DA4703" w:rsidRDefault="00300578">
      <w:pPr>
        <w:pStyle w:val="Heading2"/>
      </w:pPr>
      <w:r>
        <w:t>Social, Cultural and Political Influences</w:t>
      </w:r>
    </w:p>
    <w:p w14:paraId="2DDDCA07" w14:textId="77777777" w:rsidR="00DA4703" w:rsidRDefault="00300578">
      <w:r>
        <w:t>Public fear and stigma significantly shaped policy responses, reinforcing segregation and discrimination. Deinstitutionalisation policies in the UK and other Western countries were influenced by human rights movements, economic pressures, and critiques of institutional abuse. However, inadequate community funding has sometimes resulted in gaps in care, homelessness, and criminal justice involvement among people with psychosis.</w:t>
      </w:r>
    </w:p>
    <w:p w14:paraId="309C3A39" w14:textId="77777777" w:rsidR="00DA4703" w:rsidRDefault="00300578">
      <w:pPr>
        <w:pStyle w:val="Heading2"/>
      </w:pPr>
      <w:r>
        <w:lastRenderedPageBreak/>
        <w:t>Contemporary Treatment and Provision of Care</w:t>
      </w:r>
    </w:p>
    <w:p w14:paraId="747261B7" w14:textId="6F4CF8BC" w:rsidR="00DA4703" w:rsidRDefault="00300578">
      <w:r>
        <w:t xml:space="preserve">Modern treatment adopts a biopsychosocial model, combining antipsychotic medication, psychological therapies (such as CBT for psychosis), family interventions, and social support. Early Intervention in Psychosis (EIP) services aim to reduce duration of untreated psychosis and improve outcomes. Recovery-oriented practice </w:t>
      </w:r>
      <w:proofErr w:type="spellStart"/>
      <w:r>
        <w:t>emphasises</w:t>
      </w:r>
      <w:proofErr w:type="spellEnd"/>
      <w:r>
        <w:t xml:space="preserve"> person-</w:t>
      </w:r>
      <w:proofErr w:type="spellStart"/>
      <w:r>
        <w:t>centred</w:t>
      </w:r>
      <w:proofErr w:type="spellEnd"/>
      <w:r>
        <w:t xml:space="preserve"> care, shared decision-making, and social inclusion.</w:t>
      </w:r>
    </w:p>
    <w:p w14:paraId="631B8E7B" w14:textId="33B5FB66" w:rsidR="00DA4703" w:rsidRDefault="00271B38">
      <w:pPr>
        <w:pStyle w:val="Heading2"/>
      </w:pPr>
      <w:r>
        <w:rPr>
          <w:noProof/>
        </w:rPr>
        <w:drawing>
          <wp:anchor distT="0" distB="0" distL="114300" distR="114300" simplePos="0" relativeHeight="251657728" behindDoc="1" locked="0" layoutInCell="1" allowOverlap="1" wp14:anchorId="0752C839" wp14:editId="530A00EB">
            <wp:simplePos x="0" y="0"/>
            <wp:positionH relativeFrom="column">
              <wp:posOffset>3841750</wp:posOffset>
            </wp:positionH>
            <wp:positionV relativeFrom="paragraph">
              <wp:posOffset>55245</wp:posOffset>
            </wp:positionV>
            <wp:extent cx="2286000" cy="1676400"/>
            <wp:effectExtent l="0" t="0" r="0" b="0"/>
            <wp:wrapTight wrapText="bothSides">
              <wp:wrapPolygon edited="0">
                <wp:start x="0" y="0"/>
                <wp:lineTo x="0" y="21355"/>
                <wp:lineTo x="21420" y="21355"/>
                <wp:lineTo x="21420" y="0"/>
                <wp:lineTo x="0" y="0"/>
              </wp:wrapPolygon>
            </wp:wrapTight>
            <wp:docPr id="9066438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1676400"/>
                    </a:xfrm>
                    <a:prstGeom prst="rect">
                      <a:avLst/>
                    </a:prstGeom>
                    <a:noFill/>
                  </pic:spPr>
                </pic:pic>
              </a:graphicData>
            </a:graphic>
            <wp14:sizeRelH relativeFrom="margin">
              <wp14:pctWidth>0</wp14:pctWidth>
            </wp14:sizeRelH>
            <wp14:sizeRelV relativeFrom="margin">
              <wp14:pctHeight>0</wp14:pctHeight>
            </wp14:sizeRelV>
          </wp:anchor>
        </w:drawing>
      </w:r>
      <w:r w:rsidR="00300578">
        <w:t>Stigma, Discrimination and Inequality</w:t>
      </w:r>
    </w:p>
    <w:p w14:paraId="3335FF31" w14:textId="33FE0942" w:rsidR="00DA4703" w:rsidRDefault="00300578">
      <w:r>
        <w:t>Despite advancements, stigma remains prevalent, affecting employment, housing, and healthcare access. Ethnic minority groups in the UK are disproportionately diagnosed and detained under mental health legislation, highlighting structural inequalities. Media portrayals continue to associate schizophrenia with violence, reinforcing public misunderstanding.</w:t>
      </w:r>
    </w:p>
    <w:p w14:paraId="398BD3F7" w14:textId="77777777" w:rsidR="00DA4703" w:rsidRDefault="00300578">
      <w:pPr>
        <w:pStyle w:val="Heading2"/>
      </w:pPr>
      <w:r>
        <w:t>Policy and Legislative Framework (UK Context)</w:t>
      </w:r>
    </w:p>
    <w:p w14:paraId="444F8A6A" w14:textId="001DE0EF" w:rsidR="00DA4703" w:rsidRDefault="00271B38">
      <w:r>
        <w:rPr>
          <w:noProof/>
        </w:rPr>
        <w:drawing>
          <wp:anchor distT="0" distB="0" distL="114300" distR="114300" simplePos="0" relativeHeight="251658752" behindDoc="0" locked="0" layoutInCell="1" allowOverlap="1" wp14:anchorId="2297E142" wp14:editId="367E99AA">
            <wp:simplePos x="0" y="0"/>
            <wp:positionH relativeFrom="column">
              <wp:posOffset>-1219200</wp:posOffset>
            </wp:positionH>
            <wp:positionV relativeFrom="paragraph">
              <wp:posOffset>643890</wp:posOffset>
            </wp:positionV>
            <wp:extent cx="1428750" cy="1428750"/>
            <wp:effectExtent l="0" t="0" r="0" b="0"/>
            <wp:wrapSquare wrapText="bothSides"/>
            <wp:docPr id="7480801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pic:spPr>
                </pic:pic>
              </a:graphicData>
            </a:graphic>
            <wp14:sizeRelH relativeFrom="margin">
              <wp14:pctWidth>0</wp14:pctWidth>
            </wp14:sizeRelH>
            <wp14:sizeRelV relativeFrom="margin">
              <wp14:pctHeight>0</wp14:pctHeight>
            </wp14:sizeRelV>
          </wp:anchor>
        </w:drawing>
      </w:r>
      <w:r w:rsidR="00300578">
        <w:t>The Mental Health Act 1983 (amended 2007) governs compulsory detention and treatment in England and Wales. The Equality Act 2010 protects individuals with mental health conditions from discrimination. The NHS Long Term Plan prioritises community mental health transformation and expansion of early intervention services.</w:t>
      </w:r>
    </w:p>
    <w:p w14:paraId="3A7DDCA0" w14:textId="51E64115" w:rsidR="00DA4703" w:rsidRDefault="00300578">
      <w:pPr>
        <w:pStyle w:val="Heading2"/>
      </w:pPr>
      <w:r>
        <w:t>Critical Analysis</w:t>
      </w:r>
    </w:p>
    <w:p w14:paraId="0985B0FB" w14:textId="670684B4" w:rsidR="00DA4703" w:rsidRDefault="00300578">
      <w:r>
        <w:t>While pharmacological treatment has improved symptom control, over-reliance on medication may neglect social determinants of health. Community care models promote autonomy but require sustained funding and workforce capacity. A rights-based approach aligned with the UN Convention on the Rights of Persons with Disabilities challenges coercive practices and promotes supported decision-making.</w:t>
      </w:r>
    </w:p>
    <w:p w14:paraId="68E35244" w14:textId="77777777" w:rsidR="00DA4703" w:rsidRDefault="00300578">
      <w:pPr>
        <w:pStyle w:val="Heading2"/>
      </w:pPr>
      <w:r>
        <w:t>Recommendations for Future Policy and Practice</w:t>
      </w:r>
    </w:p>
    <w:p w14:paraId="73D7E6AC" w14:textId="77777777" w:rsidR="00DA4703" w:rsidRDefault="00300578">
      <w:r>
        <w:t>• Increase funding for community-based and culturally competent services.</w:t>
      </w:r>
      <w:r>
        <w:br/>
        <w:t>• Expand trauma-informed and recovery-oriented practice.</w:t>
      </w:r>
      <w:r>
        <w:br/>
        <w:t>• Strengthen anti-stigma public health campaigns.</w:t>
      </w:r>
      <w:r>
        <w:br/>
        <w:t>• Improve service-user involvement in policy development.</w:t>
      </w:r>
      <w:r>
        <w:br/>
        <w:t>• Address racial disparities in detention and diagnosis.</w:t>
      </w:r>
    </w:p>
    <w:p w14:paraId="3CB94ADF" w14:textId="77777777" w:rsidR="00DA4703" w:rsidRDefault="00300578">
      <w:r>
        <w:br w:type="page"/>
      </w:r>
    </w:p>
    <w:p w14:paraId="2B7A268D" w14:textId="77777777" w:rsidR="00DA4703" w:rsidRDefault="00300578">
      <w:pPr>
        <w:pStyle w:val="Heading1"/>
      </w:pPr>
      <w:r>
        <w:lastRenderedPageBreak/>
        <w:t>References</w:t>
      </w:r>
    </w:p>
    <w:p w14:paraId="252E66E9" w14:textId="77777777" w:rsidR="001106A6" w:rsidRPr="001106A6" w:rsidRDefault="001106A6" w:rsidP="001106A6"/>
    <w:p w14:paraId="6B02ECC5" w14:textId="77777777" w:rsidR="001106A6" w:rsidRDefault="001106A6" w:rsidP="001106A6">
      <w:r>
        <w:t>Classification &amp; Diagnostic Criteria</w:t>
      </w:r>
    </w:p>
    <w:p w14:paraId="0A43E6E5" w14:textId="10DECE27" w:rsidR="001106A6" w:rsidRDefault="001106A6" w:rsidP="001106A6">
      <w:r>
        <w:t xml:space="preserve">World Health Organization (2019) International Classification of Diseases 11th Revision (ICD-11). Available at: </w:t>
      </w:r>
      <w:hyperlink r:id="rId11" w:history="1">
        <w:r w:rsidRPr="003803F5">
          <w:rPr>
            <w:rStyle w:val="Hyperlink"/>
          </w:rPr>
          <w:t>https://icd.who.int/</w:t>
        </w:r>
      </w:hyperlink>
    </w:p>
    <w:p w14:paraId="69FD8DA5" w14:textId="77777777" w:rsidR="001106A6" w:rsidRDefault="001106A6" w:rsidP="001106A6">
      <w:r>
        <w:t xml:space="preserve"> (Accessed: 3 March 2026)</w:t>
      </w:r>
    </w:p>
    <w:p w14:paraId="2B5C3D76" w14:textId="77777777" w:rsidR="001106A6" w:rsidRDefault="001106A6" w:rsidP="001106A6">
      <w:r>
        <w:t>Clinical Practice Guidelines</w:t>
      </w:r>
    </w:p>
    <w:p w14:paraId="0CAEB35C" w14:textId="68DCF3D0" w:rsidR="001106A6" w:rsidRDefault="001106A6" w:rsidP="001106A6">
      <w:r>
        <w:t xml:space="preserve"> National Institute for Health and Care Excellence (NICE) (2014) Psychosis and Schizophrenia in Adults: Prevention and Management (CG178). Available at: </w:t>
      </w:r>
      <w:hyperlink r:id="rId12" w:history="1">
        <w:r w:rsidRPr="003803F5">
          <w:rPr>
            <w:rStyle w:val="Hyperlink"/>
          </w:rPr>
          <w:t>https://www.nice.org.uk/guidance/cg178</w:t>
        </w:r>
      </w:hyperlink>
    </w:p>
    <w:p w14:paraId="25237B95" w14:textId="77777777" w:rsidR="001106A6" w:rsidRDefault="001106A6" w:rsidP="001106A6">
      <w:r>
        <w:t xml:space="preserve"> (Accessed: 3 March 2026)</w:t>
      </w:r>
    </w:p>
    <w:p w14:paraId="4D2A0098" w14:textId="77777777" w:rsidR="001106A6" w:rsidRDefault="001106A6" w:rsidP="001106A6">
      <w:r>
        <w:t>UK Policy &amp; Health Strategy</w:t>
      </w:r>
    </w:p>
    <w:p w14:paraId="5F65B895" w14:textId="67A5442D" w:rsidR="001106A6" w:rsidRDefault="001106A6" w:rsidP="001106A6">
      <w:r>
        <w:t xml:space="preserve">Department of Health and Social Care (2019) The NHS Long Term Plan. Available at: </w:t>
      </w:r>
      <w:hyperlink r:id="rId13" w:history="1">
        <w:r w:rsidRPr="003803F5">
          <w:rPr>
            <w:rStyle w:val="Hyperlink"/>
          </w:rPr>
          <w:t>https://www.longtermplan.nhs.uk/</w:t>
        </w:r>
      </w:hyperlink>
    </w:p>
    <w:p w14:paraId="5C672583" w14:textId="0022F01E" w:rsidR="001106A6" w:rsidRDefault="001106A6" w:rsidP="001106A6">
      <w:r>
        <w:t>(Accessed: 3 March 2026)</w:t>
      </w:r>
    </w:p>
    <w:p w14:paraId="17F47891" w14:textId="77777777" w:rsidR="001106A6" w:rsidRDefault="001106A6" w:rsidP="001106A6">
      <w:r>
        <w:t>Legislation</w:t>
      </w:r>
    </w:p>
    <w:p w14:paraId="18C1FEF6" w14:textId="788CCF5F" w:rsidR="001106A6" w:rsidRDefault="001106A6" w:rsidP="001106A6">
      <w:r>
        <w:t xml:space="preserve">UK Parliament (1983, amended 2007) Mental Health Act 1983. Available at: </w:t>
      </w:r>
      <w:hyperlink r:id="rId14" w:history="1">
        <w:r w:rsidRPr="003803F5">
          <w:rPr>
            <w:rStyle w:val="Hyperlink"/>
          </w:rPr>
          <w:t>https://www.legislation.gov.uk/ukpga/1983/20/contents</w:t>
        </w:r>
      </w:hyperlink>
    </w:p>
    <w:p w14:paraId="655EE441" w14:textId="77777777" w:rsidR="001106A6" w:rsidRDefault="001106A6" w:rsidP="001106A6">
      <w:r>
        <w:t xml:space="preserve"> (Accessed: 3 March 2026)</w:t>
      </w:r>
    </w:p>
    <w:p w14:paraId="046776FF" w14:textId="7A82EA8D" w:rsidR="001106A6" w:rsidRDefault="001106A6" w:rsidP="001106A6">
      <w:r>
        <w:t xml:space="preserve">UK Government (2010) Equality Act 2010. Available at: </w:t>
      </w:r>
      <w:hyperlink r:id="rId15" w:history="1">
        <w:r w:rsidRPr="003803F5">
          <w:rPr>
            <w:rStyle w:val="Hyperlink"/>
          </w:rPr>
          <w:t>https://www.legislation.gov.uk/ukpga/2010/15/contents</w:t>
        </w:r>
      </w:hyperlink>
    </w:p>
    <w:p w14:paraId="104CBEE6" w14:textId="77777777" w:rsidR="001106A6" w:rsidRDefault="001106A6" w:rsidP="001106A6">
      <w:r>
        <w:t xml:space="preserve"> (Accessed: 3 March 2026)</w:t>
      </w:r>
    </w:p>
    <w:p w14:paraId="34A93418" w14:textId="77777777" w:rsidR="001106A6" w:rsidRDefault="001106A6" w:rsidP="001106A6">
      <w:r>
        <w:t>Rights Framework</w:t>
      </w:r>
    </w:p>
    <w:p w14:paraId="5A404360" w14:textId="66ABA09D" w:rsidR="001106A6" w:rsidRDefault="001106A6" w:rsidP="001106A6">
      <w:r>
        <w:t xml:space="preserve"> United Nations (2006) Convention on the Rights of Persons with Disabilities (CRPD). Available at: </w:t>
      </w:r>
      <w:hyperlink r:id="rId16" w:history="1">
        <w:r w:rsidRPr="003803F5">
          <w:rPr>
            <w:rStyle w:val="Hyperlink"/>
          </w:rPr>
          <w:t>https://www.un.org/development/desa/disabilities/convention-on-the-rights-of-persons-with-disabilities.html</w:t>
        </w:r>
      </w:hyperlink>
    </w:p>
    <w:p w14:paraId="6E659EBA" w14:textId="77777777" w:rsidR="001106A6" w:rsidRDefault="001106A6" w:rsidP="001106A6">
      <w:r>
        <w:t xml:space="preserve"> (Accessed: 3 March 2026)</w:t>
      </w:r>
    </w:p>
    <w:p w14:paraId="1C9B7090" w14:textId="77777777" w:rsidR="001106A6" w:rsidRDefault="001106A6" w:rsidP="001106A6">
      <w:r>
        <w:t>Stigma &amp; Inequality</w:t>
      </w:r>
    </w:p>
    <w:p w14:paraId="6611AF5E" w14:textId="77777777" w:rsidR="001106A6" w:rsidRDefault="001106A6" w:rsidP="001106A6">
      <w:r>
        <w:lastRenderedPageBreak/>
        <w:t xml:space="preserve">7. Thornicroft, G. (2006) ‘Shunned: Discrimination Against People with Mental Illness’, Oxford University Press. Available at: </w:t>
      </w:r>
      <w:hyperlink r:id="rId17" w:history="1">
        <w:r w:rsidRPr="003803F5">
          <w:rPr>
            <w:rStyle w:val="Hyperlink"/>
          </w:rPr>
          <w:t>https://global.oup.com/academic/product/shunned-9780198568789</w:t>
        </w:r>
      </w:hyperlink>
    </w:p>
    <w:p w14:paraId="56B29D3B" w14:textId="532FA675" w:rsidR="001106A6" w:rsidRDefault="001106A6" w:rsidP="001106A6">
      <w:r>
        <w:t xml:space="preserve"> (Accessed: 3 March 2026)</w:t>
      </w:r>
    </w:p>
    <w:p w14:paraId="41615331" w14:textId="77777777" w:rsidR="001106A6" w:rsidRDefault="001106A6" w:rsidP="001106A6">
      <w:r>
        <w:t>Historical Context</w:t>
      </w:r>
    </w:p>
    <w:p w14:paraId="4DC15305" w14:textId="2BD75E3C" w:rsidR="001106A6" w:rsidRDefault="001106A6" w:rsidP="001106A6">
      <w:r>
        <w:t xml:space="preserve">Foucault, M. (1961) Madness and Civilization: A History of Insanity in the Age of Reason. Routledge. (Not fully free online, but summary &amp; excerpts can be found at: </w:t>
      </w:r>
      <w:hyperlink r:id="rId18" w:history="1">
        <w:r w:rsidRPr="003803F5">
          <w:rPr>
            <w:rStyle w:val="Hyperlink"/>
          </w:rPr>
          <w:t>https://plato.stanford.edu/entries/foucault/</w:t>
        </w:r>
      </w:hyperlink>
    </w:p>
    <w:p w14:paraId="0AD04092" w14:textId="0C9AC6F4" w:rsidR="001106A6" w:rsidRPr="001106A6" w:rsidRDefault="001106A6" w:rsidP="001106A6">
      <w:r>
        <w:t xml:space="preserve"> (Accessed: 3 March 2026))</w:t>
      </w:r>
    </w:p>
    <w:p w14:paraId="728D146D" w14:textId="57D5C15F" w:rsidR="00DA4703" w:rsidRDefault="00DA4703">
      <w:pPr>
        <w:jc w:val="center"/>
      </w:pPr>
    </w:p>
    <w:sectPr w:rsidR="00DA4703" w:rsidSect="000470E7">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38895483">
    <w:abstractNumId w:val="8"/>
  </w:num>
  <w:num w:numId="2" w16cid:durableId="1632327506">
    <w:abstractNumId w:val="6"/>
  </w:num>
  <w:num w:numId="3" w16cid:durableId="143159659">
    <w:abstractNumId w:val="5"/>
  </w:num>
  <w:num w:numId="4" w16cid:durableId="1505242264">
    <w:abstractNumId w:val="4"/>
  </w:num>
  <w:num w:numId="5" w16cid:durableId="592587518">
    <w:abstractNumId w:val="7"/>
  </w:num>
  <w:num w:numId="6" w16cid:durableId="1256137671">
    <w:abstractNumId w:val="3"/>
  </w:num>
  <w:num w:numId="7" w16cid:durableId="1136412862">
    <w:abstractNumId w:val="2"/>
  </w:num>
  <w:num w:numId="8" w16cid:durableId="1012950276">
    <w:abstractNumId w:val="1"/>
  </w:num>
  <w:num w:numId="9" w16cid:durableId="988944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70E7"/>
    <w:rsid w:val="0006063C"/>
    <w:rsid w:val="001106A6"/>
    <w:rsid w:val="0015074B"/>
    <w:rsid w:val="00271B38"/>
    <w:rsid w:val="0029639D"/>
    <w:rsid w:val="00300578"/>
    <w:rsid w:val="00326F90"/>
    <w:rsid w:val="003C6FDD"/>
    <w:rsid w:val="00495BD5"/>
    <w:rsid w:val="00502F20"/>
    <w:rsid w:val="00625B86"/>
    <w:rsid w:val="00693B97"/>
    <w:rsid w:val="00703361"/>
    <w:rsid w:val="00822DFE"/>
    <w:rsid w:val="008F3F37"/>
    <w:rsid w:val="00AA1D8D"/>
    <w:rsid w:val="00B47730"/>
    <w:rsid w:val="00CB0664"/>
    <w:rsid w:val="00DA4703"/>
    <w:rsid w:val="00FA55A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C71973"/>
  <w14:defaultImageDpi w14:val="300"/>
  <w15:docId w15:val="{F9707841-E7D4-43AC-AC76-459577293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1106A6"/>
    <w:rPr>
      <w:color w:val="0000FF" w:themeColor="hyperlink"/>
      <w:u w:val="single"/>
    </w:rPr>
  </w:style>
  <w:style w:type="character" w:styleId="UnresolvedMention">
    <w:name w:val="Unresolved Mention"/>
    <w:basedOn w:val="DefaultParagraphFont"/>
    <w:uiPriority w:val="99"/>
    <w:semiHidden/>
    <w:unhideWhenUsed/>
    <w:rsid w:val="001106A6"/>
    <w:rPr>
      <w:color w:val="605E5C"/>
      <w:shd w:val="clear" w:color="auto" w:fill="E1DFDD"/>
    </w:rPr>
  </w:style>
  <w:style w:type="character" w:customStyle="1" w:styleId="NoSpacingChar">
    <w:name w:val="No Spacing Char"/>
    <w:basedOn w:val="DefaultParagraphFont"/>
    <w:link w:val="NoSpacing"/>
    <w:uiPriority w:val="1"/>
    <w:rsid w:val="000470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longtermplan.nhs.uk/" TargetMode="External"/><Relationship Id="rId18" Type="http://schemas.openxmlformats.org/officeDocument/2006/relationships/hyperlink" Target="https://plato.stanford.edu/entries/foucault/"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nice.org.uk/guidance/cg178" TargetMode="External"/><Relationship Id="rId17" Type="http://schemas.openxmlformats.org/officeDocument/2006/relationships/hyperlink" Target="https://global.oup.com/academic/product/shunned-9780198568789" TargetMode="External"/><Relationship Id="rId2" Type="http://schemas.openxmlformats.org/officeDocument/2006/relationships/numbering" Target="numbering.xml"/><Relationship Id="rId16" Type="http://schemas.openxmlformats.org/officeDocument/2006/relationships/hyperlink" Target="https://www.un.org/development/desa/disabilities/convention-on-the-rights-of-persons-with-disabilities.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icd.who.int/" TargetMode="External"/><Relationship Id="rId5" Type="http://schemas.openxmlformats.org/officeDocument/2006/relationships/webSettings" Target="webSettings.xml"/><Relationship Id="rId15" Type="http://schemas.openxmlformats.org/officeDocument/2006/relationships/hyperlink" Target="https://www.legislation.gov.uk/ukpga/2010/15/contents"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legislation.gov.uk/ukpga/1983/20/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876</Words>
  <Characters>4996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mariam begum 2321253</dc:title>
  <dc:subject/>
  <dc:creator>python-docx</dc:creator>
  <cp:keywords/>
  <dc:description>generated by python-docx</dc:description>
  <cp:lastModifiedBy>mariam begum</cp:lastModifiedBy>
  <cp:revision>8</cp:revision>
  <dcterms:created xsi:type="dcterms:W3CDTF">2026-03-06T12:03:00Z</dcterms:created>
  <dcterms:modified xsi:type="dcterms:W3CDTF">2026-03-06T12:19:00Z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65467960-ab44-4318-a355-fb8053ae4f4b</vt:lpwstr>
  </property>
</Properties>
</file>