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C17DC" w:rsidRDefault="00735D8A" w:rsidP="007E5725">
      <w:pPr>
        <w:pStyle w:val="Frspaiere"/>
        <w:spacing w:before="1540" w:after="240" w:line="360" w:lineRule="auto"/>
        <w:rPr>
          <w:rFonts w:asciiTheme="majorBidi" w:hAnsiTheme="majorBidi" w:cstheme="majorBidi"/>
          <w:color w:val="4F81BD" w:themeColor="accent1"/>
        </w:rPr>
      </w:pPr>
      <w:r>
        <w:rPr>
          <w:rFonts w:asciiTheme="majorBidi" w:hAnsiTheme="majorBidi" w:cstheme="majorBidi"/>
          <w:color w:val="4F81BD" w:themeColor="accent1"/>
        </w:rPr>
        <w:t xml:space="preserve">Student name: Adrian </w:t>
      </w:r>
      <w:proofErr w:type="spellStart"/>
      <w:r>
        <w:rPr>
          <w:rFonts w:asciiTheme="majorBidi" w:hAnsiTheme="majorBidi" w:cstheme="majorBidi"/>
          <w:color w:val="4F81BD" w:themeColor="accent1"/>
        </w:rPr>
        <w:t>Mihail</w:t>
      </w:r>
      <w:proofErr w:type="spellEnd"/>
      <w:r>
        <w:rPr>
          <w:rFonts w:asciiTheme="majorBidi" w:hAnsiTheme="majorBidi" w:cstheme="majorBidi"/>
          <w:color w:val="4F81BD" w:themeColor="accent1"/>
        </w:rPr>
        <w:t xml:space="preserve"> Pop</w:t>
      </w:r>
    </w:p>
    <w:p w:rsidR="00660F82" w:rsidRDefault="00735D8A" w:rsidP="007E5725">
      <w:pPr>
        <w:pStyle w:val="Frspaiere"/>
        <w:spacing w:before="1540" w:after="240" w:line="360" w:lineRule="auto"/>
        <w:rPr>
          <w:rFonts w:asciiTheme="majorBidi" w:hAnsiTheme="majorBidi" w:cstheme="majorBidi"/>
          <w:color w:val="4F81BD" w:themeColor="accent1"/>
        </w:rPr>
      </w:pPr>
      <w:r>
        <w:rPr>
          <w:rFonts w:asciiTheme="majorBidi" w:hAnsiTheme="majorBidi" w:cstheme="majorBidi"/>
          <w:color w:val="4F81BD" w:themeColor="accent1"/>
        </w:rPr>
        <w:t xml:space="preserve">Student </w:t>
      </w:r>
      <w:r w:rsidR="00476F0D">
        <w:rPr>
          <w:rFonts w:asciiTheme="majorBidi" w:hAnsiTheme="majorBidi" w:cstheme="majorBidi"/>
          <w:color w:val="4F81BD" w:themeColor="accent1"/>
        </w:rPr>
        <w:t xml:space="preserve">No: </w:t>
      </w:r>
      <w:hyperlink r:id="rId9" w:history="1">
        <w:r w:rsidR="00476F0D" w:rsidRPr="00F604DF">
          <w:rPr>
            <w:rStyle w:val="Hyperlink"/>
            <w:rFonts w:asciiTheme="majorBidi" w:hAnsiTheme="majorBidi" w:cstheme="majorBidi"/>
          </w:rPr>
          <w:t>2025566@student.uwtsd.ac.uk</w:t>
        </w:r>
      </w:hyperlink>
    </w:p>
    <w:p w:rsidR="00476F0D" w:rsidRDefault="00590686" w:rsidP="007E5725">
      <w:pPr>
        <w:pStyle w:val="Frspaiere"/>
        <w:spacing w:before="1540" w:after="240" w:line="360" w:lineRule="auto"/>
        <w:rPr>
          <w:rFonts w:asciiTheme="majorBidi" w:hAnsiTheme="majorBidi" w:cstheme="majorBidi"/>
          <w:color w:val="4F81BD" w:themeColor="accent1"/>
        </w:rPr>
      </w:pPr>
      <w:r>
        <w:rPr>
          <w:rFonts w:asciiTheme="majorBidi" w:hAnsiTheme="majorBidi" w:cstheme="majorBidi"/>
          <w:color w:val="4F81BD" w:themeColor="accent1"/>
        </w:rPr>
        <w:t>Module name: Financial Management</w:t>
      </w:r>
    </w:p>
    <w:p w:rsidR="00590686" w:rsidRDefault="009F47E3" w:rsidP="007E5725">
      <w:pPr>
        <w:pStyle w:val="Frspaiere"/>
        <w:spacing w:before="1540" w:after="240" w:line="360" w:lineRule="auto"/>
        <w:rPr>
          <w:rFonts w:asciiTheme="majorBidi" w:hAnsiTheme="majorBidi" w:cstheme="majorBidi"/>
          <w:color w:val="4F81BD" w:themeColor="accent1"/>
        </w:rPr>
      </w:pPr>
      <w:r>
        <w:rPr>
          <w:rFonts w:asciiTheme="majorBidi" w:hAnsiTheme="majorBidi" w:cstheme="majorBidi"/>
          <w:color w:val="4F81BD" w:themeColor="accent1"/>
        </w:rPr>
        <w:t xml:space="preserve">Module Code: </w:t>
      </w:r>
      <w:r w:rsidR="00FA5A10">
        <w:rPr>
          <w:rFonts w:asciiTheme="majorBidi" w:hAnsiTheme="majorBidi" w:cstheme="majorBidi"/>
          <w:color w:val="4F81BD" w:themeColor="accent1"/>
        </w:rPr>
        <w:t>BMIH5001</w:t>
      </w:r>
    </w:p>
    <w:p w:rsidR="00FA5A10" w:rsidRPr="007E5725" w:rsidRDefault="00EC4B05" w:rsidP="007E5725">
      <w:pPr>
        <w:pStyle w:val="Frspaiere"/>
        <w:spacing w:before="1540" w:after="240" w:line="360" w:lineRule="auto"/>
        <w:rPr>
          <w:rFonts w:asciiTheme="majorBidi" w:hAnsiTheme="majorBidi" w:cstheme="majorBidi"/>
          <w:color w:val="4F81BD" w:themeColor="accent1"/>
        </w:rPr>
      </w:pPr>
      <w:r>
        <w:rPr>
          <w:rFonts w:asciiTheme="majorBidi" w:hAnsiTheme="majorBidi" w:cstheme="majorBidi"/>
          <w:color w:val="4F81BD" w:themeColor="accent1"/>
        </w:rPr>
        <w:t>Lectures name:</w:t>
      </w:r>
      <w:r w:rsidR="009B77A7">
        <w:rPr>
          <w:rFonts w:asciiTheme="majorBidi" w:hAnsiTheme="majorBidi" w:cstheme="majorBidi"/>
          <w:color w:val="4F81BD" w:themeColor="accent1"/>
        </w:rPr>
        <w:t xml:space="preserve"> Dale Clarke</w:t>
      </w:r>
    </w:p>
    <w:p w:rsidR="00D45A85" w:rsidRPr="00D45A85" w:rsidRDefault="00D45A85" w:rsidP="00D45A85"/>
    <w:p w:rsidR="00E624CD" w:rsidRPr="00A43451" w:rsidRDefault="00E624CD" w:rsidP="00A43451">
      <w:pPr>
        <w:pStyle w:val="Titlu1"/>
        <w:rPr>
          <w:rFonts w:cstheme="minorBidi"/>
          <w:sz w:val="24"/>
          <w:szCs w:val="24"/>
        </w:rPr>
      </w:pPr>
      <w:r w:rsidRPr="00D76D41">
        <w:br w:type="page"/>
      </w:r>
      <w:bookmarkStart w:id="0" w:name="_Toc120286201"/>
      <w:bookmarkStart w:id="1" w:name="_Toc120985393"/>
      <w:r w:rsidRPr="00A43451">
        <w:rPr>
          <w:rFonts w:cstheme="minorBidi"/>
          <w:sz w:val="24"/>
          <w:szCs w:val="24"/>
        </w:rPr>
        <w:t>Executive Summary</w:t>
      </w:r>
      <w:bookmarkEnd w:id="0"/>
      <w:bookmarkEnd w:id="1"/>
    </w:p>
    <w:p w:rsidR="00E624CD" w:rsidRPr="00A43451" w:rsidRDefault="00D004B0" w:rsidP="00A43451">
      <w:pPr>
        <w:jc w:val="both"/>
        <w:rPr>
          <w:szCs w:val="24"/>
        </w:rPr>
      </w:pPr>
      <w:r w:rsidRPr="00A43451">
        <w:rPr>
          <w:szCs w:val="24"/>
        </w:rPr>
        <w:t xml:space="preserve">The purpose of this report is to conduct a detailed analysis of the financial statements of the hospitality </w:t>
      </w:r>
      <w:r w:rsidR="00C55564" w:rsidRPr="00A43451">
        <w:rPr>
          <w:szCs w:val="24"/>
        </w:rPr>
        <w:t>company</w:t>
      </w:r>
      <w:r w:rsidRPr="00A43451">
        <w:rPr>
          <w:szCs w:val="24"/>
        </w:rPr>
        <w:t xml:space="preserve"> Marriott International by the medium of profitability, </w:t>
      </w:r>
      <w:r w:rsidR="00C55564" w:rsidRPr="00A43451">
        <w:rPr>
          <w:szCs w:val="24"/>
        </w:rPr>
        <w:t>gearing</w:t>
      </w:r>
      <w:r w:rsidRPr="00A43451">
        <w:rPr>
          <w:szCs w:val="24"/>
        </w:rPr>
        <w:t xml:space="preserve"> and liquidity ratios. Interpretation of the ratios of the </w:t>
      </w:r>
      <w:r w:rsidR="00C55564" w:rsidRPr="00A43451">
        <w:rPr>
          <w:szCs w:val="24"/>
        </w:rPr>
        <w:t>company</w:t>
      </w:r>
      <w:r w:rsidRPr="00A43451">
        <w:rPr>
          <w:szCs w:val="24"/>
        </w:rPr>
        <w:t xml:space="preserve"> assisted in determining </w:t>
      </w:r>
      <w:r w:rsidR="00E15349" w:rsidRPr="00A43451">
        <w:rPr>
          <w:szCs w:val="24"/>
        </w:rPr>
        <w:t xml:space="preserve">the </w:t>
      </w:r>
      <w:r w:rsidRPr="00A43451">
        <w:rPr>
          <w:szCs w:val="24"/>
        </w:rPr>
        <w:t xml:space="preserve">extremely poor liquidity present in its context at the end of 2021. However, substantial improvements could be recognised in the </w:t>
      </w:r>
      <w:r w:rsidR="00C55564" w:rsidRPr="00A43451">
        <w:rPr>
          <w:szCs w:val="24"/>
        </w:rPr>
        <w:t>company’s profitability and gearing ratios in the last two years. The other discussions in the report involve the identification of the various benefits and limitations that are related to ratio analysis. A range of ways in which ratios are important for decision-making in a company could be determined.</w:t>
      </w:r>
      <w:r w:rsidR="00E624CD" w:rsidRPr="00A43451">
        <w:rPr>
          <w:szCs w:val="24"/>
        </w:rPr>
        <w:br w:type="page"/>
      </w:r>
    </w:p>
    <w:p w:rsidR="00F90531" w:rsidRPr="00A43451" w:rsidRDefault="00F90531" w:rsidP="00A43451">
      <w:pPr>
        <w:pStyle w:val="Tabeldefiguri"/>
        <w:tabs>
          <w:tab w:val="right" w:leader="dot" w:pos="9016"/>
        </w:tabs>
        <w:jc w:val="center"/>
        <w:rPr>
          <w:color w:val="0070C0"/>
          <w:szCs w:val="24"/>
        </w:rPr>
      </w:pPr>
      <w:r w:rsidRPr="00A43451">
        <w:rPr>
          <w:color w:val="0070C0"/>
          <w:szCs w:val="24"/>
        </w:rPr>
        <w:t>Table of Contents</w:t>
      </w:r>
    </w:p>
    <w:p w:rsidR="00F90531" w:rsidRPr="00A43451" w:rsidRDefault="003C7672" w:rsidP="00A43451">
      <w:pPr>
        <w:pStyle w:val="Tabeldefiguri"/>
        <w:tabs>
          <w:tab w:val="right" w:leader="dot" w:pos="9016"/>
        </w:tabs>
        <w:rPr>
          <w:noProof/>
          <w:szCs w:val="24"/>
        </w:rPr>
      </w:pPr>
      <w:r w:rsidRPr="00A43451">
        <w:rPr>
          <w:szCs w:val="24"/>
        </w:rPr>
        <w:fldChar w:fldCharType="begin"/>
      </w:r>
      <w:r w:rsidR="00F90531" w:rsidRPr="00A43451">
        <w:rPr>
          <w:szCs w:val="24"/>
        </w:rPr>
        <w:instrText xml:space="preserve"> TOC \h \z \t "Heading 1" \c </w:instrText>
      </w:r>
      <w:r w:rsidRPr="00A43451">
        <w:rPr>
          <w:szCs w:val="24"/>
        </w:rPr>
        <w:fldChar w:fldCharType="separate"/>
      </w:r>
      <w:hyperlink w:anchor="_Toc120985393" w:history="1">
        <w:r w:rsidR="00F90531" w:rsidRPr="00A43451">
          <w:rPr>
            <w:rStyle w:val="Hyperlink"/>
            <w:noProof/>
            <w:szCs w:val="24"/>
          </w:rPr>
          <w:t>Executive Summary</w:t>
        </w:r>
        <w:r w:rsidR="00F90531" w:rsidRPr="00A43451">
          <w:rPr>
            <w:noProof/>
            <w:webHidden/>
            <w:szCs w:val="24"/>
          </w:rPr>
          <w:tab/>
        </w:r>
        <w:r w:rsidRPr="00A43451">
          <w:rPr>
            <w:noProof/>
            <w:webHidden/>
            <w:szCs w:val="24"/>
          </w:rPr>
          <w:fldChar w:fldCharType="begin"/>
        </w:r>
        <w:r w:rsidR="00F90531" w:rsidRPr="00A43451">
          <w:rPr>
            <w:noProof/>
            <w:webHidden/>
            <w:szCs w:val="24"/>
          </w:rPr>
          <w:instrText xml:space="preserve"> PAGEREF _Toc120985393 \h </w:instrText>
        </w:r>
        <w:r w:rsidRPr="00A43451">
          <w:rPr>
            <w:noProof/>
            <w:webHidden/>
            <w:szCs w:val="24"/>
          </w:rPr>
        </w:r>
        <w:r w:rsidRPr="00A43451">
          <w:rPr>
            <w:noProof/>
            <w:webHidden/>
            <w:szCs w:val="24"/>
          </w:rPr>
          <w:fldChar w:fldCharType="separate"/>
        </w:r>
        <w:r w:rsidR="00F90531" w:rsidRPr="00A43451">
          <w:rPr>
            <w:noProof/>
            <w:webHidden/>
            <w:szCs w:val="24"/>
          </w:rPr>
          <w:t>3</w:t>
        </w:r>
        <w:r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4" w:history="1">
        <w:r w:rsidR="00F90531" w:rsidRPr="00A43451">
          <w:rPr>
            <w:rStyle w:val="Hyperlink"/>
            <w:noProof/>
            <w:szCs w:val="24"/>
          </w:rPr>
          <w:t>Introduction</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_Toc120985394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5</w:t>
        </w:r>
        <w:r w:rsidR="003C7672"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5" w:history="1">
        <w:r w:rsidR="00F90531" w:rsidRPr="00A43451">
          <w:rPr>
            <w:rStyle w:val="Hyperlink"/>
            <w:noProof/>
            <w:szCs w:val="24"/>
          </w:rPr>
          <w:t>Financial Analysis Trends</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_Toc120985395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6</w:t>
        </w:r>
        <w:r w:rsidR="003C7672"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6" w:history="1">
        <w:r w:rsidR="00F90531" w:rsidRPr="00A43451">
          <w:rPr>
            <w:rStyle w:val="Hyperlink"/>
            <w:noProof/>
            <w:szCs w:val="24"/>
          </w:rPr>
          <w:t>Knowledge from Ratio Analysis</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_Toc120985396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11</w:t>
        </w:r>
        <w:r w:rsidR="003C7672"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7" w:history="1">
        <w:r w:rsidR="00F90531" w:rsidRPr="00A43451">
          <w:rPr>
            <w:rStyle w:val="Hyperlink"/>
            <w:noProof/>
            <w:szCs w:val="24"/>
          </w:rPr>
          <w:t>Benefits and Limitations of Ratio Analysis</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_Toc120985397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13</w:t>
        </w:r>
        <w:r w:rsidR="003C7672"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8" w:history="1">
        <w:r w:rsidR="00F90531" w:rsidRPr="00A43451">
          <w:rPr>
            <w:rStyle w:val="Hyperlink"/>
            <w:noProof/>
            <w:szCs w:val="24"/>
          </w:rPr>
          <w:t>Conclusion</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_Toc120985398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15</w:t>
        </w:r>
        <w:r w:rsidR="003C7672" w:rsidRPr="00A43451">
          <w:rPr>
            <w:noProof/>
            <w:webHidden/>
            <w:szCs w:val="24"/>
          </w:rPr>
          <w:fldChar w:fldCharType="end"/>
        </w:r>
      </w:hyperlink>
    </w:p>
    <w:p w:rsidR="00F90531" w:rsidRPr="00A43451" w:rsidRDefault="001E1E8B" w:rsidP="00A43451">
      <w:pPr>
        <w:pStyle w:val="Tabeldefiguri"/>
        <w:tabs>
          <w:tab w:val="right" w:leader="dot" w:pos="9016"/>
        </w:tabs>
        <w:rPr>
          <w:noProof/>
          <w:szCs w:val="24"/>
        </w:rPr>
      </w:pPr>
      <w:hyperlink w:anchor="_Toc120985399" w:history="1">
        <w:r w:rsidR="00F90531" w:rsidRPr="00A43451">
          <w:rPr>
            <w:rStyle w:val="Hyperlink"/>
            <w:noProof/>
            <w:szCs w:val="24"/>
          </w:rPr>
          <w:t>Bibliography</w:t>
        </w:r>
        <w:r w:rsidR="00F90531" w:rsidRPr="00A43451">
          <w:rPr>
            <w:noProof/>
            <w:webHidden/>
            <w:szCs w:val="24"/>
          </w:rPr>
          <w:tab/>
        </w:r>
        <w:r w:rsidR="003C7672" w:rsidRPr="00A43451">
          <w:rPr>
            <w:noProof/>
            <w:webHidden/>
            <w:szCs w:val="24"/>
          </w:rPr>
          <w:fldChar w:fldCharType="begin"/>
        </w:r>
        <w:r w:rsidR="00F90531" w:rsidRPr="00A43451">
          <w:rPr>
            <w:noProof/>
            <w:webHidden/>
            <w:szCs w:val="24"/>
          </w:rPr>
          <w:instrText xml:space="preserve"> PAGEREF _Toc120985399 \h </w:instrText>
        </w:r>
        <w:r w:rsidR="003C7672" w:rsidRPr="00A43451">
          <w:rPr>
            <w:noProof/>
            <w:webHidden/>
            <w:szCs w:val="24"/>
          </w:rPr>
        </w:r>
        <w:r w:rsidR="003C7672" w:rsidRPr="00A43451">
          <w:rPr>
            <w:noProof/>
            <w:webHidden/>
            <w:szCs w:val="24"/>
          </w:rPr>
          <w:fldChar w:fldCharType="separate"/>
        </w:r>
        <w:r w:rsidR="00F90531" w:rsidRPr="00A43451">
          <w:rPr>
            <w:noProof/>
            <w:webHidden/>
            <w:szCs w:val="24"/>
          </w:rPr>
          <w:t>16</w:t>
        </w:r>
        <w:r w:rsidR="003C7672" w:rsidRPr="00A43451">
          <w:rPr>
            <w:noProof/>
            <w:webHidden/>
            <w:szCs w:val="24"/>
          </w:rPr>
          <w:fldChar w:fldCharType="end"/>
        </w:r>
      </w:hyperlink>
    </w:p>
    <w:p w:rsidR="00F90531" w:rsidRPr="00A43451" w:rsidRDefault="003C7672" w:rsidP="00A43451">
      <w:pPr>
        <w:rPr>
          <w:rFonts w:eastAsiaTheme="majorEastAsia"/>
          <w:bCs/>
          <w:color w:val="0070C0"/>
          <w:szCs w:val="24"/>
        </w:rPr>
      </w:pPr>
      <w:r w:rsidRPr="00A43451">
        <w:rPr>
          <w:szCs w:val="24"/>
        </w:rPr>
        <w:fldChar w:fldCharType="end"/>
      </w:r>
      <w:r w:rsidR="00F90531" w:rsidRPr="00A43451">
        <w:rPr>
          <w:szCs w:val="24"/>
        </w:rPr>
        <w:br w:type="page"/>
      </w:r>
    </w:p>
    <w:p w:rsidR="00E624CD" w:rsidRPr="00A43451" w:rsidRDefault="00E624CD" w:rsidP="00A43451">
      <w:pPr>
        <w:pStyle w:val="Titlu1"/>
        <w:rPr>
          <w:rFonts w:cstheme="minorBidi"/>
          <w:sz w:val="24"/>
          <w:szCs w:val="24"/>
        </w:rPr>
      </w:pPr>
      <w:bookmarkStart w:id="2" w:name="_Toc120985394"/>
      <w:r w:rsidRPr="00A43451">
        <w:rPr>
          <w:rFonts w:cstheme="minorBidi"/>
          <w:sz w:val="24"/>
          <w:szCs w:val="24"/>
        </w:rPr>
        <w:t>Introduction</w:t>
      </w:r>
      <w:bookmarkEnd w:id="2"/>
    </w:p>
    <w:p w:rsidR="00E624CD" w:rsidRPr="00A43451" w:rsidRDefault="009A06EB" w:rsidP="00A43451">
      <w:pPr>
        <w:jc w:val="both"/>
        <w:rPr>
          <w:szCs w:val="24"/>
        </w:rPr>
      </w:pPr>
      <w:r w:rsidRPr="00A43451">
        <w:rPr>
          <w:szCs w:val="24"/>
        </w:rPr>
        <w:t xml:space="preserve">There is </w:t>
      </w:r>
      <w:r w:rsidR="00D93A0D" w:rsidRPr="00A43451">
        <w:rPr>
          <w:szCs w:val="24"/>
        </w:rPr>
        <w:t xml:space="preserve">great relevance of financial management in businesses from all sectors and industries with the hospitality industry being no exception. Ratios are one of the key tools or metrics, which help companies in the attainment of strong financial management. The purpose of this study is analysing the financial statements of one of the most renowned hospitality companies in the world, which is Marriott International. </w:t>
      </w:r>
      <w:r w:rsidR="00F643C4" w:rsidRPr="00A43451">
        <w:rPr>
          <w:szCs w:val="24"/>
        </w:rPr>
        <w:t>Marriott International is a multinational company from America that licenses, operates as well as franchises lodging services for timeshare, hotel and residential properties (Marriott International, 2022). This hospitality company was found in 1927, which now owns a portfolio of above 8000 properties and 30 brands. In this study, the financial statement analysis of Marriott International is going to be conducted by the medium of using three types of ratios, which are profitability ratios, gearing ratios and liquidity ratios. Besides this, benefits and limitations present in ratio analysis will be discussed and the importance of ratios in decision-making will be analysed.</w:t>
      </w:r>
      <w:r w:rsidR="00E624CD" w:rsidRPr="00A43451">
        <w:rPr>
          <w:szCs w:val="24"/>
        </w:rPr>
        <w:br w:type="page"/>
      </w:r>
    </w:p>
    <w:p w:rsidR="00E624CD" w:rsidRPr="00A43451" w:rsidRDefault="00E624CD" w:rsidP="00A43451">
      <w:pPr>
        <w:pStyle w:val="Titlu1"/>
        <w:rPr>
          <w:rFonts w:cstheme="minorBidi"/>
          <w:sz w:val="24"/>
          <w:szCs w:val="24"/>
        </w:rPr>
      </w:pPr>
      <w:bookmarkStart w:id="3" w:name="_Toc120286203"/>
      <w:bookmarkStart w:id="4" w:name="_Toc120985395"/>
      <w:r w:rsidRPr="00A43451">
        <w:rPr>
          <w:rFonts w:cstheme="minorBidi"/>
          <w:sz w:val="24"/>
          <w:szCs w:val="24"/>
        </w:rPr>
        <w:t>Financial Analysis Trends</w:t>
      </w:r>
      <w:bookmarkEnd w:id="3"/>
      <w:bookmarkEnd w:id="4"/>
    </w:p>
    <w:p w:rsidR="00E624CD" w:rsidRPr="00A43451" w:rsidRDefault="00E624CD" w:rsidP="00A43451">
      <w:pPr>
        <w:pStyle w:val="Titlu2"/>
        <w:rPr>
          <w:rFonts w:cstheme="minorBidi"/>
          <w:szCs w:val="24"/>
        </w:rPr>
      </w:pPr>
      <w:bookmarkStart w:id="5" w:name="_Toc120286204"/>
      <w:r w:rsidRPr="00A43451">
        <w:rPr>
          <w:rFonts w:cstheme="minorBidi"/>
          <w:szCs w:val="24"/>
        </w:rPr>
        <w:t>Profitability</w:t>
      </w:r>
      <w:bookmarkEnd w:id="5"/>
    </w:p>
    <w:p w:rsidR="00E624CD" w:rsidRPr="00A43451" w:rsidRDefault="00C61A1F" w:rsidP="00A43451">
      <w:pPr>
        <w:jc w:val="both"/>
        <w:rPr>
          <w:szCs w:val="24"/>
        </w:rPr>
      </w:pPr>
      <w:r w:rsidRPr="00A43451">
        <w:rPr>
          <w:szCs w:val="24"/>
        </w:rPr>
        <w:t>The category of ratios calculated in companies, which indicate their capacity of earning or generating profits, is called profitability ratios</w:t>
      </w:r>
      <w:r w:rsidR="005E3527" w:rsidRPr="00A43451">
        <w:rPr>
          <w:szCs w:val="24"/>
        </w:rPr>
        <w:t xml:space="preserve"> (Amanda, 2019)</w:t>
      </w:r>
      <w:r w:rsidRPr="00A43451">
        <w:rPr>
          <w:szCs w:val="24"/>
        </w:rPr>
        <w:t xml:space="preserve">. In the table and graph below, the three primary profitability ratios determined for Marriott International have been summarised – </w:t>
      </w:r>
    </w:p>
    <w:tbl>
      <w:tblPr>
        <w:tblStyle w:val="Tabelgril"/>
        <w:tblW w:w="5000" w:type="pct"/>
        <w:tblLook w:val="04A0" w:firstRow="1" w:lastRow="0" w:firstColumn="1" w:lastColumn="0" w:noHBand="0" w:noVBand="1"/>
      </w:tblPr>
      <w:tblGrid>
        <w:gridCol w:w="5474"/>
        <w:gridCol w:w="1771"/>
        <w:gridCol w:w="1771"/>
      </w:tblGrid>
      <w:tr w:rsidR="00E068D2" w:rsidRPr="00A43451" w:rsidTr="00E068D2">
        <w:trPr>
          <w:trHeight w:val="300"/>
        </w:trPr>
        <w:tc>
          <w:tcPr>
            <w:tcW w:w="3035" w:type="pct"/>
            <w:noWrap/>
            <w:hideMark/>
          </w:tcPr>
          <w:p w:rsidR="00E068D2" w:rsidRPr="00A43451" w:rsidRDefault="00E068D2" w:rsidP="00A43451">
            <w:pPr>
              <w:jc w:val="both"/>
              <w:rPr>
                <w:b/>
                <w:bCs/>
                <w:szCs w:val="24"/>
              </w:rPr>
            </w:pPr>
            <w:r w:rsidRPr="00A43451">
              <w:rPr>
                <w:b/>
                <w:bCs/>
                <w:szCs w:val="24"/>
              </w:rPr>
              <w:t>Profitability ratios</w:t>
            </w:r>
          </w:p>
        </w:tc>
        <w:tc>
          <w:tcPr>
            <w:tcW w:w="982" w:type="pct"/>
            <w:noWrap/>
            <w:hideMark/>
          </w:tcPr>
          <w:p w:rsidR="00E068D2" w:rsidRPr="00A43451" w:rsidRDefault="00E068D2" w:rsidP="00A43451">
            <w:pPr>
              <w:tabs>
                <w:tab w:val="center" w:pos="799"/>
                <w:tab w:val="left" w:pos="1440"/>
              </w:tabs>
              <w:rPr>
                <w:b/>
                <w:bCs/>
                <w:szCs w:val="24"/>
              </w:rPr>
            </w:pPr>
            <w:r w:rsidRPr="00A43451">
              <w:rPr>
                <w:b/>
                <w:bCs/>
                <w:szCs w:val="24"/>
              </w:rPr>
              <w:tab/>
              <w:t>2020</w:t>
            </w:r>
            <w:r w:rsidRPr="00A43451">
              <w:rPr>
                <w:b/>
                <w:bCs/>
                <w:szCs w:val="24"/>
              </w:rPr>
              <w:tab/>
            </w:r>
          </w:p>
        </w:tc>
        <w:tc>
          <w:tcPr>
            <w:tcW w:w="982" w:type="pct"/>
            <w:noWrap/>
            <w:hideMark/>
          </w:tcPr>
          <w:p w:rsidR="00E068D2" w:rsidRPr="00A43451" w:rsidRDefault="00E068D2" w:rsidP="00A43451">
            <w:pPr>
              <w:jc w:val="center"/>
              <w:rPr>
                <w:b/>
                <w:bCs/>
                <w:szCs w:val="24"/>
              </w:rPr>
            </w:pPr>
            <w:r w:rsidRPr="00A43451">
              <w:rPr>
                <w:b/>
                <w:bCs/>
                <w:szCs w:val="24"/>
              </w:rPr>
              <w:t>2021</w:t>
            </w:r>
          </w:p>
        </w:tc>
      </w:tr>
      <w:tr w:rsidR="00E068D2" w:rsidRPr="00A43451" w:rsidTr="00E068D2">
        <w:trPr>
          <w:trHeight w:val="300"/>
        </w:trPr>
        <w:tc>
          <w:tcPr>
            <w:tcW w:w="3035" w:type="pct"/>
            <w:noWrap/>
            <w:hideMark/>
          </w:tcPr>
          <w:p w:rsidR="00E068D2" w:rsidRPr="00A43451" w:rsidRDefault="00E068D2" w:rsidP="00A43451">
            <w:pPr>
              <w:jc w:val="both"/>
              <w:rPr>
                <w:szCs w:val="24"/>
              </w:rPr>
            </w:pPr>
            <w:r w:rsidRPr="00A43451">
              <w:rPr>
                <w:szCs w:val="24"/>
              </w:rPr>
              <w:t>Gross margin</w:t>
            </w:r>
          </w:p>
        </w:tc>
        <w:tc>
          <w:tcPr>
            <w:tcW w:w="982" w:type="pct"/>
            <w:noWrap/>
            <w:hideMark/>
          </w:tcPr>
          <w:p w:rsidR="00E068D2" w:rsidRPr="00A43451" w:rsidRDefault="00E068D2" w:rsidP="00A43451">
            <w:pPr>
              <w:jc w:val="center"/>
              <w:rPr>
                <w:szCs w:val="24"/>
              </w:rPr>
            </w:pPr>
            <w:r w:rsidRPr="00A43451">
              <w:rPr>
                <w:szCs w:val="24"/>
              </w:rPr>
              <w:t>13.8019</w:t>
            </w:r>
          </w:p>
        </w:tc>
        <w:tc>
          <w:tcPr>
            <w:tcW w:w="982" w:type="pct"/>
            <w:noWrap/>
            <w:hideMark/>
          </w:tcPr>
          <w:p w:rsidR="00E068D2" w:rsidRPr="00A43451" w:rsidRDefault="00E068D2" w:rsidP="00A43451">
            <w:pPr>
              <w:jc w:val="center"/>
              <w:rPr>
                <w:szCs w:val="24"/>
              </w:rPr>
            </w:pPr>
            <w:r w:rsidRPr="00A43451">
              <w:rPr>
                <w:szCs w:val="24"/>
              </w:rPr>
              <w:t>20.2136</w:t>
            </w:r>
          </w:p>
        </w:tc>
      </w:tr>
      <w:tr w:rsidR="00E068D2" w:rsidRPr="00A43451" w:rsidTr="00E068D2">
        <w:trPr>
          <w:trHeight w:val="300"/>
        </w:trPr>
        <w:tc>
          <w:tcPr>
            <w:tcW w:w="3035" w:type="pct"/>
            <w:noWrap/>
            <w:hideMark/>
          </w:tcPr>
          <w:p w:rsidR="00E068D2" w:rsidRPr="00A43451" w:rsidRDefault="00E068D2" w:rsidP="00A43451">
            <w:pPr>
              <w:jc w:val="both"/>
              <w:rPr>
                <w:szCs w:val="24"/>
              </w:rPr>
            </w:pPr>
            <w:r w:rsidRPr="00A43451">
              <w:rPr>
                <w:szCs w:val="24"/>
              </w:rPr>
              <w:t>Operating margin</w:t>
            </w:r>
          </w:p>
        </w:tc>
        <w:tc>
          <w:tcPr>
            <w:tcW w:w="982" w:type="pct"/>
            <w:noWrap/>
            <w:hideMark/>
          </w:tcPr>
          <w:p w:rsidR="00E068D2" w:rsidRPr="00A43451" w:rsidRDefault="00E068D2" w:rsidP="00A43451">
            <w:pPr>
              <w:jc w:val="center"/>
              <w:rPr>
                <w:szCs w:val="24"/>
              </w:rPr>
            </w:pPr>
            <w:r w:rsidRPr="00A43451">
              <w:rPr>
                <w:szCs w:val="24"/>
              </w:rPr>
              <w:t>0.7946</w:t>
            </w:r>
          </w:p>
        </w:tc>
        <w:tc>
          <w:tcPr>
            <w:tcW w:w="982" w:type="pct"/>
            <w:noWrap/>
            <w:hideMark/>
          </w:tcPr>
          <w:p w:rsidR="00E068D2" w:rsidRPr="00A43451" w:rsidRDefault="00E068D2" w:rsidP="00A43451">
            <w:pPr>
              <w:jc w:val="center"/>
              <w:rPr>
                <w:szCs w:val="24"/>
              </w:rPr>
            </w:pPr>
            <w:r w:rsidRPr="00A43451">
              <w:rPr>
                <w:szCs w:val="24"/>
              </w:rPr>
              <w:t>12.629</w:t>
            </w:r>
          </w:p>
        </w:tc>
      </w:tr>
      <w:tr w:rsidR="00E068D2" w:rsidRPr="00A43451" w:rsidTr="00E068D2">
        <w:trPr>
          <w:trHeight w:val="300"/>
        </w:trPr>
        <w:tc>
          <w:tcPr>
            <w:tcW w:w="3035" w:type="pct"/>
            <w:noWrap/>
            <w:hideMark/>
          </w:tcPr>
          <w:p w:rsidR="00E068D2" w:rsidRPr="00A43451" w:rsidRDefault="00E068D2" w:rsidP="00A43451">
            <w:pPr>
              <w:jc w:val="both"/>
              <w:rPr>
                <w:szCs w:val="24"/>
              </w:rPr>
            </w:pPr>
            <w:r w:rsidRPr="00A43451">
              <w:rPr>
                <w:szCs w:val="24"/>
              </w:rPr>
              <w:t>Net profit margin</w:t>
            </w:r>
          </w:p>
        </w:tc>
        <w:tc>
          <w:tcPr>
            <w:tcW w:w="982" w:type="pct"/>
            <w:noWrap/>
            <w:hideMark/>
          </w:tcPr>
          <w:p w:rsidR="00E068D2" w:rsidRPr="00A43451" w:rsidRDefault="00E068D2" w:rsidP="00A43451">
            <w:pPr>
              <w:jc w:val="center"/>
              <w:rPr>
                <w:szCs w:val="24"/>
              </w:rPr>
            </w:pPr>
            <w:r w:rsidRPr="00A43451">
              <w:rPr>
                <w:szCs w:val="24"/>
              </w:rPr>
              <w:t>-2.5258</w:t>
            </w:r>
          </w:p>
        </w:tc>
        <w:tc>
          <w:tcPr>
            <w:tcW w:w="982" w:type="pct"/>
            <w:noWrap/>
            <w:hideMark/>
          </w:tcPr>
          <w:p w:rsidR="00E068D2" w:rsidRPr="00A43451" w:rsidRDefault="00E068D2" w:rsidP="00A43451">
            <w:pPr>
              <w:jc w:val="center"/>
              <w:rPr>
                <w:szCs w:val="24"/>
              </w:rPr>
            </w:pPr>
            <w:r w:rsidRPr="00A43451">
              <w:rPr>
                <w:szCs w:val="24"/>
              </w:rPr>
              <w:t>7.931</w:t>
            </w:r>
          </w:p>
        </w:tc>
      </w:tr>
    </w:tbl>
    <w:p w:rsidR="00E068D2" w:rsidRPr="00A43451" w:rsidRDefault="00E068D2" w:rsidP="00A43451">
      <w:pPr>
        <w:jc w:val="both"/>
        <w:rPr>
          <w:szCs w:val="24"/>
        </w:rPr>
      </w:pPr>
    </w:p>
    <w:p w:rsidR="00E068D2" w:rsidRPr="00A43451" w:rsidRDefault="00730A74" w:rsidP="00A43451">
      <w:pPr>
        <w:jc w:val="center"/>
        <w:rPr>
          <w:szCs w:val="24"/>
        </w:rPr>
      </w:pPr>
      <w:r w:rsidRPr="00A43451">
        <w:rPr>
          <w:noProof/>
          <w:szCs w:val="24"/>
          <w:lang w:val="en-US"/>
        </w:rPr>
        <w:drawing>
          <wp:inline distT="0" distB="0" distL="0" distR="0">
            <wp:extent cx="4572000" cy="2743200"/>
            <wp:effectExtent l="1905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068D2" w:rsidRPr="00A43451" w:rsidRDefault="005E3527" w:rsidP="00A43451">
      <w:pPr>
        <w:pStyle w:val="Legend"/>
        <w:jc w:val="center"/>
        <w:rPr>
          <w:szCs w:val="24"/>
        </w:rPr>
      </w:pPr>
      <w:r w:rsidRPr="00A43451">
        <w:rPr>
          <w:szCs w:val="24"/>
        </w:rPr>
        <w:t xml:space="preserve">Figure </w:t>
      </w:r>
      <w:r w:rsidR="003C7672" w:rsidRPr="00A43451">
        <w:rPr>
          <w:szCs w:val="24"/>
        </w:rPr>
        <w:fldChar w:fldCharType="begin"/>
      </w:r>
      <w:r w:rsidR="00E36196" w:rsidRPr="00A43451">
        <w:rPr>
          <w:szCs w:val="24"/>
        </w:rPr>
        <w:instrText xml:space="preserve"> SEQ Figure \* ARABIC </w:instrText>
      </w:r>
      <w:r w:rsidR="003C7672" w:rsidRPr="00A43451">
        <w:rPr>
          <w:szCs w:val="24"/>
        </w:rPr>
        <w:fldChar w:fldCharType="separate"/>
      </w:r>
      <w:r w:rsidRPr="00A43451">
        <w:rPr>
          <w:noProof/>
          <w:szCs w:val="24"/>
        </w:rPr>
        <w:t>1</w:t>
      </w:r>
      <w:r w:rsidR="003C7672" w:rsidRPr="00A43451">
        <w:rPr>
          <w:szCs w:val="24"/>
        </w:rPr>
        <w:fldChar w:fldCharType="end"/>
      </w:r>
      <w:r w:rsidRPr="00A43451">
        <w:rPr>
          <w:szCs w:val="24"/>
          <w:lang w:val="en-IN"/>
        </w:rPr>
        <w:t>:</w:t>
      </w:r>
      <w:r w:rsidRPr="00A43451">
        <w:rPr>
          <w:szCs w:val="24"/>
        </w:rPr>
        <w:t xml:space="preserve"> Figure showing trends in profitability ratios</w:t>
      </w:r>
    </w:p>
    <w:p w:rsidR="00C61A1F" w:rsidRPr="00A43451" w:rsidRDefault="002D2516" w:rsidP="00A43451">
      <w:pPr>
        <w:jc w:val="both"/>
        <w:rPr>
          <w:szCs w:val="24"/>
        </w:rPr>
      </w:pPr>
      <w:r w:rsidRPr="00A43451">
        <w:rPr>
          <w:szCs w:val="24"/>
        </w:rPr>
        <w:t xml:space="preserve">The profitability ratios considered above for Marriott International reflects that there has been a significant increase in its gross, operating and net profit margins in 2021 as compared to 2020. All these ratios show an extremely poor performance in 2020 with the net profit margin having negative figure in this year. </w:t>
      </w:r>
      <w:r w:rsidR="00A90113" w:rsidRPr="00A43451">
        <w:rPr>
          <w:szCs w:val="24"/>
        </w:rPr>
        <w:t xml:space="preserve">However, its gross, operating and net profit margins successfully show increasing trends in 2021 and figures determined for this year show an adequate profit earned in this company. The other profitability ratios of Marriott International are indicating an increasing trend as well. </w:t>
      </w:r>
      <w:r w:rsidR="00C61A1F" w:rsidRPr="00A43451">
        <w:rPr>
          <w:szCs w:val="24"/>
        </w:rPr>
        <w:t>In the table and graph below, the three other profitability ratios determined for Marriott International have been summarised –</w:t>
      </w:r>
    </w:p>
    <w:tbl>
      <w:tblPr>
        <w:tblStyle w:val="Tabelgril"/>
        <w:tblW w:w="5000" w:type="pct"/>
        <w:tblLook w:val="04A0" w:firstRow="1" w:lastRow="0" w:firstColumn="1" w:lastColumn="0" w:noHBand="0" w:noVBand="1"/>
      </w:tblPr>
      <w:tblGrid>
        <w:gridCol w:w="5468"/>
        <w:gridCol w:w="1774"/>
        <w:gridCol w:w="1774"/>
      </w:tblGrid>
      <w:tr w:rsidR="009F1CE1" w:rsidRPr="00A43451" w:rsidTr="009F1CE1">
        <w:trPr>
          <w:trHeight w:val="300"/>
        </w:trPr>
        <w:tc>
          <w:tcPr>
            <w:tcW w:w="3032" w:type="pct"/>
            <w:noWrap/>
            <w:hideMark/>
          </w:tcPr>
          <w:p w:rsidR="009F1CE1" w:rsidRPr="00A43451" w:rsidRDefault="00B76BBB" w:rsidP="00A43451">
            <w:pPr>
              <w:jc w:val="both"/>
              <w:rPr>
                <w:szCs w:val="24"/>
              </w:rPr>
            </w:pPr>
            <w:r w:rsidRPr="00A43451">
              <w:rPr>
                <w:b/>
                <w:bCs/>
                <w:szCs w:val="24"/>
              </w:rPr>
              <w:t>Profitability ratios</w:t>
            </w:r>
          </w:p>
        </w:tc>
        <w:tc>
          <w:tcPr>
            <w:tcW w:w="984" w:type="pct"/>
            <w:noWrap/>
            <w:hideMark/>
          </w:tcPr>
          <w:p w:rsidR="009F1CE1" w:rsidRPr="00A43451" w:rsidRDefault="009F1CE1" w:rsidP="00A43451">
            <w:pPr>
              <w:jc w:val="center"/>
              <w:rPr>
                <w:b/>
                <w:bCs/>
                <w:szCs w:val="24"/>
              </w:rPr>
            </w:pPr>
            <w:r w:rsidRPr="00A43451">
              <w:rPr>
                <w:b/>
                <w:bCs/>
                <w:szCs w:val="24"/>
              </w:rPr>
              <w:t>2020</w:t>
            </w:r>
          </w:p>
        </w:tc>
        <w:tc>
          <w:tcPr>
            <w:tcW w:w="984" w:type="pct"/>
            <w:noWrap/>
            <w:hideMark/>
          </w:tcPr>
          <w:p w:rsidR="009F1CE1" w:rsidRPr="00A43451" w:rsidRDefault="009F1CE1" w:rsidP="00A43451">
            <w:pPr>
              <w:jc w:val="center"/>
              <w:rPr>
                <w:b/>
                <w:bCs/>
                <w:szCs w:val="24"/>
              </w:rPr>
            </w:pPr>
            <w:r w:rsidRPr="00A43451">
              <w:rPr>
                <w:b/>
                <w:bCs/>
                <w:szCs w:val="24"/>
              </w:rPr>
              <w:t>2021</w:t>
            </w:r>
          </w:p>
        </w:tc>
      </w:tr>
      <w:tr w:rsidR="009F1CE1" w:rsidRPr="00A43451" w:rsidTr="009F1CE1">
        <w:trPr>
          <w:trHeight w:val="300"/>
        </w:trPr>
        <w:tc>
          <w:tcPr>
            <w:tcW w:w="3032" w:type="pct"/>
            <w:noWrap/>
            <w:hideMark/>
          </w:tcPr>
          <w:p w:rsidR="009F1CE1" w:rsidRPr="00A43451" w:rsidRDefault="009F1CE1" w:rsidP="00A43451">
            <w:pPr>
              <w:jc w:val="both"/>
              <w:rPr>
                <w:szCs w:val="24"/>
              </w:rPr>
            </w:pPr>
            <w:r w:rsidRPr="00A43451">
              <w:rPr>
                <w:szCs w:val="24"/>
              </w:rPr>
              <w:t>Return on equity (ROE)</w:t>
            </w:r>
          </w:p>
        </w:tc>
        <w:tc>
          <w:tcPr>
            <w:tcW w:w="984" w:type="pct"/>
            <w:noWrap/>
            <w:hideMark/>
          </w:tcPr>
          <w:p w:rsidR="009F1CE1" w:rsidRPr="00A43451" w:rsidRDefault="009F1CE1" w:rsidP="00A43451">
            <w:pPr>
              <w:jc w:val="center"/>
              <w:rPr>
                <w:szCs w:val="24"/>
              </w:rPr>
            </w:pPr>
            <w:r w:rsidRPr="00A43451">
              <w:rPr>
                <w:szCs w:val="24"/>
              </w:rPr>
              <w:t>-62.093</w:t>
            </w:r>
          </w:p>
        </w:tc>
        <w:tc>
          <w:tcPr>
            <w:tcW w:w="984" w:type="pct"/>
            <w:noWrap/>
            <w:hideMark/>
          </w:tcPr>
          <w:p w:rsidR="009F1CE1" w:rsidRPr="00A43451" w:rsidRDefault="009F1CE1" w:rsidP="00A43451">
            <w:pPr>
              <w:jc w:val="center"/>
              <w:rPr>
                <w:szCs w:val="24"/>
              </w:rPr>
            </w:pPr>
            <w:r w:rsidRPr="00A43451">
              <w:rPr>
                <w:szCs w:val="24"/>
              </w:rPr>
              <w:t>77.7228</w:t>
            </w:r>
          </w:p>
        </w:tc>
      </w:tr>
      <w:tr w:rsidR="009F1CE1" w:rsidRPr="00A43451" w:rsidTr="009F1CE1">
        <w:trPr>
          <w:trHeight w:val="300"/>
        </w:trPr>
        <w:tc>
          <w:tcPr>
            <w:tcW w:w="3032" w:type="pct"/>
            <w:noWrap/>
            <w:hideMark/>
          </w:tcPr>
          <w:p w:rsidR="009F1CE1" w:rsidRPr="00A43451" w:rsidRDefault="009F1CE1" w:rsidP="00A43451">
            <w:pPr>
              <w:jc w:val="both"/>
              <w:rPr>
                <w:szCs w:val="24"/>
              </w:rPr>
            </w:pPr>
            <w:r w:rsidRPr="00A43451">
              <w:rPr>
                <w:szCs w:val="24"/>
              </w:rPr>
              <w:t>Return on assets (ROA)</w:t>
            </w:r>
          </w:p>
        </w:tc>
        <w:tc>
          <w:tcPr>
            <w:tcW w:w="984" w:type="pct"/>
            <w:noWrap/>
            <w:hideMark/>
          </w:tcPr>
          <w:p w:rsidR="009F1CE1" w:rsidRPr="00A43451" w:rsidRDefault="009F1CE1" w:rsidP="00A43451">
            <w:pPr>
              <w:jc w:val="center"/>
              <w:rPr>
                <w:szCs w:val="24"/>
              </w:rPr>
            </w:pPr>
            <w:r w:rsidRPr="00A43451">
              <w:rPr>
                <w:szCs w:val="24"/>
              </w:rPr>
              <w:t>-1.0809</w:t>
            </w:r>
          </w:p>
        </w:tc>
        <w:tc>
          <w:tcPr>
            <w:tcW w:w="984" w:type="pct"/>
            <w:noWrap/>
            <w:hideMark/>
          </w:tcPr>
          <w:p w:rsidR="009F1CE1" w:rsidRPr="00A43451" w:rsidRDefault="009F1CE1" w:rsidP="00A43451">
            <w:pPr>
              <w:jc w:val="center"/>
              <w:rPr>
                <w:szCs w:val="24"/>
              </w:rPr>
            </w:pPr>
            <w:r w:rsidRPr="00A43451">
              <w:rPr>
                <w:szCs w:val="24"/>
              </w:rPr>
              <w:t>4.3009</w:t>
            </w:r>
          </w:p>
        </w:tc>
      </w:tr>
      <w:tr w:rsidR="009F1CE1" w:rsidRPr="00A43451" w:rsidTr="009F1CE1">
        <w:trPr>
          <w:trHeight w:val="300"/>
        </w:trPr>
        <w:tc>
          <w:tcPr>
            <w:tcW w:w="3032" w:type="pct"/>
            <w:noWrap/>
            <w:hideMark/>
          </w:tcPr>
          <w:p w:rsidR="009F1CE1" w:rsidRPr="00A43451" w:rsidRDefault="009F1CE1" w:rsidP="00A43451">
            <w:pPr>
              <w:jc w:val="both"/>
              <w:rPr>
                <w:szCs w:val="24"/>
              </w:rPr>
            </w:pPr>
            <w:r w:rsidRPr="00A43451">
              <w:rPr>
                <w:szCs w:val="24"/>
              </w:rPr>
              <w:t>Return on investment (ROI)</w:t>
            </w:r>
          </w:p>
        </w:tc>
        <w:tc>
          <w:tcPr>
            <w:tcW w:w="984" w:type="pct"/>
            <w:noWrap/>
            <w:hideMark/>
          </w:tcPr>
          <w:p w:rsidR="009F1CE1" w:rsidRPr="00A43451" w:rsidRDefault="009F1CE1" w:rsidP="00A43451">
            <w:pPr>
              <w:jc w:val="center"/>
              <w:rPr>
                <w:szCs w:val="24"/>
              </w:rPr>
            </w:pPr>
            <w:r w:rsidRPr="00A43451">
              <w:rPr>
                <w:szCs w:val="24"/>
              </w:rPr>
              <w:t>-2.7717</w:t>
            </w:r>
          </w:p>
        </w:tc>
        <w:tc>
          <w:tcPr>
            <w:tcW w:w="984" w:type="pct"/>
            <w:noWrap/>
            <w:hideMark/>
          </w:tcPr>
          <w:p w:rsidR="009F1CE1" w:rsidRPr="00A43451" w:rsidRDefault="009F1CE1" w:rsidP="00A43451">
            <w:pPr>
              <w:jc w:val="center"/>
              <w:rPr>
                <w:szCs w:val="24"/>
              </w:rPr>
            </w:pPr>
            <w:r w:rsidRPr="00A43451">
              <w:rPr>
                <w:szCs w:val="24"/>
              </w:rPr>
              <w:t>10.2261</w:t>
            </w:r>
          </w:p>
        </w:tc>
      </w:tr>
    </w:tbl>
    <w:p w:rsidR="00E624CD" w:rsidRPr="00A43451" w:rsidRDefault="00E624CD" w:rsidP="00A43451">
      <w:pPr>
        <w:jc w:val="both"/>
        <w:rPr>
          <w:szCs w:val="24"/>
        </w:rPr>
      </w:pPr>
    </w:p>
    <w:p w:rsidR="00E624CD" w:rsidRPr="00A43451" w:rsidRDefault="00730A74" w:rsidP="00A43451">
      <w:pPr>
        <w:jc w:val="center"/>
        <w:rPr>
          <w:szCs w:val="24"/>
        </w:rPr>
      </w:pPr>
      <w:r w:rsidRPr="00A43451">
        <w:rPr>
          <w:noProof/>
          <w:szCs w:val="24"/>
          <w:lang w:val="en-US"/>
        </w:rPr>
        <w:drawing>
          <wp:inline distT="0" distB="0" distL="0" distR="0">
            <wp:extent cx="4572000" cy="2743200"/>
            <wp:effectExtent l="1905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30A74" w:rsidRPr="00A43451" w:rsidRDefault="005E3527" w:rsidP="00A43451">
      <w:pPr>
        <w:pStyle w:val="Legend"/>
        <w:jc w:val="center"/>
        <w:rPr>
          <w:szCs w:val="24"/>
        </w:rPr>
      </w:pPr>
      <w:r w:rsidRPr="00A43451">
        <w:rPr>
          <w:szCs w:val="24"/>
        </w:rPr>
        <w:t xml:space="preserve">Figure </w:t>
      </w:r>
      <w:r w:rsidR="003C7672" w:rsidRPr="00A43451">
        <w:rPr>
          <w:szCs w:val="24"/>
        </w:rPr>
        <w:fldChar w:fldCharType="begin"/>
      </w:r>
      <w:r w:rsidR="00E36196" w:rsidRPr="00A43451">
        <w:rPr>
          <w:szCs w:val="24"/>
        </w:rPr>
        <w:instrText xml:space="preserve"> SEQ Figure \* ARABIC </w:instrText>
      </w:r>
      <w:r w:rsidR="003C7672" w:rsidRPr="00A43451">
        <w:rPr>
          <w:szCs w:val="24"/>
        </w:rPr>
        <w:fldChar w:fldCharType="separate"/>
      </w:r>
      <w:r w:rsidRPr="00A43451">
        <w:rPr>
          <w:noProof/>
          <w:szCs w:val="24"/>
        </w:rPr>
        <w:t>2</w:t>
      </w:r>
      <w:r w:rsidR="003C7672" w:rsidRPr="00A43451">
        <w:rPr>
          <w:szCs w:val="24"/>
        </w:rPr>
        <w:fldChar w:fldCharType="end"/>
      </w:r>
      <w:r w:rsidRPr="00A43451">
        <w:rPr>
          <w:szCs w:val="24"/>
          <w:lang w:val="en-IN"/>
        </w:rPr>
        <w:t>:</w:t>
      </w:r>
      <w:r w:rsidRPr="00A43451">
        <w:rPr>
          <w:szCs w:val="24"/>
        </w:rPr>
        <w:t xml:space="preserve"> Figure showing trends in few other profitability ratios</w:t>
      </w:r>
    </w:p>
    <w:p w:rsidR="00730A74" w:rsidRPr="00A43451" w:rsidRDefault="00A90113" w:rsidP="00A43451">
      <w:pPr>
        <w:jc w:val="both"/>
        <w:rPr>
          <w:szCs w:val="24"/>
        </w:rPr>
      </w:pPr>
      <w:r w:rsidRPr="00A43451">
        <w:rPr>
          <w:szCs w:val="24"/>
        </w:rPr>
        <w:t xml:space="preserve">The analysis of the above three profitability ratios of Marriott International reflect that extremely poor and negative ROE, ROA along with ROI was present in this hospitality company. However, significant improvements have been undergone in all these three ratios of the hospitality company in 2021. As a result, an increasing trend can also be noticed in these three profitability ratios of the company. Thus, to conclude, it can be stated that the analysis of the trends of the profitability ratios of Marriott International are indicating huge loss earned in the company in 2020. These losses are mainly because of the outbreak of the Covid-19 pandemic </w:t>
      </w:r>
      <w:r w:rsidR="00AF3E25" w:rsidRPr="00A43451">
        <w:rPr>
          <w:szCs w:val="24"/>
        </w:rPr>
        <w:t>all over the lockdown, which affected the sales of the company largely. However, in 2021, the company has successfully earned profits resulting in increasing trends in all profitability ratios.</w:t>
      </w:r>
    </w:p>
    <w:p w:rsidR="00E624CD" w:rsidRPr="00A43451" w:rsidRDefault="00E624CD" w:rsidP="00A43451">
      <w:pPr>
        <w:pStyle w:val="Titlu2"/>
        <w:rPr>
          <w:rFonts w:cstheme="minorBidi"/>
          <w:szCs w:val="24"/>
        </w:rPr>
      </w:pPr>
      <w:bookmarkStart w:id="6" w:name="_Toc120286205"/>
      <w:r w:rsidRPr="00A43451">
        <w:rPr>
          <w:rFonts w:cstheme="minorBidi"/>
          <w:szCs w:val="24"/>
        </w:rPr>
        <w:t>Liquidity</w:t>
      </w:r>
      <w:bookmarkEnd w:id="6"/>
    </w:p>
    <w:p w:rsidR="00C61A1F" w:rsidRPr="00A43451" w:rsidRDefault="00252934" w:rsidP="00A43451">
      <w:pPr>
        <w:jc w:val="both"/>
        <w:rPr>
          <w:szCs w:val="24"/>
        </w:rPr>
      </w:pPr>
      <w:r w:rsidRPr="00A43451">
        <w:rPr>
          <w:szCs w:val="24"/>
        </w:rPr>
        <w:t>The specific categories of ratios, which indicate the ability that a company possesses to meet all its current financial obligations, are known as liquidity ratios (</w:t>
      </w:r>
      <w:proofErr w:type="spellStart"/>
      <w:r w:rsidR="005E3527" w:rsidRPr="00A43451">
        <w:rPr>
          <w:szCs w:val="24"/>
        </w:rPr>
        <w:t>Husna</w:t>
      </w:r>
      <w:proofErr w:type="spellEnd"/>
      <w:r w:rsidR="005E3527" w:rsidRPr="00A43451">
        <w:rPr>
          <w:szCs w:val="24"/>
        </w:rPr>
        <w:t xml:space="preserve"> and </w:t>
      </w:r>
      <w:proofErr w:type="spellStart"/>
      <w:r w:rsidR="005E3527" w:rsidRPr="00A43451">
        <w:rPr>
          <w:szCs w:val="24"/>
        </w:rPr>
        <w:t>Satria</w:t>
      </w:r>
      <w:proofErr w:type="spellEnd"/>
      <w:r w:rsidR="005E3527" w:rsidRPr="00A43451">
        <w:rPr>
          <w:szCs w:val="24"/>
        </w:rPr>
        <w:t>, 2019</w:t>
      </w:r>
      <w:r w:rsidRPr="00A43451">
        <w:rPr>
          <w:szCs w:val="24"/>
        </w:rPr>
        <w:t xml:space="preserve">). </w:t>
      </w:r>
      <w:r w:rsidR="00C61A1F" w:rsidRPr="00A43451">
        <w:rPr>
          <w:szCs w:val="24"/>
        </w:rPr>
        <w:t>In the table and graph below, the three liquidity profitability ratios determined for Marriott International have been summarised –</w:t>
      </w:r>
    </w:p>
    <w:tbl>
      <w:tblPr>
        <w:tblStyle w:val="Tabelgril"/>
        <w:tblW w:w="5000" w:type="pct"/>
        <w:tblLook w:val="04A0" w:firstRow="1" w:lastRow="0" w:firstColumn="1" w:lastColumn="0" w:noHBand="0" w:noVBand="1"/>
      </w:tblPr>
      <w:tblGrid>
        <w:gridCol w:w="5632"/>
        <w:gridCol w:w="1619"/>
        <w:gridCol w:w="1765"/>
      </w:tblGrid>
      <w:tr w:rsidR="00B76BBB" w:rsidRPr="00A43451" w:rsidTr="00B76BBB">
        <w:trPr>
          <w:trHeight w:val="300"/>
        </w:trPr>
        <w:tc>
          <w:tcPr>
            <w:tcW w:w="3123" w:type="pct"/>
            <w:noWrap/>
            <w:hideMark/>
          </w:tcPr>
          <w:p w:rsidR="00B76BBB" w:rsidRPr="00A43451" w:rsidRDefault="00B76BBB" w:rsidP="00A43451">
            <w:pPr>
              <w:jc w:val="both"/>
              <w:rPr>
                <w:szCs w:val="24"/>
              </w:rPr>
            </w:pPr>
            <w:r w:rsidRPr="00A43451">
              <w:rPr>
                <w:b/>
                <w:bCs/>
                <w:szCs w:val="24"/>
              </w:rPr>
              <w:t>Liquidity ratios</w:t>
            </w:r>
          </w:p>
        </w:tc>
        <w:tc>
          <w:tcPr>
            <w:tcW w:w="898" w:type="pct"/>
            <w:noWrap/>
            <w:hideMark/>
          </w:tcPr>
          <w:p w:rsidR="00B76BBB" w:rsidRPr="00A43451" w:rsidRDefault="00B76BBB" w:rsidP="00A43451">
            <w:pPr>
              <w:jc w:val="center"/>
              <w:rPr>
                <w:b/>
                <w:bCs/>
                <w:szCs w:val="24"/>
              </w:rPr>
            </w:pPr>
            <w:r w:rsidRPr="00A43451">
              <w:rPr>
                <w:b/>
                <w:bCs/>
                <w:szCs w:val="24"/>
              </w:rPr>
              <w:t>2020</w:t>
            </w:r>
          </w:p>
        </w:tc>
        <w:tc>
          <w:tcPr>
            <w:tcW w:w="979" w:type="pct"/>
            <w:noWrap/>
            <w:hideMark/>
          </w:tcPr>
          <w:p w:rsidR="00B76BBB" w:rsidRPr="00A43451" w:rsidRDefault="00B76BBB" w:rsidP="00A43451">
            <w:pPr>
              <w:jc w:val="center"/>
              <w:rPr>
                <w:b/>
                <w:bCs/>
                <w:szCs w:val="24"/>
              </w:rPr>
            </w:pPr>
            <w:r w:rsidRPr="00A43451">
              <w:rPr>
                <w:b/>
                <w:bCs/>
                <w:szCs w:val="24"/>
              </w:rPr>
              <w:t>2021</w:t>
            </w:r>
          </w:p>
        </w:tc>
      </w:tr>
      <w:tr w:rsidR="00B76BBB" w:rsidRPr="00A43451" w:rsidTr="00B76BBB">
        <w:trPr>
          <w:trHeight w:val="300"/>
        </w:trPr>
        <w:tc>
          <w:tcPr>
            <w:tcW w:w="3123" w:type="pct"/>
            <w:noWrap/>
            <w:hideMark/>
          </w:tcPr>
          <w:p w:rsidR="00B76BBB" w:rsidRPr="00A43451" w:rsidRDefault="00B76BBB" w:rsidP="00A43451">
            <w:pPr>
              <w:jc w:val="both"/>
              <w:rPr>
                <w:szCs w:val="24"/>
              </w:rPr>
            </w:pPr>
            <w:r w:rsidRPr="00A43451">
              <w:rPr>
                <w:szCs w:val="24"/>
              </w:rPr>
              <w:t>Current ratio</w:t>
            </w:r>
          </w:p>
        </w:tc>
        <w:tc>
          <w:tcPr>
            <w:tcW w:w="898" w:type="pct"/>
            <w:noWrap/>
            <w:hideMark/>
          </w:tcPr>
          <w:p w:rsidR="00B76BBB" w:rsidRPr="00A43451" w:rsidRDefault="00B76BBB" w:rsidP="00A43451">
            <w:pPr>
              <w:jc w:val="center"/>
              <w:rPr>
                <w:szCs w:val="24"/>
              </w:rPr>
            </w:pPr>
            <w:r w:rsidRPr="00A43451">
              <w:rPr>
                <w:szCs w:val="24"/>
              </w:rPr>
              <w:t>0.4911</w:t>
            </w:r>
          </w:p>
        </w:tc>
        <w:tc>
          <w:tcPr>
            <w:tcW w:w="979" w:type="pct"/>
            <w:noWrap/>
            <w:hideMark/>
          </w:tcPr>
          <w:p w:rsidR="00B76BBB" w:rsidRPr="00A43451" w:rsidRDefault="00B76BBB" w:rsidP="00A43451">
            <w:pPr>
              <w:jc w:val="center"/>
              <w:rPr>
                <w:szCs w:val="24"/>
              </w:rPr>
            </w:pPr>
            <w:r w:rsidRPr="00A43451">
              <w:rPr>
                <w:szCs w:val="24"/>
              </w:rPr>
              <w:t>0.5659</w:t>
            </w:r>
          </w:p>
        </w:tc>
      </w:tr>
      <w:tr w:rsidR="00B76BBB" w:rsidRPr="00A43451" w:rsidTr="00B76BBB">
        <w:trPr>
          <w:trHeight w:val="300"/>
        </w:trPr>
        <w:tc>
          <w:tcPr>
            <w:tcW w:w="3123" w:type="pct"/>
            <w:noWrap/>
            <w:hideMark/>
          </w:tcPr>
          <w:p w:rsidR="00B76BBB" w:rsidRPr="00A43451" w:rsidRDefault="00B76BBB" w:rsidP="00A43451">
            <w:pPr>
              <w:jc w:val="both"/>
              <w:rPr>
                <w:szCs w:val="24"/>
              </w:rPr>
            </w:pPr>
            <w:r w:rsidRPr="00A43451">
              <w:rPr>
                <w:szCs w:val="24"/>
              </w:rPr>
              <w:t>Operating cash flow per share</w:t>
            </w:r>
          </w:p>
        </w:tc>
        <w:tc>
          <w:tcPr>
            <w:tcW w:w="898" w:type="pct"/>
            <w:noWrap/>
            <w:hideMark/>
          </w:tcPr>
          <w:p w:rsidR="00B76BBB" w:rsidRPr="00A43451" w:rsidRDefault="00B76BBB" w:rsidP="00A43451">
            <w:pPr>
              <w:jc w:val="center"/>
              <w:rPr>
                <w:szCs w:val="24"/>
              </w:rPr>
            </w:pPr>
            <w:r w:rsidRPr="00A43451">
              <w:rPr>
                <w:szCs w:val="24"/>
              </w:rPr>
              <w:t>0.0083</w:t>
            </w:r>
          </w:p>
        </w:tc>
        <w:tc>
          <w:tcPr>
            <w:tcW w:w="979" w:type="pct"/>
            <w:noWrap/>
            <w:hideMark/>
          </w:tcPr>
          <w:p w:rsidR="00B76BBB" w:rsidRPr="00A43451" w:rsidRDefault="00B76BBB" w:rsidP="00A43451">
            <w:pPr>
              <w:jc w:val="center"/>
              <w:rPr>
                <w:szCs w:val="24"/>
              </w:rPr>
            </w:pPr>
            <w:r w:rsidRPr="00A43451">
              <w:rPr>
                <w:szCs w:val="24"/>
              </w:rPr>
              <w:t>-1.4565</w:t>
            </w:r>
          </w:p>
        </w:tc>
      </w:tr>
      <w:tr w:rsidR="00B76BBB" w:rsidRPr="00A43451" w:rsidTr="00B76BBB">
        <w:trPr>
          <w:trHeight w:val="300"/>
        </w:trPr>
        <w:tc>
          <w:tcPr>
            <w:tcW w:w="3123" w:type="pct"/>
            <w:noWrap/>
            <w:hideMark/>
          </w:tcPr>
          <w:p w:rsidR="00B76BBB" w:rsidRPr="00A43451" w:rsidRDefault="00B76BBB" w:rsidP="00A43451">
            <w:pPr>
              <w:jc w:val="both"/>
              <w:rPr>
                <w:szCs w:val="24"/>
              </w:rPr>
            </w:pPr>
            <w:r w:rsidRPr="00A43451">
              <w:rPr>
                <w:szCs w:val="24"/>
              </w:rPr>
              <w:t>Free cash flow per share</w:t>
            </w:r>
          </w:p>
        </w:tc>
        <w:tc>
          <w:tcPr>
            <w:tcW w:w="898" w:type="pct"/>
            <w:noWrap/>
            <w:hideMark/>
          </w:tcPr>
          <w:p w:rsidR="00B76BBB" w:rsidRPr="00A43451" w:rsidRDefault="00B76BBB" w:rsidP="00A43451">
            <w:pPr>
              <w:jc w:val="center"/>
              <w:rPr>
                <w:szCs w:val="24"/>
              </w:rPr>
            </w:pPr>
            <w:r w:rsidRPr="00A43451">
              <w:rPr>
                <w:szCs w:val="24"/>
              </w:rPr>
              <w:t>1.161</w:t>
            </w:r>
          </w:p>
        </w:tc>
        <w:tc>
          <w:tcPr>
            <w:tcW w:w="979" w:type="pct"/>
            <w:noWrap/>
            <w:hideMark/>
          </w:tcPr>
          <w:p w:rsidR="00B76BBB" w:rsidRPr="00A43451" w:rsidRDefault="00B76BBB" w:rsidP="00A43451">
            <w:pPr>
              <w:jc w:val="center"/>
              <w:rPr>
                <w:szCs w:val="24"/>
              </w:rPr>
            </w:pPr>
            <w:r w:rsidRPr="00A43451">
              <w:rPr>
                <w:szCs w:val="24"/>
              </w:rPr>
              <w:t>-2.3594</w:t>
            </w:r>
          </w:p>
        </w:tc>
      </w:tr>
    </w:tbl>
    <w:p w:rsidR="00E624CD" w:rsidRPr="00A43451" w:rsidRDefault="00E624CD" w:rsidP="00A43451">
      <w:pPr>
        <w:jc w:val="both"/>
        <w:rPr>
          <w:szCs w:val="24"/>
        </w:rPr>
      </w:pPr>
    </w:p>
    <w:p w:rsidR="00E624CD" w:rsidRPr="00A43451" w:rsidRDefault="00F60965" w:rsidP="00A43451">
      <w:pPr>
        <w:jc w:val="center"/>
        <w:rPr>
          <w:szCs w:val="24"/>
        </w:rPr>
      </w:pPr>
      <w:r w:rsidRPr="00A43451">
        <w:rPr>
          <w:noProof/>
          <w:szCs w:val="24"/>
          <w:lang w:val="en-US"/>
        </w:rPr>
        <w:drawing>
          <wp:inline distT="0" distB="0" distL="0" distR="0">
            <wp:extent cx="4572000" cy="2743200"/>
            <wp:effectExtent l="1905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624CD" w:rsidRPr="00A43451" w:rsidRDefault="005E3527" w:rsidP="00A43451">
      <w:pPr>
        <w:pStyle w:val="Legend"/>
        <w:jc w:val="center"/>
        <w:rPr>
          <w:szCs w:val="24"/>
        </w:rPr>
      </w:pPr>
      <w:r w:rsidRPr="00A43451">
        <w:rPr>
          <w:szCs w:val="24"/>
        </w:rPr>
        <w:t xml:space="preserve">Figure </w:t>
      </w:r>
      <w:r w:rsidR="003C7672" w:rsidRPr="00A43451">
        <w:rPr>
          <w:szCs w:val="24"/>
        </w:rPr>
        <w:fldChar w:fldCharType="begin"/>
      </w:r>
      <w:r w:rsidR="00E36196" w:rsidRPr="00A43451">
        <w:rPr>
          <w:szCs w:val="24"/>
        </w:rPr>
        <w:instrText xml:space="preserve"> SEQ Figure \* ARABIC </w:instrText>
      </w:r>
      <w:r w:rsidR="003C7672" w:rsidRPr="00A43451">
        <w:rPr>
          <w:szCs w:val="24"/>
        </w:rPr>
        <w:fldChar w:fldCharType="separate"/>
      </w:r>
      <w:r w:rsidRPr="00A43451">
        <w:rPr>
          <w:noProof/>
          <w:szCs w:val="24"/>
        </w:rPr>
        <w:t>3</w:t>
      </w:r>
      <w:r w:rsidR="003C7672" w:rsidRPr="00A43451">
        <w:rPr>
          <w:szCs w:val="24"/>
        </w:rPr>
        <w:fldChar w:fldCharType="end"/>
      </w:r>
      <w:r w:rsidRPr="00A43451">
        <w:rPr>
          <w:szCs w:val="24"/>
          <w:lang w:val="en-IN"/>
        </w:rPr>
        <w:t>:</w:t>
      </w:r>
      <w:r w:rsidRPr="00A43451">
        <w:rPr>
          <w:szCs w:val="24"/>
        </w:rPr>
        <w:t xml:space="preserve"> Figure showing trends in liquidity ratios</w:t>
      </w:r>
    </w:p>
    <w:p w:rsidR="00AF3E25" w:rsidRPr="00A43451" w:rsidRDefault="008C63EE" w:rsidP="00A43451">
      <w:pPr>
        <w:jc w:val="both"/>
        <w:rPr>
          <w:szCs w:val="24"/>
        </w:rPr>
      </w:pPr>
      <w:r w:rsidRPr="00A43451">
        <w:rPr>
          <w:szCs w:val="24"/>
        </w:rPr>
        <w:t>The interpretation of the liquidity ratios considered above for Marriott International reflects that this hospitality company had a poor liquid position in 2020. However, a further decline can be seen in its liquid position in 2021. The current ratio of the company shows a slight decline in the past two years. However, the operating cash flow per share of this company in addition to its free cash flow per share have had massive decline i</w:t>
      </w:r>
      <w:r w:rsidR="0075443D" w:rsidRPr="00A43451">
        <w:rPr>
          <w:szCs w:val="24"/>
        </w:rPr>
        <w:t>n 2021 resulting in negative values. Thus, to conclude, it can be stated that the liquidity ratios of Marriott International are showing a declining trend in 2021. The declines in these ratios are considerable, which have led the hospitality company towards an extremely poor liquid position.</w:t>
      </w:r>
    </w:p>
    <w:p w:rsidR="00E624CD" w:rsidRPr="00A43451" w:rsidRDefault="00E624CD" w:rsidP="00A43451">
      <w:pPr>
        <w:pStyle w:val="Titlu2"/>
        <w:rPr>
          <w:rFonts w:cstheme="minorBidi"/>
          <w:szCs w:val="24"/>
        </w:rPr>
      </w:pPr>
      <w:bookmarkStart w:id="7" w:name="_Toc120286206"/>
      <w:r w:rsidRPr="00A43451">
        <w:rPr>
          <w:rFonts w:cstheme="minorBidi"/>
          <w:szCs w:val="24"/>
        </w:rPr>
        <w:t>Gearing</w:t>
      </w:r>
      <w:bookmarkEnd w:id="7"/>
    </w:p>
    <w:p w:rsidR="00C61A1F" w:rsidRPr="00A43451" w:rsidRDefault="00252934" w:rsidP="00A43451">
      <w:pPr>
        <w:jc w:val="both"/>
        <w:rPr>
          <w:szCs w:val="24"/>
        </w:rPr>
      </w:pPr>
      <w:r w:rsidRPr="00A43451">
        <w:rPr>
          <w:szCs w:val="24"/>
        </w:rPr>
        <w:t>The types of ratios, which indicate the ability of business organisations to meet their long-term debt obligations, are known as gearing ratios</w:t>
      </w:r>
      <w:r w:rsidR="005E3527" w:rsidRPr="00A43451">
        <w:rPr>
          <w:szCs w:val="24"/>
        </w:rPr>
        <w:t xml:space="preserve"> (</w:t>
      </w:r>
      <w:proofErr w:type="spellStart"/>
      <w:r w:rsidR="005E3527" w:rsidRPr="00A43451">
        <w:rPr>
          <w:szCs w:val="24"/>
        </w:rPr>
        <w:t>Hidayat</w:t>
      </w:r>
      <w:proofErr w:type="spellEnd"/>
      <w:r w:rsidR="005E3527" w:rsidRPr="00A43451">
        <w:rPr>
          <w:szCs w:val="24"/>
        </w:rPr>
        <w:t xml:space="preserve"> and </w:t>
      </w:r>
      <w:proofErr w:type="spellStart"/>
      <w:r w:rsidR="005E3527" w:rsidRPr="00A43451">
        <w:rPr>
          <w:szCs w:val="24"/>
        </w:rPr>
        <w:t>Kurniasih</w:t>
      </w:r>
      <w:proofErr w:type="spellEnd"/>
      <w:r w:rsidR="005E3527" w:rsidRPr="00A43451">
        <w:rPr>
          <w:szCs w:val="24"/>
        </w:rPr>
        <w:t>, 2022)</w:t>
      </w:r>
      <w:r w:rsidRPr="00A43451">
        <w:rPr>
          <w:szCs w:val="24"/>
        </w:rPr>
        <w:t xml:space="preserve">. These ratios help companies in determining the manner in which their debts and equity are financed. They also indicate the capital structure of a company. </w:t>
      </w:r>
      <w:r w:rsidR="00C61A1F" w:rsidRPr="00A43451">
        <w:rPr>
          <w:szCs w:val="24"/>
        </w:rPr>
        <w:t>In the table and graph below, the two primary gearing ratios determined for Marriott International have been summarised –</w:t>
      </w:r>
    </w:p>
    <w:tbl>
      <w:tblPr>
        <w:tblStyle w:val="Tabelgril"/>
        <w:tblW w:w="5000" w:type="pct"/>
        <w:tblLook w:val="04A0" w:firstRow="1" w:lastRow="0" w:firstColumn="1" w:lastColumn="0" w:noHBand="0" w:noVBand="1"/>
      </w:tblPr>
      <w:tblGrid>
        <w:gridCol w:w="5474"/>
        <w:gridCol w:w="1771"/>
        <w:gridCol w:w="1771"/>
      </w:tblGrid>
      <w:tr w:rsidR="00B76BBB" w:rsidRPr="00A43451" w:rsidTr="00B76BBB">
        <w:trPr>
          <w:trHeight w:val="300"/>
        </w:trPr>
        <w:tc>
          <w:tcPr>
            <w:tcW w:w="3035" w:type="pct"/>
            <w:noWrap/>
            <w:hideMark/>
          </w:tcPr>
          <w:p w:rsidR="00B76BBB" w:rsidRPr="00A43451" w:rsidRDefault="00B76BBB" w:rsidP="00A43451">
            <w:pPr>
              <w:jc w:val="both"/>
              <w:rPr>
                <w:szCs w:val="24"/>
              </w:rPr>
            </w:pPr>
            <w:r w:rsidRPr="00A43451">
              <w:rPr>
                <w:b/>
                <w:bCs/>
                <w:szCs w:val="24"/>
              </w:rPr>
              <w:t>Gearing ratios</w:t>
            </w:r>
          </w:p>
        </w:tc>
        <w:tc>
          <w:tcPr>
            <w:tcW w:w="982" w:type="pct"/>
            <w:noWrap/>
            <w:hideMark/>
          </w:tcPr>
          <w:p w:rsidR="00B76BBB" w:rsidRPr="00A43451" w:rsidRDefault="00B76BBB" w:rsidP="00A43451">
            <w:pPr>
              <w:jc w:val="center"/>
              <w:rPr>
                <w:b/>
                <w:bCs/>
                <w:szCs w:val="24"/>
              </w:rPr>
            </w:pPr>
            <w:r w:rsidRPr="00A43451">
              <w:rPr>
                <w:b/>
                <w:bCs/>
                <w:szCs w:val="24"/>
              </w:rPr>
              <w:t>2020</w:t>
            </w:r>
          </w:p>
        </w:tc>
        <w:tc>
          <w:tcPr>
            <w:tcW w:w="982" w:type="pct"/>
            <w:noWrap/>
            <w:hideMark/>
          </w:tcPr>
          <w:p w:rsidR="00B76BBB" w:rsidRPr="00A43451" w:rsidRDefault="00B76BBB" w:rsidP="00A43451">
            <w:pPr>
              <w:tabs>
                <w:tab w:val="left" w:pos="510"/>
                <w:tab w:val="center" w:pos="799"/>
              </w:tabs>
              <w:rPr>
                <w:b/>
                <w:bCs/>
                <w:szCs w:val="24"/>
              </w:rPr>
            </w:pPr>
            <w:r w:rsidRPr="00A43451">
              <w:rPr>
                <w:b/>
                <w:bCs/>
                <w:szCs w:val="24"/>
              </w:rPr>
              <w:tab/>
            </w:r>
            <w:r w:rsidRPr="00A43451">
              <w:rPr>
                <w:b/>
                <w:bCs/>
                <w:szCs w:val="24"/>
              </w:rPr>
              <w:tab/>
              <w:t>2021</w:t>
            </w:r>
          </w:p>
        </w:tc>
      </w:tr>
      <w:tr w:rsidR="00B76BBB" w:rsidRPr="00A43451" w:rsidTr="00B76BBB">
        <w:trPr>
          <w:trHeight w:val="300"/>
        </w:trPr>
        <w:tc>
          <w:tcPr>
            <w:tcW w:w="3035" w:type="pct"/>
            <w:noWrap/>
            <w:hideMark/>
          </w:tcPr>
          <w:p w:rsidR="00B76BBB" w:rsidRPr="00A43451" w:rsidRDefault="00B76BBB" w:rsidP="00A43451">
            <w:pPr>
              <w:jc w:val="both"/>
              <w:rPr>
                <w:szCs w:val="24"/>
              </w:rPr>
            </w:pPr>
            <w:r w:rsidRPr="00A43451">
              <w:rPr>
                <w:szCs w:val="24"/>
              </w:rPr>
              <w:t>Long-term debt / capital</w:t>
            </w:r>
          </w:p>
        </w:tc>
        <w:tc>
          <w:tcPr>
            <w:tcW w:w="982" w:type="pct"/>
            <w:noWrap/>
            <w:hideMark/>
          </w:tcPr>
          <w:p w:rsidR="00B76BBB" w:rsidRPr="00A43451" w:rsidRDefault="00B76BBB" w:rsidP="00A43451">
            <w:pPr>
              <w:jc w:val="center"/>
              <w:rPr>
                <w:szCs w:val="24"/>
              </w:rPr>
            </w:pPr>
            <w:r w:rsidRPr="00A43451">
              <w:rPr>
                <w:szCs w:val="24"/>
              </w:rPr>
              <w:t>0.9554</w:t>
            </w:r>
          </w:p>
        </w:tc>
        <w:tc>
          <w:tcPr>
            <w:tcW w:w="982" w:type="pct"/>
            <w:noWrap/>
            <w:hideMark/>
          </w:tcPr>
          <w:p w:rsidR="00B76BBB" w:rsidRPr="00A43451" w:rsidRDefault="00B76BBB" w:rsidP="00A43451">
            <w:pPr>
              <w:jc w:val="center"/>
              <w:rPr>
                <w:szCs w:val="24"/>
              </w:rPr>
            </w:pPr>
            <w:r w:rsidRPr="00A43451">
              <w:rPr>
                <w:szCs w:val="24"/>
              </w:rPr>
              <w:t>0.8684</w:t>
            </w:r>
          </w:p>
        </w:tc>
      </w:tr>
      <w:tr w:rsidR="00B76BBB" w:rsidRPr="00A43451" w:rsidTr="00B76BBB">
        <w:trPr>
          <w:trHeight w:val="300"/>
        </w:trPr>
        <w:tc>
          <w:tcPr>
            <w:tcW w:w="3035" w:type="pct"/>
            <w:noWrap/>
            <w:hideMark/>
          </w:tcPr>
          <w:p w:rsidR="00B76BBB" w:rsidRPr="00A43451" w:rsidRDefault="00B76BBB" w:rsidP="00A43451">
            <w:pPr>
              <w:jc w:val="both"/>
              <w:rPr>
                <w:szCs w:val="24"/>
              </w:rPr>
            </w:pPr>
            <w:r w:rsidRPr="00A43451">
              <w:rPr>
                <w:szCs w:val="24"/>
              </w:rPr>
              <w:t>Debt / equity ratio</w:t>
            </w:r>
          </w:p>
        </w:tc>
        <w:tc>
          <w:tcPr>
            <w:tcW w:w="982" w:type="pct"/>
            <w:noWrap/>
            <w:hideMark/>
          </w:tcPr>
          <w:p w:rsidR="00B76BBB" w:rsidRPr="00A43451" w:rsidRDefault="00B76BBB" w:rsidP="00A43451">
            <w:pPr>
              <w:jc w:val="center"/>
              <w:rPr>
                <w:szCs w:val="24"/>
              </w:rPr>
            </w:pPr>
            <w:r w:rsidRPr="00A43451">
              <w:rPr>
                <w:szCs w:val="24"/>
              </w:rPr>
              <w:t>24.1302</w:t>
            </w:r>
          </w:p>
        </w:tc>
        <w:tc>
          <w:tcPr>
            <w:tcW w:w="982" w:type="pct"/>
            <w:noWrap/>
            <w:hideMark/>
          </w:tcPr>
          <w:p w:rsidR="00B76BBB" w:rsidRPr="00A43451" w:rsidRDefault="00B76BBB" w:rsidP="00A43451">
            <w:pPr>
              <w:jc w:val="center"/>
              <w:rPr>
                <w:szCs w:val="24"/>
              </w:rPr>
            </w:pPr>
            <w:r w:rsidRPr="00A43451">
              <w:rPr>
                <w:szCs w:val="24"/>
              </w:rPr>
              <w:t>7.1697</w:t>
            </w:r>
          </w:p>
        </w:tc>
      </w:tr>
    </w:tbl>
    <w:p w:rsidR="00E624CD" w:rsidRPr="00A43451" w:rsidRDefault="00E624CD" w:rsidP="00A43451">
      <w:pPr>
        <w:jc w:val="both"/>
        <w:rPr>
          <w:szCs w:val="24"/>
        </w:rPr>
      </w:pPr>
    </w:p>
    <w:p w:rsidR="00E624CD" w:rsidRPr="00A43451" w:rsidRDefault="00F60965" w:rsidP="00A43451">
      <w:pPr>
        <w:jc w:val="center"/>
        <w:rPr>
          <w:szCs w:val="24"/>
        </w:rPr>
      </w:pPr>
      <w:r w:rsidRPr="00A43451">
        <w:rPr>
          <w:noProof/>
          <w:szCs w:val="24"/>
          <w:lang w:val="en-US"/>
        </w:rPr>
        <w:drawing>
          <wp:inline distT="0" distB="0" distL="0" distR="0">
            <wp:extent cx="4572000" cy="2743200"/>
            <wp:effectExtent l="1905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5443D" w:rsidRPr="00A43451" w:rsidRDefault="005E3527" w:rsidP="00A43451">
      <w:pPr>
        <w:pStyle w:val="Legend"/>
        <w:jc w:val="center"/>
        <w:rPr>
          <w:szCs w:val="24"/>
        </w:rPr>
      </w:pPr>
      <w:r w:rsidRPr="00A43451">
        <w:rPr>
          <w:szCs w:val="24"/>
        </w:rPr>
        <w:t xml:space="preserve">Figure </w:t>
      </w:r>
      <w:r w:rsidR="003C7672" w:rsidRPr="00A43451">
        <w:rPr>
          <w:szCs w:val="24"/>
        </w:rPr>
        <w:fldChar w:fldCharType="begin"/>
      </w:r>
      <w:r w:rsidR="00E36196" w:rsidRPr="00A43451">
        <w:rPr>
          <w:szCs w:val="24"/>
        </w:rPr>
        <w:instrText xml:space="preserve"> SEQ Figure \* ARABIC </w:instrText>
      </w:r>
      <w:r w:rsidR="003C7672" w:rsidRPr="00A43451">
        <w:rPr>
          <w:szCs w:val="24"/>
        </w:rPr>
        <w:fldChar w:fldCharType="separate"/>
      </w:r>
      <w:r w:rsidRPr="00A43451">
        <w:rPr>
          <w:noProof/>
          <w:szCs w:val="24"/>
        </w:rPr>
        <w:t>4</w:t>
      </w:r>
      <w:r w:rsidR="003C7672" w:rsidRPr="00A43451">
        <w:rPr>
          <w:szCs w:val="24"/>
        </w:rPr>
        <w:fldChar w:fldCharType="end"/>
      </w:r>
      <w:r w:rsidRPr="00A43451">
        <w:rPr>
          <w:szCs w:val="24"/>
        </w:rPr>
        <w:t>: Figure showing trends in gearing ratios</w:t>
      </w:r>
    </w:p>
    <w:p w:rsidR="00575793" w:rsidRPr="00A43451" w:rsidRDefault="0075443D" w:rsidP="00A43451">
      <w:pPr>
        <w:jc w:val="both"/>
        <w:rPr>
          <w:szCs w:val="24"/>
        </w:rPr>
      </w:pPr>
      <w:r w:rsidRPr="00A43451">
        <w:rPr>
          <w:szCs w:val="24"/>
        </w:rPr>
        <w:t xml:space="preserve">The </w:t>
      </w:r>
      <w:r w:rsidR="00575793" w:rsidRPr="00A43451">
        <w:rPr>
          <w:szCs w:val="24"/>
        </w:rPr>
        <w:t>analysis of the two above gearing ratios of Marriott International reflects</w:t>
      </w:r>
      <w:r w:rsidR="00532D8E" w:rsidRPr="00A43451">
        <w:rPr>
          <w:szCs w:val="24"/>
        </w:rPr>
        <w:t xml:space="preserve"> that both its long-term debt to capital ratio and its debt to equity ratio </w:t>
      </w:r>
      <w:r w:rsidR="00575793" w:rsidRPr="00A43451">
        <w:rPr>
          <w:szCs w:val="24"/>
        </w:rPr>
        <w:t>have decreased over the past two years. However, in the case of gearing ratios, a decrease is an indication of improved gearing or solvency. Thus, to conclude, it can be stated that the gearing ratios of Marriott International are showing an improving trend and a better solvency has been accomplished in this hospitality company in 2021.</w:t>
      </w:r>
      <w:bookmarkStart w:id="8" w:name="_Toc120286207"/>
    </w:p>
    <w:p w:rsidR="00575793" w:rsidRPr="00A43451" w:rsidRDefault="00575793" w:rsidP="00A43451">
      <w:pPr>
        <w:jc w:val="both"/>
        <w:rPr>
          <w:szCs w:val="24"/>
        </w:rPr>
      </w:pPr>
      <w:r w:rsidRPr="00A43451">
        <w:rPr>
          <w:szCs w:val="24"/>
        </w:rPr>
        <w:t xml:space="preserve">Depending on the discussions made above, it can b summarised that there has been significant improvements in the profitability ratios of Marriott International in addition to its gearing ratios. </w:t>
      </w:r>
      <w:r w:rsidR="00FA2AC0" w:rsidRPr="00A43451">
        <w:rPr>
          <w:szCs w:val="24"/>
        </w:rPr>
        <w:t>However, a massive deteriorating trend can be identified in the case of the liquidity ratios of this hospitality company. As a result, immediate improvements must be made in its liquidity ratios to achieve a better liquid position. The recommendations for Marriott International to improve its liquidity ratios include selling off unproductive assets, controlling overhead costs and cutting back on costs. Automating the credit control systems, strong management of debtors and creditors along with usage of long-term financing are a few other recommendations for this company to improve its liquid position.</w:t>
      </w:r>
      <w:r w:rsidRPr="00A43451">
        <w:rPr>
          <w:szCs w:val="24"/>
        </w:rPr>
        <w:br w:type="page"/>
      </w:r>
    </w:p>
    <w:p w:rsidR="00E624CD" w:rsidRPr="00A43451" w:rsidRDefault="00E624CD" w:rsidP="00A43451">
      <w:pPr>
        <w:pStyle w:val="Titlu1"/>
        <w:rPr>
          <w:rFonts w:cstheme="minorBidi"/>
          <w:sz w:val="24"/>
          <w:szCs w:val="24"/>
        </w:rPr>
      </w:pPr>
      <w:bookmarkStart w:id="9" w:name="_Toc120985396"/>
      <w:r w:rsidRPr="00A43451">
        <w:rPr>
          <w:rFonts w:cstheme="minorBidi"/>
          <w:sz w:val="24"/>
          <w:szCs w:val="24"/>
        </w:rPr>
        <w:t>Knowledge from Ratio Analysis</w:t>
      </w:r>
      <w:bookmarkEnd w:id="8"/>
      <w:bookmarkEnd w:id="9"/>
    </w:p>
    <w:p w:rsidR="00E624CD" w:rsidRPr="00A43451" w:rsidRDefault="0081540C" w:rsidP="00A43451">
      <w:pPr>
        <w:jc w:val="both"/>
        <w:rPr>
          <w:szCs w:val="24"/>
        </w:rPr>
      </w:pPr>
      <w:r w:rsidRPr="00A43451">
        <w:rPr>
          <w:szCs w:val="24"/>
        </w:rPr>
        <w:t>The usefulness of ratio analysis is considerable for all companies. However, apart from benefits and usefulness, ratio analysis possesses certain limitations as well, a discussion on which is made below –</w:t>
      </w:r>
    </w:p>
    <w:p w:rsidR="0081540C" w:rsidRPr="00A43451" w:rsidRDefault="0081540C" w:rsidP="00A43451">
      <w:pPr>
        <w:pStyle w:val="Listparagraf"/>
        <w:numPr>
          <w:ilvl w:val="0"/>
          <w:numId w:val="1"/>
        </w:numPr>
        <w:jc w:val="both"/>
        <w:rPr>
          <w:szCs w:val="24"/>
        </w:rPr>
      </w:pPr>
      <w:r w:rsidRPr="00A43451">
        <w:rPr>
          <w:szCs w:val="24"/>
        </w:rPr>
        <w:t>The financial statements of a company are unable to account for the effects of inflation</w:t>
      </w:r>
      <w:r w:rsidR="009317FE" w:rsidRPr="00A43451">
        <w:rPr>
          <w:szCs w:val="24"/>
        </w:rPr>
        <w:t xml:space="preserve"> (</w:t>
      </w:r>
      <w:proofErr w:type="spellStart"/>
      <w:r w:rsidR="009317FE" w:rsidRPr="00A43451">
        <w:rPr>
          <w:szCs w:val="24"/>
        </w:rPr>
        <w:t>Ruslim</w:t>
      </w:r>
      <w:proofErr w:type="spellEnd"/>
      <w:r w:rsidR="009317FE" w:rsidRPr="00A43451">
        <w:rPr>
          <w:szCs w:val="24"/>
        </w:rPr>
        <w:t xml:space="preserve"> and Michael, 2019)</w:t>
      </w:r>
      <w:r w:rsidRPr="00A43451">
        <w:rPr>
          <w:szCs w:val="24"/>
        </w:rPr>
        <w:t>. This is because all financial statements are periodically released time difference in time between these releases. However, the inflation arising between these time differences turn out being a failure for the determination of the real prices. As a result, ratio analysis done for a company turns out being wrong.</w:t>
      </w:r>
    </w:p>
    <w:p w:rsidR="0081540C" w:rsidRPr="00A43451" w:rsidRDefault="0081540C" w:rsidP="00A43451">
      <w:pPr>
        <w:pStyle w:val="Listparagraf"/>
        <w:numPr>
          <w:ilvl w:val="0"/>
          <w:numId w:val="1"/>
        </w:numPr>
        <w:jc w:val="both"/>
        <w:rPr>
          <w:szCs w:val="24"/>
        </w:rPr>
      </w:pPr>
      <w:r w:rsidRPr="00A43451">
        <w:rPr>
          <w:szCs w:val="24"/>
        </w:rPr>
        <w:t xml:space="preserve">Moreover, there are no standard definitions available for analysing ratios. Ratios are defined in different ways due to which </w:t>
      </w:r>
      <w:r w:rsidR="00C27110" w:rsidRPr="00A43451">
        <w:rPr>
          <w:szCs w:val="24"/>
        </w:rPr>
        <w:t>interpreting the results of ratios become difficult. Due to no standard definitions available, some ratios are incorrect interpreted as well.</w:t>
      </w:r>
    </w:p>
    <w:p w:rsidR="00C27110" w:rsidRPr="00A43451" w:rsidRDefault="00C27110" w:rsidP="00A43451">
      <w:pPr>
        <w:pStyle w:val="Listparagraf"/>
        <w:numPr>
          <w:ilvl w:val="0"/>
          <w:numId w:val="1"/>
        </w:numPr>
        <w:jc w:val="both"/>
        <w:rPr>
          <w:szCs w:val="24"/>
        </w:rPr>
      </w:pPr>
      <w:r w:rsidRPr="00A43451">
        <w:rPr>
          <w:szCs w:val="24"/>
        </w:rPr>
        <w:t xml:space="preserve">All ratios are calculated depending on the financial statements of businesses. However, to fulfil their own interests, the managers of a company often alter the figures recorded in financial statements. Such </w:t>
      </w:r>
      <w:r w:rsidR="00A0345D" w:rsidRPr="00A43451">
        <w:rPr>
          <w:szCs w:val="24"/>
        </w:rPr>
        <w:t>manipulation of the financial statements of a company also ends</w:t>
      </w:r>
      <w:r w:rsidRPr="00A43451">
        <w:rPr>
          <w:szCs w:val="24"/>
        </w:rPr>
        <w:t xml:space="preserve"> up </w:t>
      </w:r>
      <w:r w:rsidR="00B81EDF" w:rsidRPr="00A43451">
        <w:rPr>
          <w:szCs w:val="24"/>
        </w:rPr>
        <w:t xml:space="preserve">making </w:t>
      </w:r>
      <w:r w:rsidR="00A0345D" w:rsidRPr="00A43451">
        <w:rPr>
          <w:szCs w:val="24"/>
        </w:rPr>
        <w:t>its</w:t>
      </w:r>
      <w:r w:rsidR="00B81EDF" w:rsidRPr="00A43451">
        <w:rPr>
          <w:szCs w:val="24"/>
        </w:rPr>
        <w:t xml:space="preserve"> </w:t>
      </w:r>
      <w:r w:rsidR="00A0345D" w:rsidRPr="00A43451">
        <w:rPr>
          <w:szCs w:val="24"/>
        </w:rPr>
        <w:t>ratio analysis inefficient.</w:t>
      </w:r>
    </w:p>
    <w:p w:rsidR="00E624CD" w:rsidRPr="00A43451" w:rsidRDefault="00A0345D" w:rsidP="00A43451">
      <w:pPr>
        <w:pStyle w:val="Listparagraf"/>
        <w:numPr>
          <w:ilvl w:val="0"/>
          <w:numId w:val="1"/>
        </w:numPr>
        <w:jc w:val="both"/>
        <w:rPr>
          <w:szCs w:val="24"/>
        </w:rPr>
      </w:pPr>
      <w:r w:rsidRPr="00A43451">
        <w:rPr>
          <w:szCs w:val="24"/>
        </w:rPr>
        <w:t>Besides this, ratios are unable to interpret of the non-financial measures of a company. They possess the capacity of evaluating only its financial performance. However, non-financial performance is also important to be evaluated in companies.</w:t>
      </w:r>
    </w:p>
    <w:p w:rsidR="00A0345D" w:rsidRPr="00A43451" w:rsidRDefault="00A0345D" w:rsidP="00A43451">
      <w:pPr>
        <w:pStyle w:val="Listparagraf"/>
        <w:numPr>
          <w:ilvl w:val="0"/>
          <w:numId w:val="1"/>
        </w:numPr>
        <w:jc w:val="both"/>
        <w:rPr>
          <w:szCs w:val="24"/>
        </w:rPr>
      </w:pPr>
      <w:r w:rsidRPr="00A43451">
        <w:rPr>
          <w:szCs w:val="24"/>
        </w:rPr>
        <w:t>Lastly, ratio analysis possesses the drawback of being based on historical information</w:t>
      </w:r>
      <w:r w:rsidR="009317FE" w:rsidRPr="00A43451">
        <w:rPr>
          <w:szCs w:val="24"/>
        </w:rPr>
        <w:t xml:space="preserve"> (Alexander, 2018)</w:t>
      </w:r>
      <w:r w:rsidRPr="00A43451">
        <w:rPr>
          <w:szCs w:val="24"/>
        </w:rPr>
        <w:t>. The analysis of ratios cannot reflect the present or future performance information of companies.</w:t>
      </w:r>
    </w:p>
    <w:p w:rsidR="00E624CD" w:rsidRPr="00A43451" w:rsidRDefault="00DE51DA" w:rsidP="00A43451">
      <w:pPr>
        <w:jc w:val="both"/>
        <w:rPr>
          <w:szCs w:val="24"/>
        </w:rPr>
      </w:pPr>
      <w:r w:rsidRPr="00A43451">
        <w:rPr>
          <w:szCs w:val="24"/>
        </w:rPr>
        <w:t xml:space="preserve">The managers working in Marriott International should be considering all the limitations associated with ratio analysis, as discussed above. There can be significant effects of not considering these limitations of ratio analysis on the decisions made or actions taken based on analysis of ratios, thereby affecting its financial management negatively. </w:t>
      </w:r>
      <w:r w:rsidR="00B70DB1" w:rsidRPr="00A43451">
        <w:rPr>
          <w:szCs w:val="24"/>
        </w:rPr>
        <w:t xml:space="preserve">As stated by </w:t>
      </w:r>
      <w:r w:rsidR="009317FE" w:rsidRPr="00A43451">
        <w:rPr>
          <w:szCs w:val="24"/>
        </w:rPr>
        <w:t xml:space="preserve">Robinson </w:t>
      </w:r>
      <w:r w:rsidR="00B70DB1" w:rsidRPr="00A43451">
        <w:rPr>
          <w:szCs w:val="24"/>
        </w:rPr>
        <w:t>(</w:t>
      </w:r>
      <w:r w:rsidR="009317FE" w:rsidRPr="00A43451">
        <w:rPr>
          <w:szCs w:val="24"/>
        </w:rPr>
        <w:t>2020</w:t>
      </w:r>
      <w:r w:rsidR="00B70DB1" w:rsidRPr="00A43451">
        <w:rPr>
          <w:szCs w:val="24"/>
        </w:rPr>
        <w:t xml:space="preserve">), it is important for all business organisations to develop a strong understanding of ratios as well as the fluctuations of ratios. </w:t>
      </w:r>
      <w:r w:rsidR="00153946" w:rsidRPr="00A43451">
        <w:rPr>
          <w:szCs w:val="24"/>
        </w:rPr>
        <w:t>The understanding of ratios is also essential for hotel management. It is because understanding ratios and the fluctuations that occur in these ratios affects the analysis of the financial statements of a hotel. For example, in Marriott International, the understanding present in the managers about ratios and their fluctuations assists them to analyse all the financial figures recorded in its year-end financial statements.</w:t>
      </w:r>
    </w:p>
    <w:p w:rsidR="00E624CD" w:rsidRPr="00A43451" w:rsidRDefault="00153946" w:rsidP="00A43451">
      <w:pPr>
        <w:jc w:val="both"/>
        <w:rPr>
          <w:szCs w:val="24"/>
        </w:rPr>
      </w:pPr>
      <w:r w:rsidRPr="00A43451">
        <w:rPr>
          <w:szCs w:val="24"/>
        </w:rPr>
        <w:t xml:space="preserve">Based on the evaluation of these year-end financial statements, </w:t>
      </w:r>
      <w:r w:rsidR="006238F7" w:rsidRPr="00A43451">
        <w:rPr>
          <w:szCs w:val="24"/>
        </w:rPr>
        <w:t>the managers of this hospitality company</w:t>
      </w:r>
      <w:r w:rsidR="00B02324" w:rsidRPr="00A43451">
        <w:rPr>
          <w:szCs w:val="24"/>
        </w:rPr>
        <w:t xml:space="preserve"> can be analysing its financial performance and financial health in terms of liquidity, profitability, gearing and other aspects. The deteriorations or improvements in the company’s performance can be recognised while the steps that are essential for further improvements can be easily adopted. Moreover, in a hospitality company, understanding ratios and fluctuations is important to evaluate the efficiency present in the decisions made by their managers or the initiatives that they adopted earlier. The determination of increasing trends helps a hospitality company to recognise that the managers’ decisions and initiatives were effective and vice versa</w:t>
      </w:r>
      <w:r w:rsidR="0081540C" w:rsidRPr="00A43451">
        <w:rPr>
          <w:szCs w:val="24"/>
        </w:rPr>
        <w:t>. Thus, good hotel management can be attained due to understanding ratios and their fluctuations in the manner described above.</w:t>
      </w:r>
      <w:r w:rsidR="00E624CD" w:rsidRPr="00A43451">
        <w:rPr>
          <w:szCs w:val="24"/>
        </w:rPr>
        <w:br w:type="page"/>
      </w:r>
    </w:p>
    <w:p w:rsidR="00E624CD" w:rsidRPr="00A43451" w:rsidRDefault="00E624CD" w:rsidP="00A43451">
      <w:pPr>
        <w:pStyle w:val="Titlu1"/>
        <w:rPr>
          <w:rFonts w:cstheme="minorBidi"/>
          <w:sz w:val="24"/>
          <w:szCs w:val="24"/>
        </w:rPr>
      </w:pPr>
      <w:bookmarkStart w:id="10" w:name="_Toc120286208"/>
      <w:bookmarkStart w:id="11" w:name="_Toc120985397"/>
      <w:r w:rsidRPr="00A43451">
        <w:rPr>
          <w:rFonts w:cstheme="minorBidi"/>
          <w:sz w:val="24"/>
          <w:szCs w:val="24"/>
        </w:rPr>
        <w:t>Benefits and Limitations of Ratio Analysis</w:t>
      </w:r>
      <w:bookmarkEnd w:id="10"/>
      <w:bookmarkEnd w:id="11"/>
    </w:p>
    <w:p w:rsidR="00E624CD" w:rsidRPr="00A43451" w:rsidRDefault="003E744F" w:rsidP="00A43451">
      <w:pPr>
        <w:jc w:val="both"/>
        <w:rPr>
          <w:szCs w:val="24"/>
        </w:rPr>
      </w:pPr>
      <w:r w:rsidRPr="00A43451">
        <w:rPr>
          <w:szCs w:val="24"/>
        </w:rPr>
        <w:t xml:space="preserve">The financial ratios are referred to as metrics of evaluating the financial health and financial performance accomplished in companies. In this context, </w:t>
      </w:r>
      <w:proofErr w:type="spellStart"/>
      <w:r w:rsidR="009317FE" w:rsidRPr="00A43451">
        <w:rPr>
          <w:szCs w:val="24"/>
        </w:rPr>
        <w:t>Endri</w:t>
      </w:r>
      <w:proofErr w:type="spellEnd"/>
      <w:r w:rsidR="009317FE" w:rsidRPr="00A43451">
        <w:rPr>
          <w:szCs w:val="24"/>
        </w:rPr>
        <w:t xml:space="preserve"> </w:t>
      </w:r>
      <w:r w:rsidRPr="00A43451">
        <w:rPr>
          <w:szCs w:val="24"/>
        </w:rPr>
        <w:t>(</w:t>
      </w:r>
      <w:r w:rsidR="009317FE" w:rsidRPr="00A43451">
        <w:rPr>
          <w:szCs w:val="24"/>
        </w:rPr>
        <w:t>2020</w:t>
      </w:r>
      <w:r w:rsidRPr="00A43451">
        <w:rPr>
          <w:szCs w:val="24"/>
        </w:rPr>
        <w:t xml:space="preserve">) stated that the meaningful information can be gained </w:t>
      </w:r>
      <w:r w:rsidR="00472205" w:rsidRPr="00A43451">
        <w:rPr>
          <w:szCs w:val="24"/>
        </w:rPr>
        <w:t xml:space="preserve">about the financial </w:t>
      </w:r>
      <w:r w:rsidR="00D4587B" w:rsidRPr="00A43451">
        <w:rPr>
          <w:szCs w:val="24"/>
        </w:rPr>
        <w:t>performance of companies through the analysis of ratios. The calculation of the ratios of a company is done through comparing the different figures that are recorded in a company’s financial statements. Liquidity ratios, profitability ratios, efficiency ratios, market value ratios and gearing ratios are the few fundamental types of ratios calculated in companies. These ratios provide a detailed reflection on the profit-generating capacity, liquidity, capital structure, growth, asset utilising efficiency and stock market performance achieved in companies over several periods.</w:t>
      </w:r>
    </w:p>
    <w:p w:rsidR="00D4587B" w:rsidRPr="00A43451" w:rsidRDefault="00D4587B" w:rsidP="00A43451">
      <w:pPr>
        <w:jc w:val="both"/>
        <w:rPr>
          <w:szCs w:val="24"/>
        </w:rPr>
      </w:pPr>
      <w:r w:rsidRPr="00A43451">
        <w:rPr>
          <w:szCs w:val="24"/>
        </w:rPr>
        <w:t xml:space="preserve">One of the key ways in which ratios are helpful for companies includes their contribution towards identification of their financial strengths and financial weaknesses. Apart from this, the ratios of the previous year of a company are also beneficial for the anticipation of its future performance. </w:t>
      </w:r>
      <w:r w:rsidR="00992E42" w:rsidRPr="00A43451">
        <w:rPr>
          <w:szCs w:val="24"/>
        </w:rPr>
        <w:t>These are the few common benefits related to ratios. However, the key benefit of ratio lies in terms of its importance in decision-making. Ratios help in making a range of decisions in a company (</w:t>
      </w:r>
      <w:proofErr w:type="spellStart"/>
      <w:r w:rsidR="009317FE" w:rsidRPr="00A43451">
        <w:rPr>
          <w:szCs w:val="24"/>
        </w:rPr>
        <w:t>Restianti</w:t>
      </w:r>
      <w:proofErr w:type="spellEnd"/>
      <w:r w:rsidR="009317FE" w:rsidRPr="00A43451">
        <w:rPr>
          <w:szCs w:val="24"/>
        </w:rPr>
        <w:t xml:space="preserve"> and </w:t>
      </w:r>
      <w:proofErr w:type="spellStart"/>
      <w:r w:rsidR="009317FE" w:rsidRPr="00A43451">
        <w:rPr>
          <w:szCs w:val="24"/>
        </w:rPr>
        <w:t>Agustina</w:t>
      </w:r>
      <w:proofErr w:type="spellEnd"/>
      <w:r w:rsidR="009317FE" w:rsidRPr="00A43451">
        <w:rPr>
          <w:szCs w:val="24"/>
        </w:rPr>
        <w:t>, 2018</w:t>
      </w:r>
      <w:r w:rsidR="00992E42" w:rsidRPr="00A43451">
        <w:rPr>
          <w:szCs w:val="24"/>
        </w:rPr>
        <w:t>). For example, in Marriott International, one of the primary reasons for which ratios is important includes the contribution of ratios in validating or disapproving the operating decisions made in the company. Apart from this, ratios also help the company in terms of validating or disapproving its financing and investment decisions.</w:t>
      </w:r>
    </w:p>
    <w:p w:rsidR="00E624CD" w:rsidRPr="00A43451" w:rsidRDefault="00992E42" w:rsidP="00A43451">
      <w:pPr>
        <w:jc w:val="both"/>
        <w:rPr>
          <w:szCs w:val="24"/>
        </w:rPr>
      </w:pPr>
      <w:r w:rsidRPr="00A43451">
        <w:rPr>
          <w:szCs w:val="24"/>
        </w:rPr>
        <w:t xml:space="preserve">Besides this, </w:t>
      </w:r>
      <w:r w:rsidR="00815D8B" w:rsidRPr="00A43451">
        <w:rPr>
          <w:szCs w:val="24"/>
        </w:rPr>
        <w:t>ratios help the managers of a company to compare the performance it has accomplished either with industry averages or with the performance of competitors in the industry</w:t>
      </w:r>
      <w:r w:rsidR="009317FE" w:rsidRPr="00A43451">
        <w:rPr>
          <w:szCs w:val="24"/>
        </w:rPr>
        <w:t xml:space="preserve"> (</w:t>
      </w:r>
      <w:proofErr w:type="spellStart"/>
      <w:r w:rsidR="009317FE" w:rsidRPr="00A43451">
        <w:rPr>
          <w:szCs w:val="24"/>
        </w:rPr>
        <w:t>Kadim</w:t>
      </w:r>
      <w:proofErr w:type="spellEnd"/>
      <w:r w:rsidR="009317FE" w:rsidRPr="00A43451">
        <w:rPr>
          <w:szCs w:val="24"/>
        </w:rPr>
        <w:t xml:space="preserve"> </w:t>
      </w:r>
      <w:r w:rsidR="009317FE" w:rsidRPr="00A43451">
        <w:rPr>
          <w:i/>
          <w:iCs/>
          <w:szCs w:val="24"/>
        </w:rPr>
        <w:t>et al</w:t>
      </w:r>
      <w:r w:rsidR="009317FE" w:rsidRPr="00A43451">
        <w:rPr>
          <w:szCs w:val="24"/>
        </w:rPr>
        <w:t>., 2020)</w:t>
      </w:r>
      <w:r w:rsidR="00815D8B" w:rsidRPr="00A43451">
        <w:rPr>
          <w:szCs w:val="24"/>
        </w:rPr>
        <w:t xml:space="preserve">. </w:t>
      </w:r>
      <w:r w:rsidR="00B34075" w:rsidRPr="00A43451">
        <w:rPr>
          <w:szCs w:val="24"/>
        </w:rPr>
        <w:t xml:space="preserve">Depending on the comparisons made, its managers are able to adopt new business strategies or make changes to existing strategies to achieve a better performance in the industry and perform better than competitors. </w:t>
      </w:r>
      <w:r w:rsidR="00815D8B" w:rsidRPr="00A43451">
        <w:rPr>
          <w:szCs w:val="24"/>
        </w:rPr>
        <w:t xml:space="preserve">Moreover, </w:t>
      </w:r>
      <w:r w:rsidRPr="00A43451">
        <w:rPr>
          <w:szCs w:val="24"/>
        </w:rPr>
        <w:t xml:space="preserve">as ratios are successful in terms of pinpointing the problematic areas of a company, its managers are able to make a range decisions to improve these areas. For example, in Marriott International, managers are able to detect the areas of problem existing in its financial performance. Accordingly, </w:t>
      </w:r>
      <w:r w:rsidR="00815D8B" w:rsidRPr="00A43451">
        <w:rPr>
          <w:szCs w:val="24"/>
        </w:rPr>
        <w:t>strategies can be developed so that the performance in these areas can be improved.</w:t>
      </w:r>
      <w:r w:rsidR="00537A68" w:rsidRPr="00A43451">
        <w:rPr>
          <w:szCs w:val="24"/>
        </w:rPr>
        <w:t xml:space="preserve"> As a result, ratios have great importance for decision-making and improve the financial management in hospitality companies through improving their financial decisions.</w:t>
      </w:r>
      <w:r w:rsidR="00E624CD" w:rsidRPr="00A43451">
        <w:rPr>
          <w:szCs w:val="24"/>
        </w:rPr>
        <w:br w:type="page"/>
      </w:r>
    </w:p>
    <w:p w:rsidR="00E624CD" w:rsidRPr="00A43451" w:rsidRDefault="00E624CD" w:rsidP="00A43451">
      <w:pPr>
        <w:pStyle w:val="Titlu1"/>
        <w:rPr>
          <w:rFonts w:cstheme="minorBidi"/>
          <w:sz w:val="24"/>
          <w:szCs w:val="24"/>
        </w:rPr>
      </w:pPr>
      <w:bookmarkStart w:id="12" w:name="_Toc120286209"/>
      <w:bookmarkStart w:id="13" w:name="_Toc120985398"/>
      <w:r w:rsidRPr="00A43451">
        <w:rPr>
          <w:rFonts w:cstheme="minorBidi"/>
          <w:sz w:val="24"/>
          <w:szCs w:val="24"/>
        </w:rPr>
        <w:t>Conclusion</w:t>
      </w:r>
      <w:bookmarkEnd w:id="12"/>
      <w:bookmarkEnd w:id="13"/>
    </w:p>
    <w:p w:rsidR="00E624CD" w:rsidRPr="00A43451" w:rsidRDefault="00C950BF" w:rsidP="00A43451">
      <w:pPr>
        <w:jc w:val="both"/>
        <w:rPr>
          <w:szCs w:val="24"/>
        </w:rPr>
      </w:pPr>
      <w:r w:rsidRPr="00A43451">
        <w:rPr>
          <w:szCs w:val="24"/>
        </w:rPr>
        <w:t xml:space="preserve">Hence, to conclude, it can be stated that this report has been largely beneficial to realise that ratios are one of the most important tools for ensuring financial management in the hospitality industry. The ratios analysed for Marriott International indicates that the </w:t>
      </w:r>
      <w:r w:rsidR="005E098A" w:rsidRPr="00A43451">
        <w:rPr>
          <w:szCs w:val="24"/>
        </w:rPr>
        <w:t xml:space="preserve">company has extremely poor liquid position in both 2020 and 2021 with further decreases recognised in 2021. However, liquid position of the company can be improved by using the recommendations provided in this report. The profitability and gearing ratios of Marriott International could be determined to have an increasing trend in 2021. </w:t>
      </w:r>
      <w:r w:rsidR="0088141B" w:rsidRPr="00A43451">
        <w:rPr>
          <w:szCs w:val="24"/>
        </w:rPr>
        <w:t>On the other hand, it could be determined that ratio analysis and an understanding of its fluctuations is important for hotel management. A range of ways in which ratio analysis helps a company in terms of decision-making could be analysed in detail. Hence, the findings have been of increasing importance to understand the analysis of financial statements in the hospitality industry.</w:t>
      </w:r>
      <w:r w:rsidR="00E624CD" w:rsidRPr="00A43451">
        <w:rPr>
          <w:szCs w:val="24"/>
        </w:rPr>
        <w:br w:type="page"/>
      </w:r>
    </w:p>
    <w:p w:rsidR="00E624CD" w:rsidRPr="00A43451" w:rsidRDefault="00E624CD" w:rsidP="00A43451">
      <w:pPr>
        <w:pStyle w:val="Titlu1"/>
        <w:rPr>
          <w:rFonts w:cstheme="minorBidi"/>
          <w:sz w:val="24"/>
          <w:szCs w:val="24"/>
        </w:rPr>
      </w:pPr>
      <w:bookmarkStart w:id="14" w:name="_Toc120286210"/>
      <w:bookmarkStart w:id="15" w:name="_Toc120985399"/>
      <w:r w:rsidRPr="00A43451">
        <w:rPr>
          <w:rFonts w:cstheme="minorBidi"/>
          <w:sz w:val="24"/>
          <w:szCs w:val="24"/>
        </w:rPr>
        <w:t>Bibliography</w:t>
      </w:r>
      <w:bookmarkEnd w:id="14"/>
      <w:bookmarkEnd w:id="15"/>
    </w:p>
    <w:p w:rsidR="001D19AF" w:rsidRPr="00A43451" w:rsidRDefault="005B1843" w:rsidP="00A43451">
      <w:pPr>
        <w:jc w:val="both"/>
        <w:rPr>
          <w:szCs w:val="24"/>
        </w:rPr>
      </w:pPr>
      <w:r w:rsidRPr="00A43451">
        <w:rPr>
          <w:szCs w:val="24"/>
        </w:rPr>
        <w:t>Alexander, J</w:t>
      </w:r>
      <w:r w:rsidR="009317FE" w:rsidRPr="00A43451">
        <w:rPr>
          <w:szCs w:val="24"/>
        </w:rPr>
        <w:t>. (2018)</w:t>
      </w:r>
      <w:r w:rsidRPr="00A43451">
        <w:rPr>
          <w:szCs w:val="24"/>
        </w:rPr>
        <w:t> </w:t>
      </w:r>
      <w:r w:rsidRPr="00A43451">
        <w:rPr>
          <w:i/>
          <w:iCs/>
          <w:szCs w:val="24"/>
        </w:rPr>
        <w:t>Financial planning &amp; analysis and performance management</w:t>
      </w:r>
      <w:r w:rsidRPr="00A43451">
        <w:rPr>
          <w:szCs w:val="24"/>
        </w:rPr>
        <w:t>. John Wiley &amp; Sons.</w:t>
      </w:r>
    </w:p>
    <w:p w:rsidR="00666A46" w:rsidRPr="00A43451" w:rsidRDefault="005B1843" w:rsidP="00A43451">
      <w:pPr>
        <w:jc w:val="both"/>
        <w:rPr>
          <w:szCs w:val="24"/>
        </w:rPr>
      </w:pPr>
      <w:r w:rsidRPr="00A43451">
        <w:rPr>
          <w:szCs w:val="24"/>
        </w:rPr>
        <w:t>Amanda, R.I</w:t>
      </w:r>
      <w:r w:rsidR="009317FE" w:rsidRPr="00A43451">
        <w:rPr>
          <w:szCs w:val="24"/>
        </w:rPr>
        <w:t>. (2019)</w:t>
      </w:r>
      <w:r w:rsidRPr="00A43451">
        <w:rPr>
          <w:szCs w:val="24"/>
        </w:rPr>
        <w:t xml:space="preserve"> The Impact of Cash Turnover, Receivable Turnover, Inventory Turnover, Current Ratio and Debt to Equity Ratio on Profitability. </w:t>
      </w:r>
      <w:r w:rsidRPr="00A43451">
        <w:rPr>
          <w:i/>
          <w:iCs/>
          <w:szCs w:val="24"/>
        </w:rPr>
        <w:t>Journal of research in management</w:t>
      </w:r>
      <w:r w:rsidRPr="00A43451">
        <w:rPr>
          <w:szCs w:val="24"/>
        </w:rPr>
        <w:t>, </w:t>
      </w:r>
      <w:r w:rsidRPr="00A43451">
        <w:rPr>
          <w:i/>
          <w:iCs/>
          <w:szCs w:val="24"/>
        </w:rPr>
        <w:t>2</w:t>
      </w:r>
      <w:r w:rsidRPr="00A43451">
        <w:rPr>
          <w:szCs w:val="24"/>
        </w:rPr>
        <w:t>(2).</w:t>
      </w:r>
    </w:p>
    <w:p w:rsidR="00D74BCC" w:rsidRPr="00A43451" w:rsidRDefault="005B1843" w:rsidP="00A43451">
      <w:pPr>
        <w:jc w:val="both"/>
        <w:rPr>
          <w:szCs w:val="24"/>
        </w:rPr>
      </w:pPr>
      <w:r w:rsidRPr="00A43451">
        <w:rPr>
          <w:szCs w:val="24"/>
        </w:rPr>
        <w:t xml:space="preserve">CFI (2022) </w:t>
      </w:r>
      <w:r w:rsidRPr="00A43451">
        <w:rPr>
          <w:i/>
          <w:iCs/>
          <w:szCs w:val="24"/>
        </w:rPr>
        <w:t>Financial ratios</w:t>
      </w:r>
      <w:r w:rsidRPr="00A43451">
        <w:rPr>
          <w:szCs w:val="24"/>
        </w:rPr>
        <w:t xml:space="preserve">, </w:t>
      </w:r>
      <w:r w:rsidRPr="00A43451">
        <w:rPr>
          <w:i/>
          <w:iCs/>
          <w:szCs w:val="24"/>
        </w:rPr>
        <w:t>Corporate Finance Institute</w:t>
      </w:r>
      <w:r w:rsidRPr="00A43451">
        <w:rPr>
          <w:szCs w:val="24"/>
        </w:rPr>
        <w:t xml:space="preserve">. Available at: https://corporatefinanceinstitute.com/resources/accounting/financial-ratios/ (Accessed: December 3, 2022). </w:t>
      </w:r>
    </w:p>
    <w:p w:rsidR="001A52AD" w:rsidRPr="00A43451" w:rsidRDefault="005B1843" w:rsidP="00A43451">
      <w:pPr>
        <w:jc w:val="both"/>
        <w:rPr>
          <w:szCs w:val="24"/>
        </w:rPr>
      </w:pPr>
      <w:proofErr w:type="spellStart"/>
      <w:r w:rsidRPr="00A43451">
        <w:rPr>
          <w:szCs w:val="24"/>
        </w:rPr>
        <w:t>Crespí-Cladera</w:t>
      </w:r>
      <w:proofErr w:type="spellEnd"/>
      <w:r w:rsidRPr="00A43451">
        <w:rPr>
          <w:szCs w:val="24"/>
        </w:rPr>
        <w:t xml:space="preserve">, R., Martín-Oliver, A. and </w:t>
      </w:r>
      <w:proofErr w:type="spellStart"/>
      <w:r w:rsidRPr="00A43451">
        <w:rPr>
          <w:szCs w:val="24"/>
        </w:rPr>
        <w:t>Pascual-Fuster</w:t>
      </w:r>
      <w:proofErr w:type="spellEnd"/>
      <w:r w:rsidRPr="00A43451">
        <w:rPr>
          <w:szCs w:val="24"/>
        </w:rPr>
        <w:t>, B</w:t>
      </w:r>
      <w:r w:rsidR="009317FE" w:rsidRPr="00A43451">
        <w:rPr>
          <w:szCs w:val="24"/>
        </w:rPr>
        <w:t>. (2021)</w:t>
      </w:r>
      <w:r w:rsidRPr="00A43451">
        <w:rPr>
          <w:szCs w:val="24"/>
        </w:rPr>
        <w:t xml:space="preserve"> Financial distress in the hospitality industry during the Covid-19 disaster. </w:t>
      </w:r>
      <w:r w:rsidRPr="00A43451">
        <w:rPr>
          <w:i/>
          <w:iCs/>
          <w:szCs w:val="24"/>
        </w:rPr>
        <w:t>Tourism Management</w:t>
      </w:r>
      <w:r w:rsidRPr="00A43451">
        <w:rPr>
          <w:szCs w:val="24"/>
        </w:rPr>
        <w:t>, </w:t>
      </w:r>
      <w:r w:rsidRPr="00A43451">
        <w:rPr>
          <w:i/>
          <w:iCs/>
          <w:szCs w:val="24"/>
        </w:rPr>
        <w:t>85</w:t>
      </w:r>
      <w:r w:rsidRPr="00A43451">
        <w:rPr>
          <w:szCs w:val="24"/>
        </w:rPr>
        <w:t>, p.104301.</w:t>
      </w:r>
    </w:p>
    <w:p w:rsidR="00BC41D2" w:rsidRPr="00A43451" w:rsidRDefault="005B1843" w:rsidP="00A43451">
      <w:pPr>
        <w:jc w:val="both"/>
        <w:rPr>
          <w:szCs w:val="24"/>
        </w:rPr>
      </w:pPr>
      <w:proofErr w:type="spellStart"/>
      <w:r w:rsidRPr="00A43451">
        <w:rPr>
          <w:szCs w:val="24"/>
        </w:rPr>
        <w:t>Endri</w:t>
      </w:r>
      <w:proofErr w:type="spellEnd"/>
      <w:r w:rsidRPr="00A43451">
        <w:rPr>
          <w:szCs w:val="24"/>
        </w:rPr>
        <w:t xml:space="preserve">, E., </w:t>
      </w:r>
      <w:proofErr w:type="spellStart"/>
      <w:r w:rsidRPr="00A43451">
        <w:rPr>
          <w:szCs w:val="24"/>
        </w:rPr>
        <w:t>Susanti</w:t>
      </w:r>
      <w:proofErr w:type="spellEnd"/>
      <w:r w:rsidRPr="00A43451">
        <w:rPr>
          <w:szCs w:val="24"/>
        </w:rPr>
        <w:t xml:space="preserve">, D., </w:t>
      </w:r>
      <w:proofErr w:type="spellStart"/>
      <w:r w:rsidRPr="00A43451">
        <w:rPr>
          <w:szCs w:val="24"/>
        </w:rPr>
        <w:t>Hutabarat</w:t>
      </w:r>
      <w:proofErr w:type="spellEnd"/>
      <w:r w:rsidRPr="00A43451">
        <w:rPr>
          <w:szCs w:val="24"/>
        </w:rPr>
        <w:t xml:space="preserve">, L., </w:t>
      </w:r>
      <w:proofErr w:type="spellStart"/>
      <w:r w:rsidRPr="00A43451">
        <w:rPr>
          <w:szCs w:val="24"/>
        </w:rPr>
        <w:t>Simanjuntak</w:t>
      </w:r>
      <w:proofErr w:type="spellEnd"/>
      <w:r w:rsidRPr="00A43451">
        <w:rPr>
          <w:szCs w:val="24"/>
        </w:rPr>
        <w:t xml:space="preserve">, T.P. and </w:t>
      </w:r>
      <w:proofErr w:type="spellStart"/>
      <w:r w:rsidRPr="00A43451">
        <w:rPr>
          <w:szCs w:val="24"/>
        </w:rPr>
        <w:t>Handayani</w:t>
      </w:r>
      <w:proofErr w:type="spellEnd"/>
      <w:r w:rsidRPr="00A43451">
        <w:rPr>
          <w:szCs w:val="24"/>
        </w:rPr>
        <w:t>, S</w:t>
      </w:r>
      <w:r w:rsidR="009317FE" w:rsidRPr="00A43451">
        <w:rPr>
          <w:szCs w:val="24"/>
        </w:rPr>
        <w:t>. (2020)</w:t>
      </w:r>
      <w:r w:rsidRPr="00A43451">
        <w:rPr>
          <w:szCs w:val="24"/>
        </w:rPr>
        <w:t xml:space="preserve"> Financial performance evaluation: Empirical evidence of pharmaceutical companies in Indonesia. </w:t>
      </w:r>
      <w:r w:rsidRPr="00A43451">
        <w:rPr>
          <w:i/>
          <w:iCs/>
          <w:szCs w:val="24"/>
        </w:rPr>
        <w:t>Systematic Reviews in Pharmacy</w:t>
      </w:r>
      <w:r w:rsidRPr="00A43451">
        <w:rPr>
          <w:szCs w:val="24"/>
        </w:rPr>
        <w:t>, </w:t>
      </w:r>
      <w:r w:rsidRPr="00A43451">
        <w:rPr>
          <w:i/>
          <w:iCs/>
          <w:szCs w:val="24"/>
        </w:rPr>
        <w:t>11</w:t>
      </w:r>
      <w:r w:rsidRPr="00A43451">
        <w:rPr>
          <w:szCs w:val="24"/>
        </w:rPr>
        <w:t>(6), pp.803-816.</w:t>
      </w:r>
    </w:p>
    <w:p w:rsidR="001A52AD" w:rsidRPr="00A43451" w:rsidRDefault="005B1843" w:rsidP="00A43451">
      <w:pPr>
        <w:jc w:val="both"/>
        <w:rPr>
          <w:szCs w:val="24"/>
        </w:rPr>
      </w:pPr>
      <w:proofErr w:type="spellStart"/>
      <w:r w:rsidRPr="00A43451">
        <w:rPr>
          <w:szCs w:val="24"/>
        </w:rPr>
        <w:t>Hidayat</w:t>
      </w:r>
      <w:proofErr w:type="spellEnd"/>
      <w:r w:rsidRPr="00A43451">
        <w:rPr>
          <w:szCs w:val="24"/>
        </w:rPr>
        <w:t xml:space="preserve">, F. and </w:t>
      </w:r>
      <w:proofErr w:type="spellStart"/>
      <w:r w:rsidRPr="00A43451">
        <w:rPr>
          <w:szCs w:val="24"/>
        </w:rPr>
        <w:t>Kurniasih</w:t>
      </w:r>
      <w:proofErr w:type="spellEnd"/>
      <w:r w:rsidRPr="00A43451">
        <w:rPr>
          <w:szCs w:val="24"/>
        </w:rPr>
        <w:t>, A., 2022. Financial Performance Determinants of Financing Companies Listed on the Indonesia Stock Exchange. </w:t>
      </w:r>
      <w:r w:rsidRPr="00A43451">
        <w:rPr>
          <w:i/>
          <w:iCs/>
          <w:szCs w:val="24"/>
        </w:rPr>
        <w:t>Saudi J Econ Fin</w:t>
      </w:r>
      <w:r w:rsidRPr="00A43451">
        <w:rPr>
          <w:szCs w:val="24"/>
        </w:rPr>
        <w:t>, </w:t>
      </w:r>
      <w:r w:rsidRPr="00A43451">
        <w:rPr>
          <w:i/>
          <w:iCs/>
          <w:szCs w:val="24"/>
        </w:rPr>
        <w:t>6</w:t>
      </w:r>
      <w:r w:rsidRPr="00A43451">
        <w:rPr>
          <w:szCs w:val="24"/>
        </w:rPr>
        <w:t>(4), pp.141-146.</w:t>
      </w:r>
    </w:p>
    <w:p w:rsidR="00A80378" w:rsidRPr="00A43451" w:rsidRDefault="005B1843" w:rsidP="00A43451">
      <w:pPr>
        <w:jc w:val="both"/>
        <w:rPr>
          <w:szCs w:val="24"/>
        </w:rPr>
      </w:pPr>
      <w:proofErr w:type="spellStart"/>
      <w:r w:rsidRPr="00A43451">
        <w:rPr>
          <w:szCs w:val="24"/>
        </w:rPr>
        <w:t>Husna</w:t>
      </w:r>
      <w:proofErr w:type="spellEnd"/>
      <w:r w:rsidRPr="00A43451">
        <w:rPr>
          <w:szCs w:val="24"/>
        </w:rPr>
        <w:t xml:space="preserve">, A. and </w:t>
      </w:r>
      <w:proofErr w:type="spellStart"/>
      <w:r w:rsidRPr="00A43451">
        <w:rPr>
          <w:szCs w:val="24"/>
        </w:rPr>
        <w:t>Satria</w:t>
      </w:r>
      <w:proofErr w:type="spellEnd"/>
      <w:r w:rsidRPr="00A43451">
        <w:rPr>
          <w:szCs w:val="24"/>
        </w:rPr>
        <w:t>, I</w:t>
      </w:r>
      <w:r w:rsidR="009317FE" w:rsidRPr="00A43451">
        <w:rPr>
          <w:szCs w:val="24"/>
        </w:rPr>
        <w:t>. (2019)</w:t>
      </w:r>
      <w:r w:rsidRPr="00A43451">
        <w:rPr>
          <w:szCs w:val="24"/>
        </w:rPr>
        <w:t xml:space="preserve"> Effects of return on asset, debt to asset ratio, current ratio, firm size, and dividend </w:t>
      </w:r>
      <w:proofErr w:type="spellStart"/>
      <w:r w:rsidRPr="00A43451">
        <w:rPr>
          <w:szCs w:val="24"/>
        </w:rPr>
        <w:t>payout</w:t>
      </w:r>
      <w:proofErr w:type="spellEnd"/>
      <w:r w:rsidRPr="00A43451">
        <w:rPr>
          <w:szCs w:val="24"/>
        </w:rPr>
        <w:t xml:space="preserve"> ratio on firm value. </w:t>
      </w:r>
      <w:r w:rsidRPr="00A43451">
        <w:rPr>
          <w:i/>
          <w:iCs/>
          <w:szCs w:val="24"/>
        </w:rPr>
        <w:t>International Journal of Economics and Financial Issues</w:t>
      </w:r>
      <w:r w:rsidRPr="00A43451">
        <w:rPr>
          <w:szCs w:val="24"/>
        </w:rPr>
        <w:t>, </w:t>
      </w:r>
      <w:r w:rsidRPr="00A43451">
        <w:rPr>
          <w:i/>
          <w:iCs/>
          <w:szCs w:val="24"/>
        </w:rPr>
        <w:t>9</w:t>
      </w:r>
      <w:r w:rsidRPr="00A43451">
        <w:rPr>
          <w:szCs w:val="24"/>
        </w:rPr>
        <w:t>(5), p.50.</w:t>
      </w:r>
    </w:p>
    <w:p w:rsidR="00421244" w:rsidRPr="00A43451" w:rsidRDefault="005B1843" w:rsidP="00A43451">
      <w:pPr>
        <w:jc w:val="both"/>
        <w:rPr>
          <w:szCs w:val="24"/>
        </w:rPr>
      </w:pPr>
      <w:proofErr w:type="spellStart"/>
      <w:r w:rsidRPr="00A43451">
        <w:rPr>
          <w:szCs w:val="24"/>
        </w:rPr>
        <w:t>Kadim</w:t>
      </w:r>
      <w:proofErr w:type="spellEnd"/>
      <w:r w:rsidRPr="00A43451">
        <w:rPr>
          <w:szCs w:val="24"/>
        </w:rPr>
        <w:t xml:space="preserve">, A., </w:t>
      </w:r>
      <w:proofErr w:type="spellStart"/>
      <w:r w:rsidRPr="00A43451">
        <w:rPr>
          <w:szCs w:val="24"/>
        </w:rPr>
        <w:t>Sunardi</w:t>
      </w:r>
      <w:proofErr w:type="spellEnd"/>
      <w:r w:rsidRPr="00A43451">
        <w:rPr>
          <w:szCs w:val="24"/>
        </w:rPr>
        <w:t>, N. and Husain, T</w:t>
      </w:r>
      <w:r w:rsidR="009317FE" w:rsidRPr="00A43451">
        <w:rPr>
          <w:szCs w:val="24"/>
        </w:rPr>
        <w:t>. (2020)</w:t>
      </w:r>
      <w:r w:rsidRPr="00A43451">
        <w:rPr>
          <w:szCs w:val="24"/>
        </w:rPr>
        <w:t xml:space="preserve"> The </w:t>
      </w:r>
      <w:proofErr w:type="spellStart"/>
      <w:r w:rsidRPr="00A43451">
        <w:rPr>
          <w:szCs w:val="24"/>
        </w:rPr>
        <w:t>modeling</w:t>
      </w:r>
      <w:proofErr w:type="spellEnd"/>
      <w:r w:rsidRPr="00A43451">
        <w:rPr>
          <w:szCs w:val="24"/>
        </w:rPr>
        <w:t xml:space="preserve"> firm's value based on financial ratios, intellectual capital and dividend policy. </w:t>
      </w:r>
      <w:r w:rsidRPr="00A43451">
        <w:rPr>
          <w:i/>
          <w:iCs/>
          <w:szCs w:val="24"/>
        </w:rPr>
        <w:t>Accounting</w:t>
      </w:r>
      <w:r w:rsidRPr="00A43451">
        <w:rPr>
          <w:szCs w:val="24"/>
        </w:rPr>
        <w:t>, </w:t>
      </w:r>
      <w:r w:rsidRPr="00A43451">
        <w:rPr>
          <w:i/>
          <w:iCs/>
          <w:szCs w:val="24"/>
        </w:rPr>
        <w:t>6</w:t>
      </w:r>
      <w:r w:rsidRPr="00A43451">
        <w:rPr>
          <w:szCs w:val="24"/>
        </w:rPr>
        <w:t>(5), pp.859-870.</w:t>
      </w:r>
    </w:p>
    <w:p w:rsidR="00D74BCC" w:rsidRPr="00A43451" w:rsidRDefault="005B1843" w:rsidP="00A43451">
      <w:pPr>
        <w:jc w:val="both"/>
        <w:rPr>
          <w:szCs w:val="24"/>
        </w:rPr>
      </w:pPr>
      <w:proofErr w:type="spellStart"/>
      <w:r w:rsidRPr="00A43451">
        <w:rPr>
          <w:szCs w:val="24"/>
        </w:rPr>
        <w:t>Macrotrends</w:t>
      </w:r>
      <w:proofErr w:type="spellEnd"/>
      <w:r w:rsidRPr="00A43451">
        <w:rPr>
          <w:szCs w:val="24"/>
        </w:rPr>
        <w:t xml:space="preserve"> (2022) </w:t>
      </w:r>
      <w:r w:rsidRPr="00A43451">
        <w:rPr>
          <w:i/>
          <w:iCs/>
          <w:szCs w:val="24"/>
        </w:rPr>
        <w:t>Marriott financial ratios for analysis 2009-2022: Mar</w:t>
      </w:r>
      <w:r w:rsidRPr="00A43451">
        <w:rPr>
          <w:szCs w:val="24"/>
        </w:rPr>
        <w:t xml:space="preserve">, </w:t>
      </w:r>
      <w:proofErr w:type="spellStart"/>
      <w:r w:rsidRPr="00A43451">
        <w:rPr>
          <w:i/>
          <w:iCs/>
          <w:szCs w:val="24"/>
        </w:rPr>
        <w:t>Macrotrends</w:t>
      </w:r>
      <w:proofErr w:type="spellEnd"/>
      <w:r w:rsidRPr="00A43451">
        <w:rPr>
          <w:szCs w:val="24"/>
        </w:rPr>
        <w:t xml:space="preserve">. Available at: https://www.macrotrends.net/stocks/charts/MAR/marriott/financial-ratios (Accessed: December 3, 2022). </w:t>
      </w:r>
    </w:p>
    <w:p w:rsidR="00435606" w:rsidRPr="00A43451" w:rsidRDefault="005B1843" w:rsidP="00A43451">
      <w:pPr>
        <w:jc w:val="both"/>
        <w:rPr>
          <w:szCs w:val="24"/>
        </w:rPr>
      </w:pPr>
      <w:proofErr w:type="spellStart"/>
      <w:r w:rsidRPr="00A43451">
        <w:rPr>
          <w:szCs w:val="24"/>
        </w:rPr>
        <w:t>Restianti</w:t>
      </w:r>
      <w:proofErr w:type="spellEnd"/>
      <w:r w:rsidRPr="00A43451">
        <w:rPr>
          <w:szCs w:val="24"/>
        </w:rPr>
        <w:t xml:space="preserve">, T. and </w:t>
      </w:r>
      <w:proofErr w:type="spellStart"/>
      <w:r w:rsidRPr="00A43451">
        <w:rPr>
          <w:szCs w:val="24"/>
        </w:rPr>
        <w:t>Agustina</w:t>
      </w:r>
      <w:proofErr w:type="spellEnd"/>
      <w:r w:rsidRPr="00A43451">
        <w:rPr>
          <w:szCs w:val="24"/>
        </w:rPr>
        <w:t>, L</w:t>
      </w:r>
      <w:r w:rsidR="009317FE" w:rsidRPr="00A43451">
        <w:rPr>
          <w:szCs w:val="24"/>
        </w:rPr>
        <w:t>. (2018)</w:t>
      </w:r>
      <w:r w:rsidRPr="00A43451">
        <w:rPr>
          <w:szCs w:val="24"/>
        </w:rPr>
        <w:t xml:space="preserve"> The effect of financial ratios on financial distress conditions in sub industrial sector company. </w:t>
      </w:r>
      <w:r w:rsidRPr="00A43451">
        <w:rPr>
          <w:i/>
          <w:iCs/>
          <w:szCs w:val="24"/>
        </w:rPr>
        <w:t>Accounting Analysis Journal</w:t>
      </w:r>
      <w:r w:rsidRPr="00A43451">
        <w:rPr>
          <w:szCs w:val="24"/>
        </w:rPr>
        <w:t>, </w:t>
      </w:r>
      <w:r w:rsidRPr="00A43451">
        <w:rPr>
          <w:i/>
          <w:iCs/>
          <w:szCs w:val="24"/>
        </w:rPr>
        <w:t>7</w:t>
      </w:r>
      <w:r w:rsidRPr="00A43451">
        <w:rPr>
          <w:szCs w:val="24"/>
        </w:rPr>
        <w:t>(1), pp.25-33.</w:t>
      </w:r>
    </w:p>
    <w:p w:rsidR="00D74BCC" w:rsidRPr="00A43451" w:rsidRDefault="005B1843" w:rsidP="00A43451">
      <w:pPr>
        <w:jc w:val="both"/>
        <w:rPr>
          <w:szCs w:val="24"/>
        </w:rPr>
      </w:pPr>
      <w:r w:rsidRPr="00A43451">
        <w:rPr>
          <w:szCs w:val="24"/>
        </w:rPr>
        <w:t>Robinson, T.R. (2020) </w:t>
      </w:r>
      <w:r w:rsidRPr="00A43451">
        <w:rPr>
          <w:i/>
          <w:iCs/>
          <w:szCs w:val="24"/>
        </w:rPr>
        <w:t>International financial statement analysis</w:t>
      </w:r>
      <w:r w:rsidRPr="00A43451">
        <w:rPr>
          <w:szCs w:val="24"/>
        </w:rPr>
        <w:t>. John Wiley &amp; Sons.</w:t>
      </w:r>
    </w:p>
    <w:p w:rsidR="00E624CD" w:rsidRPr="00A43451" w:rsidRDefault="005B1843" w:rsidP="00A43451">
      <w:pPr>
        <w:jc w:val="both"/>
        <w:rPr>
          <w:szCs w:val="24"/>
        </w:rPr>
      </w:pPr>
      <w:proofErr w:type="spellStart"/>
      <w:r w:rsidRPr="00A43451">
        <w:rPr>
          <w:szCs w:val="24"/>
        </w:rPr>
        <w:t>Ruslim</w:t>
      </w:r>
      <w:proofErr w:type="spellEnd"/>
      <w:r w:rsidRPr="00A43451">
        <w:rPr>
          <w:szCs w:val="24"/>
        </w:rPr>
        <w:t>, H. and Michael, M</w:t>
      </w:r>
      <w:r w:rsidR="009317FE" w:rsidRPr="00A43451">
        <w:rPr>
          <w:szCs w:val="24"/>
        </w:rPr>
        <w:t>. (2019)</w:t>
      </w:r>
      <w:r w:rsidRPr="00A43451">
        <w:rPr>
          <w:szCs w:val="24"/>
        </w:rPr>
        <w:t xml:space="preserve"> The Effect Of Financial Ratio On Company Value With Inflation As A Moderation Variable. </w:t>
      </w:r>
      <w:proofErr w:type="spellStart"/>
      <w:r w:rsidRPr="00A43451">
        <w:rPr>
          <w:i/>
          <w:iCs/>
          <w:szCs w:val="24"/>
        </w:rPr>
        <w:t>Jurnal</w:t>
      </w:r>
      <w:proofErr w:type="spellEnd"/>
      <w:r w:rsidRPr="00A43451">
        <w:rPr>
          <w:i/>
          <w:iCs/>
          <w:szCs w:val="24"/>
        </w:rPr>
        <w:t xml:space="preserve"> </w:t>
      </w:r>
      <w:proofErr w:type="spellStart"/>
      <w:r w:rsidRPr="00A43451">
        <w:rPr>
          <w:i/>
          <w:iCs/>
          <w:szCs w:val="24"/>
        </w:rPr>
        <w:t>Akuntansi</w:t>
      </w:r>
      <w:proofErr w:type="spellEnd"/>
      <w:r w:rsidRPr="00A43451">
        <w:rPr>
          <w:szCs w:val="24"/>
        </w:rPr>
        <w:t>, </w:t>
      </w:r>
      <w:r w:rsidRPr="00A43451">
        <w:rPr>
          <w:i/>
          <w:iCs/>
          <w:szCs w:val="24"/>
        </w:rPr>
        <w:t>23</w:t>
      </w:r>
      <w:r w:rsidRPr="00A43451">
        <w:rPr>
          <w:szCs w:val="24"/>
        </w:rPr>
        <w:t>(1), pp.34-46.</w:t>
      </w:r>
    </w:p>
    <w:sectPr w:rsidR="00E624CD" w:rsidRPr="00A43451" w:rsidSect="007C0E6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54BA" w:rsidRDefault="00B954BA" w:rsidP="00E624CD">
      <w:pPr>
        <w:spacing w:after="0" w:line="240" w:lineRule="auto"/>
      </w:pPr>
      <w:r>
        <w:separator/>
      </w:r>
    </w:p>
  </w:endnote>
  <w:endnote w:type="continuationSeparator" w:id="0">
    <w:p w:rsidR="00B954BA" w:rsidRDefault="00B954BA" w:rsidP="00E6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562247"/>
      <w:docPartObj>
        <w:docPartGallery w:val="Page Numbers (Bottom of Page)"/>
        <w:docPartUnique/>
      </w:docPartObj>
    </w:sdtPr>
    <w:sdtEndPr/>
    <w:sdtContent>
      <w:p w:rsidR="00532D8E" w:rsidRDefault="00BE2B57">
        <w:pPr>
          <w:pStyle w:val="Subsol"/>
          <w:jc w:val="right"/>
        </w:pPr>
        <w:r>
          <w:fldChar w:fldCharType="begin"/>
        </w:r>
        <w:r>
          <w:instrText xml:space="preserve"> PAGE   \* MERGEFORMAT </w:instrText>
        </w:r>
        <w:r>
          <w:fldChar w:fldCharType="separate"/>
        </w:r>
        <w:r w:rsidR="00C54694">
          <w:rPr>
            <w:noProof/>
          </w:rPr>
          <w:t>1</w:t>
        </w:r>
        <w:r>
          <w:rPr>
            <w:noProof/>
          </w:rPr>
          <w:fldChar w:fldCharType="end"/>
        </w:r>
      </w:p>
    </w:sdtContent>
  </w:sdt>
  <w:p w:rsidR="00532D8E" w:rsidRDefault="00532D8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54BA" w:rsidRDefault="00B954BA" w:rsidP="00E624CD">
      <w:pPr>
        <w:spacing w:after="0" w:line="240" w:lineRule="auto"/>
      </w:pPr>
      <w:r>
        <w:separator/>
      </w:r>
    </w:p>
  </w:footnote>
  <w:footnote w:type="continuationSeparator" w:id="0">
    <w:p w:rsidR="00B954BA" w:rsidRDefault="00B954BA" w:rsidP="00E624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A21C5"/>
    <w:multiLevelType w:val="hybridMultilevel"/>
    <w:tmpl w:val="995CC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728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activeWritingStyle w:appName="MSWord" w:lang="en-GB" w:vendorID="64" w:dllVersion="6" w:nlCheck="1" w:checkStyle="0"/>
  <w:activeWritingStyle w:appName="MSWord" w:lang="en-US" w:vendorID="64" w:dllVersion="6" w:nlCheck="1" w:checkStyle="1"/>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4CD"/>
    <w:rsid w:val="00040B42"/>
    <w:rsid w:val="000C5A6F"/>
    <w:rsid w:val="00153946"/>
    <w:rsid w:val="0015646A"/>
    <w:rsid w:val="001E1E8B"/>
    <w:rsid w:val="001F066E"/>
    <w:rsid w:val="00240601"/>
    <w:rsid w:val="00246CAC"/>
    <w:rsid w:val="00252934"/>
    <w:rsid w:val="00273FB1"/>
    <w:rsid w:val="002D2516"/>
    <w:rsid w:val="003C7672"/>
    <w:rsid w:val="003D5B4C"/>
    <w:rsid w:val="003E744F"/>
    <w:rsid w:val="00472205"/>
    <w:rsid w:val="00476F0D"/>
    <w:rsid w:val="004C17DC"/>
    <w:rsid w:val="004D681E"/>
    <w:rsid w:val="00525B15"/>
    <w:rsid w:val="00532D8E"/>
    <w:rsid w:val="00537A68"/>
    <w:rsid w:val="00575793"/>
    <w:rsid w:val="00590686"/>
    <w:rsid w:val="005B1843"/>
    <w:rsid w:val="005E098A"/>
    <w:rsid w:val="005E3527"/>
    <w:rsid w:val="00614549"/>
    <w:rsid w:val="006238F7"/>
    <w:rsid w:val="00633874"/>
    <w:rsid w:val="00652234"/>
    <w:rsid w:val="00660F82"/>
    <w:rsid w:val="0066415A"/>
    <w:rsid w:val="006E55E4"/>
    <w:rsid w:val="00730A74"/>
    <w:rsid w:val="00735D8A"/>
    <w:rsid w:val="0075443D"/>
    <w:rsid w:val="00787C38"/>
    <w:rsid w:val="007C0E6F"/>
    <w:rsid w:val="007E5725"/>
    <w:rsid w:val="008047AE"/>
    <w:rsid w:val="0081540C"/>
    <w:rsid w:val="00815D8B"/>
    <w:rsid w:val="00860B80"/>
    <w:rsid w:val="008810E5"/>
    <w:rsid w:val="0088141B"/>
    <w:rsid w:val="008C63EE"/>
    <w:rsid w:val="009317FE"/>
    <w:rsid w:val="00960669"/>
    <w:rsid w:val="00992E42"/>
    <w:rsid w:val="009A06EB"/>
    <w:rsid w:val="009B0768"/>
    <w:rsid w:val="009B77A7"/>
    <w:rsid w:val="009F1CE1"/>
    <w:rsid w:val="009F47E3"/>
    <w:rsid w:val="009F49AE"/>
    <w:rsid w:val="00A0345D"/>
    <w:rsid w:val="00A43451"/>
    <w:rsid w:val="00A90113"/>
    <w:rsid w:val="00AF3E25"/>
    <w:rsid w:val="00B02324"/>
    <w:rsid w:val="00B34075"/>
    <w:rsid w:val="00B70DB1"/>
    <w:rsid w:val="00B76BBB"/>
    <w:rsid w:val="00B81EDF"/>
    <w:rsid w:val="00B84E9C"/>
    <w:rsid w:val="00B90BD9"/>
    <w:rsid w:val="00B954BA"/>
    <w:rsid w:val="00BA121B"/>
    <w:rsid w:val="00BE2B57"/>
    <w:rsid w:val="00C27110"/>
    <w:rsid w:val="00C43EA2"/>
    <w:rsid w:val="00C54694"/>
    <w:rsid w:val="00C55564"/>
    <w:rsid w:val="00C61A1F"/>
    <w:rsid w:val="00C950BF"/>
    <w:rsid w:val="00CA714C"/>
    <w:rsid w:val="00CE122A"/>
    <w:rsid w:val="00D004B0"/>
    <w:rsid w:val="00D4587B"/>
    <w:rsid w:val="00D45A85"/>
    <w:rsid w:val="00D93A0D"/>
    <w:rsid w:val="00DE51DA"/>
    <w:rsid w:val="00E068D2"/>
    <w:rsid w:val="00E15349"/>
    <w:rsid w:val="00E36196"/>
    <w:rsid w:val="00E624CD"/>
    <w:rsid w:val="00EC4B05"/>
    <w:rsid w:val="00EE0FCB"/>
    <w:rsid w:val="00F60965"/>
    <w:rsid w:val="00F643C4"/>
    <w:rsid w:val="00F90531"/>
    <w:rsid w:val="00FA2AC0"/>
    <w:rsid w:val="00FA5A10"/>
    <w:rsid w:val="00FF6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C3A484-BCC5-D64B-B311-3F5DCC77F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FE"/>
    <w:pPr>
      <w:spacing w:line="360" w:lineRule="auto"/>
    </w:pPr>
    <w:rPr>
      <w:rFonts w:asciiTheme="minorBidi" w:hAnsiTheme="minorBidi"/>
      <w:sz w:val="24"/>
    </w:rPr>
  </w:style>
  <w:style w:type="paragraph" w:styleId="Titlu1">
    <w:name w:val="heading 1"/>
    <w:basedOn w:val="Normal"/>
    <w:next w:val="Normal"/>
    <w:link w:val="Titlu1Caracter"/>
    <w:uiPriority w:val="9"/>
    <w:qFormat/>
    <w:rsid w:val="00C950BF"/>
    <w:pPr>
      <w:keepNext/>
      <w:keepLines/>
      <w:spacing w:before="480" w:after="0"/>
      <w:outlineLvl w:val="0"/>
    </w:pPr>
    <w:rPr>
      <w:rFonts w:eastAsiaTheme="majorEastAsia" w:cstheme="majorBidi"/>
      <w:bCs/>
      <w:color w:val="0070C0"/>
      <w:sz w:val="32"/>
      <w:szCs w:val="28"/>
    </w:rPr>
  </w:style>
  <w:style w:type="paragraph" w:styleId="Titlu2">
    <w:name w:val="heading 2"/>
    <w:basedOn w:val="Normal"/>
    <w:next w:val="Normal"/>
    <w:link w:val="Titlu2Caracter"/>
    <w:uiPriority w:val="9"/>
    <w:semiHidden/>
    <w:unhideWhenUsed/>
    <w:qFormat/>
    <w:rsid w:val="001F066E"/>
    <w:pPr>
      <w:keepNext/>
      <w:keepLines/>
      <w:spacing w:before="200" w:after="0"/>
      <w:outlineLvl w:val="1"/>
    </w:pPr>
    <w:rPr>
      <w:rFonts w:eastAsiaTheme="majorEastAsia" w:cstheme="majorBidi"/>
      <w:bCs/>
      <w:color w:val="0070C0"/>
      <w:szCs w:val="26"/>
    </w:rPr>
  </w:style>
  <w:style w:type="paragraph" w:styleId="Titlu3">
    <w:name w:val="heading 3"/>
    <w:basedOn w:val="Normal"/>
    <w:next w:val="Normal"/>
    <w:link w:val="Titlu3Caracter"/>
    <w:uiPriority w:val="9"/>
    <w:unhideWhenUsed/>
    <w:qFormat/>
    <w:rsid w:val="00FF60B1"/>
    <w:pPr>
      <w:keepNext/>
      <w:keepLines/>
      <w:spacing w:before="200" w:after="0"/>
      <w:outlineLvl w:val="2"/>
    </w:pPr>
    <w:rPr>
      <w:rFonts w:eastAsiaTheme="majorEastAsia" w:cstheme="majorBidi"/>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950BF"/>
    <w:rPr>
      <w:rFonts w:asciiTheme="minorBidi" w:eastAsiaTheme="majorEastAsia" w:hAnsiTheme="minorBidi" w:cstheme="majorBidi"/>
      <w:bCs/>
      <w:color w:val="0070C0"/>
      <w:sz w:val="32"/>
      <w:szCs w:val="28"/>
    </w:rPr>
  </w:style>
  <w:style w:type="character" w:customStyle="1" w:styleId="Titlu2Caracter">
    <w:name w:val="Titlu 2 Caracter"/>
    <w:basedOn w:val="Fontdeparagrafimplicit"/>
    <w:link w:val="Titlu2"/>
    <w:uiPriority w:val="9"/>
    <w:semiHidden/>
    <w:rsid w:val="001F066E"/>
    <w:rPr>
      <w:rFonts w:asciiTheme="majorBidi" w:eastAsiaTheme="majorEastAsia" w:hAnsiTheme="majorBidi" w:cstheme="majorBidi"/>
      <w:bCs/>
      <w:color w:val="0070C0"/>
      <w:sz w:val="24"/>
      <w:szCs w:val="26"/>
    </w:rPr>
  </w:style>
  <w:style w:type="character" w:customStyle="1" w:styleId="Titlu3Caracter">
    <w:name w:val="Titlu 3 Caracter"/>
    <w:basedOn w:val="Fontdeparagrafimplicit"/>
    <w:link w:val="Titlu3"/>
    <w:uiPriority w:val="9"/>
    <w:rsid w:val="00FF60B1"/>
    <w:rPr>
      <w:rFonts w:asciiTheme="majorBidi" w:eastAsiaTheme="majorEastAsia" w:hAnsiTheme="majorBidi" w:cstheme="majorBidi"/>
      <w:b/>
      <w:bCs/>
      <w:sz w:val="24"/>
    </w:rPr>
  </w:style>
  <w:style w:type="paragraph" w:styleId="Legend">
    <w:name w:val="caption"/>
    <w:basedOn w:val="Normal"/>
    <w:next w:val="Normal"/>
    <w:uiPriority w:val="35"/>
    <w:unhideWhenUsed/>
    <w:qFormat/>
    <w:rsid w:val="00BA121B"/>
    <w:rPr>
      <w:b/>
      <w:bCs/>
      <w:szCs w:val="18"/>
    </w:rPr>
  </w:style>
  <w:style w:type="paragraph" w:styleId="Listparagraf">
    <w:name w:val="List Paragraph"/>
    <w:basedOn w:val="Normal"/>
    <w:uiPriority w:val="34"/>
    <w:qFormat/>
    <w:rsid w:val="00525B15"/>
    <w:pPr>
      <w:ind w:left="720"/>
      <w:contextualSpacing/>
    </w:pPr>
  </w:style>
  <w:style w:type="paragraph" w:styleId="Antet">
    <w:name w:val="header"/>
    <w:basedOn w:val="Normal"/>
    <w:link w:val="AntetCaracter"/>
    <w:uiPriority w:val="99"/>
    <w:semiHidden/>
    <w:unhideWhenUsed/>
    <w:rsid w:val="00E624CD"/>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E624CD"/>
    <w:rPr>
      <w:rFonts w:asciiTheme="majorBidi" w:hAnsiTheme="majorBidi"/>
      <w:sz w:val="24"/>
    </w:rPr>
  </w:style>
  <w:style w:type="paragraph" w:styleId="Subsol">
    <w:name w:val="footer"/>
    <w:basedOn w:val="Normal"/>
    <w:link w:val="SubsolCaracter"/>
    <w:uiPriority w:val="99"/>
    <w:unhideWhenUsed/>
    <w:rsid w:val="00E624C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624CD"/>
    <w:rPr>
      <w:rFonts w:asciiTheme="majorBidi" w:hAnsiTheme="majorBidi"/>
      <w:sz w:val="24"/>
    </w:rPr>
  </w:style>
  <w:style w:type="paragraph" w:styleId="Frspaiere">
    <w:name w:val="No Spacing"/>
    <w:link w:val="FrspaiereCaracter"/>
    <w:uiPriority w:val="1"/>
    <w:qFormat/>
    <w:rsid w:val="00E624CD"/>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E624CD"/>
    <w:rPr>
      <w:rFonts w:eastAsiaTheme="minorEastAsia"/>
      <w:lang w:val="en-US"/>
    </w:rPr>
  </w:style>
  <w:style w:type="paragraph" w:styleId="TextnBalon">
    <w:name w:val="Balloon Text"/>
    <w:basedOn w:val="Normal"/>
    <w:link w:val="TextnBalonCaracter"/>
    <w:uiPriority w:val="99"/>
    <w:semiHidden/>
    <w:unhideWhenUsed/>
    <w:rsid w:val="00E624C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624CD"/>
    <w:rPr>
      <w:rFonts w:ascii="Tahoma" w:hAnsi="Tahoma" w:cs="Tahoma"/>
      <w:sz w:val="16"/>
      <w:szCs w:val="16"/>
    </w:rPr>
  </w:style>
  <w:style w:type="table" w:styleId="Tabelgril">
    <w:name w:val="Table Grid"/>
    <w:basedOn w:val="TabelNormal"/>
    <w:uiPriority w:val="59"/>
    <w:rsid w:val="00E06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eldefiguri">
    <w:name w:val="table of figures"/>
    <w:basedOn w:val="Normal"/>
    <w:next w:val="Normal"/>
    <w:uiPriority w:val="99"/>
    <w:unhideWhenUsed/>
    <w:rsid w:val="00F90531"/>
    <w:pPr>
      <w:spacing w:after="0"/>
    </w:pPr>
  </w:style>
  <w:style w:type="character" w:styleId="Hyperlink">
    <w:name w:val="Hyperlink"/>
    <w:basedOn w:val="Fontdeparagrafimplicit"/>
    <w:uiPriority w:val="99"/>
    <w:unhideWhenUsed/>
    <w:rsid w:val="00F90531"/>
    <w:rPr>
      <w:color w:val="0000FF" w:themeColor="hyperlink"/>
      <w:u w:val="single"/>
    </w:rPr>
  </w:style>
  <w:style w:type="character" w:styleId="MeniuneNerezolvat">
    <w:name w:val="Unresolved Mention"/>
    <w:basedOn w:val="Fontdeparagrafimplicit"/>
    <w:uiPriority w:val="99"/>
    <w:semiHidden/>
    <w:unhideWhenUsed/>
    <w:rsid w:val="00476F0D"/>
    <w:rPr>
      <w:color w:val="605E5C"/>
      <w:shd w:val="clear" w:color="auto" w:fill="E1DFDD"/>
    </w:rPr>
  </w:style>
  <w:style w:type="character" w:styleId="HyperlinkParcurs">
    <w:name w:val="FollowedHyperlink"/>
    <w:basedOn w:val="Fontdeparagrafimplicit"/>
    <w:uiPriority w:val="99"/>
    <w:semiHidden/>
    <w:unhideWhenUsed/>
    <w:rsid w:val="00CE12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5241">
      <w:bodyDiv w:val="1"/>
      <w:marLeft w:val="0"/>
      <w:marRight w:val="0"/>
      <w:marTop w:val="0"/>
      <w:marBottom w:val="0"/>
      <w:divBdr>
        <w:top w:val="none" w:sz="0" w:space="0" w:color="auto"/>
        <w:left w:val="none" w:sz="0" w:space="0" w:color="auto"/>
        <w:bottom w:val="none" w:sz="0" w:space="0" w:color="auto"/>
        <w:right w:val="none" w:sz="0" w:space="0" w:color="auto"/>
      </w:divBdr>
    </w:div>
    <w:div w:id="645744804">
      <w:bodyDiv w:val="1"/>
      <w:marLeft w:val="0"/>
      <w:marRight w:val="0"/>
      <w:marTop w:val="0"/>
      <w:marBottom w:val="0"/>
      <w:divBdr>
        <w:top w:val="none" w:sz="0" w:space="0" w:color="auto"/>
        <w:left w:val="none" w:sz="0" w:space="0" w:color="auto"/>
        <w:bottom w:val="none" w:sz="0" w:space="0" w:color="auto"/>
        <w:right w:val="none" w:sz="0" w:space="0" w:color="auto"/>
      </w:divBdr>
    </w:div>
    <w:div w:id="996804569">
      <w:bodyDiv w:val="1"/>
      <w:marLeft w:val="0"/>
      <w:marRight w:val="0"/>
      <w:marTop w:val="0"/>
      <w:marBottom w:val="0"/>
      <w:divBdr>
        <w:top w:val="none" w:sz="0" w:space="0" w:color="auto"/>
        <w:left w:val="none" w:sz="0" w:space="0" w:color="auto"/>
        <w:bottom w:val="none" w:sz="0" w:space="0" w:color="auto"/>
        <w:right w:val="none" w:sz="0" w:space="0" w:color="auto"/>
      </w:divBdr>
    </w:div>
    <w:div w:id="1028918864">
      <w:bodyDiv w:val="1"/>
      <w:marLeft w:val="0"/>
      <w:marRight w:val="0"/>
      <w:marTop w:val="0"/>
      <w:marBottom w:val="0"/>
      <w:divBdr>
        <w:top w:val="none" w:sz="0" w:space="0" w:color="auto"/>
        <w:left w:val="none" w:sz="0" w:space="0" w:color="auto"/>
        <w:bottom w:val="none" w:sz="0" w:space="0" w:color="auto"/>
        <w:right w:val="none" w:sz="0" w:space="0" w:color="auto"/>
      </w:divBdr>
    </w:div>
    <w:div w:id="1264264483">
      <w:bodyDiv w:val="1"/>
      <w:marLeft w:val="0"/>
      <w:marRight w:val="0"/>
      <w:marTop w:val="0"/>
      <w:marBottom w:val="0"/>
      <w:divBdr>
        <w:top w:val="none" w:sz="0" w:space="0" w:color="auto"/>
        <w:left w:val="none" w:sz="0" w:space="0" w:color="auto"/>
        <w:bottom w:val="none" w:sz="0" w:space="0" w:color="auto"/>
        <w:right w:val="none" w:sz="0" w:space="0" w:color="auto"/>
      </w:divBdr>
    </w:div>
    <w:div w:id="1427723972">
      <w:bodyDiv w:val="1"/>
      <w:marLeft w:val="0"/>
      <w:marRight w:val="0"/>
      <w:marTop w:val="0"/>
      <w:marBottom w:val="0"/>
      <w:divBdr>
        <w:top w:val="none" w:sz="0" w:space="0" w:color="auto"/>
        <w:left w:val="none" w:sz="0" w:space="0" w:color="auto"/>
        <w:bottom w:val="none" w:sz="0" w:space="0" w:color="auto"/>
        <w:right w:val="none" w:sz="0" w:space="0" w:color="auto"/>
      </w:divBdr>
    </w:div>
    <w:div w:id="1829399042">
      <w:bodyDiv w:val="1"/>
      <w:marLeft w:val="0"/>
      <w:marRight w:val="0"/>
      <w:marTop w:val="0"/>
      <w:marBottom w:val="0"/>
      <w:divBdr>
        <w:top w:val="none" w:sz="0" w:space="0" w:color="auto"/>
        <w:left w:val="none" w:sz="0" w:space="0" w:color="auto"/>
        <w:bottom w:val="none" w:sz="0" w:space="0" w:color="auto"/>
        <w:right w:val="none" w:sz="0" w:space="0" w:color="auto"/>
      </w:divBdr>
    </w:div>
    <w:div w:id="1944799529">
      <w:bodyDiv w:val="1"/>
      <w:marLeft w:val="0"/>
      <w:marRight w:val="0"/>
      <w:marTop w:val="0"/>
      <w:marBottom w:val="0"/>
      <w:divBdr>
        <w:top w:val="none" w:sz="0" w:space="0" w:color="auto"/>
        <w:left w:val="none" w:sz="0" w:space="0" w:color="auto"/>
        <w:bottom w:val="none" w:sz="0" w:space="0" w:color="auto"/>
        <w:right w:val="none" w:sz="0" w:space="0" w:color="auto"/>
      </w:divBdr>
    </w:div>
    <w:div w:id="210475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chart" Target="charts/chart4.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chart" Target="charts/chart3.xm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chart" Target="charts/chart2.xml" /><Relationship Id="rId5" Type="http://schemas.openxmlformats.org/officeDocument/2006/relationships/settings" Target="settings.xml" /><Relationship Id="rId15" Type="http://schemas.openxmlformats.org/officeDocument/2006/relationships/fontTable" Target="fontTable.xml" /><Relationship Id="rId10" Type="http://schemas.openxmlformats.org/officeDocument/2006/relationships/chart" Target="charts/chart1.xml" /><Relationship Id="rId4" Type="http://schemas.openxmlformats.org/officeDocument/2006/relationships/styles" Target="styles.xml" /><Relationship Id="rId9" Type="http://schemas.openxmlformats.org/officeDocument/2006/relationships/hyperlink" Target="mailto:2025566@student.uwtsd.ac.uk" TargetMode="External" /><Relationship Id="rId14" Type="http://schemas.openxmlformats.org/officeDocument/2006/relationships/footer" Target="footer1.xml" /></Relationships>
</file>

<file path=word/charts/_rels/chart1.xml.rels><?xml version="1.0" encoding="UTF-8" standalone="yes"?>
<Relationships xmlns="http://schemas.openxmlformats.org/package/2006/relationships"><Relationship Id="rId1" Type="http://schemas.openxmlformats.org/officeDocument/2006/relationships/oleObject" Target="file:///C:\Users\mm081\Desktop\locus%20rags-%20work%20from%20home\Permanent%20work%20from%20home\2022\December\3rd%20Dec\OANA-BMIH5007%20FINANCIAL%20MANAGEMENT%20FOR%20THE%20HOTEL%20INDUSTRY%20A2(UOW)(C2)\Book1.xlsx"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file:///C:\Users\mm081\Desktop\locus%20rags-%20work%20from%20home\Permanent%20work%20from%20home\2022\December\3rd%20Dec\OANA-BMIH5007%20FINANCIAL%20MANAGEMENT%20FOR%20THE%20HOTEL%20INDUSTRY%20A2(UOW)(C2)\Book1.xlsx"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file:///C:\Users\mm081\Desktop\locus%20rags-%20work%20from%20home\Permanent%20work%20from%20home\2022\December\3rd%20Dec\OANA-BMIH5007%20FINANCIAL%20MANAGEMENT%20FOR%20THE%20HOTEL%20INDUSTRY%20A2(UOW)(C2)\Book1.xlsx" TargetMode="External" /></Relationships>
</file>

<file path=word/charts/_rels/chart4.xml.rels><?xml version="1.0" encoding="UTF-8" standalone="yes"?>
<Relationships xmlns="http://schemas.openxmlformats.org/package/2006/relationships"><Relationship Id="rId1" Type="http://schemas.openxmlformats.org/officeDocument/2006/relationships/oleObject" Target="file:///C:\Users\mm081\Desktop\locus%20rags-%20work%20from%20home\Permanent%20work%20from%20home\2022\December\3rd%20Dec\OANA-BMIH5007%20FINANCIAL%20MANAGEMENT%20FOR%20THE%20HOTEL%20INDUSTRY%20A2(UOW)(C2)\Book1.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Sheet1!$B$3</c:f>
              <c:strCache>
                <c:ptCount val="1"/>
                <c:pt idx="0">
                  <c:v>2020</c:v>
                </c:pt>
              </c:strCache>
            </c:strRef>
          </c:tx>
          <c:invertIfNegative val="0"/>
          <c:cat>
            <c:strRef>
              <c:f>Sheet1!$A$4:$A$6</c:f>
              <c:strCache>
                <c:ptCount val="3"/>
                <c:pt idx="0">
                  <c:v>Gross margin</c:v>
                </c:pt>
                <c:pt idx="1">
                  <c:v>Operating margin</c:v>
                </c:pt>
                <c:pt idx="2">
                  <c:v>Net profit margin</c:v>
                </c:pt>
              </c:strCache>
            </c:strRef>
          </c:cat>
          <c:val>
            <c:numRef>
              <c:f>Sheet1!$B$4:$B$6</c:f>
              <c:numCache>
                <c:formatCode>General</c:formatCode>
                <c:ptCount val="3"/>
                <c:pt idx="0">
                  <c:v>13.8019</c:v>
                </c:pt>
                <c:pt idx="1">
                  <c:v>0.79459999999999997</c:v>
                </c:pt>
                <c:pt idx="2">
                  <c:v>-2.5257999999999998</c:v>
                </c:pt>
              </c:numCache>
            </c:numRef>
          </c:val>
          <c:extLst>
            <c:ext xmlns:c16="http://schemas.microsoft.com/office/drawing/2014/chart" uri="{C3380CC4-5D6E-409C-BE32-E72D297353CC}">
              <c16:uniqueId val="{00000000-E022-4140-B03A-9256B8579204}"/>
            </c:ext>
          </c:extLst>
        </c:ser>
        <c:ser>
          <c:idx val="1"/>
          <c:order val="1"/>
          <c:tx>
            <c:strRef>
              <c:f>Sheet1!$C$3</c:f>
              <c:strCache>
                <c:ptCount val="1"/>
                <c:pt idx="0">
                  <c:v>2021</c:v>
                </c:pt>
              </c:strCache>
            </c:strRef>
          </c:tx>
          <c:invertIfNegative val="0"/>
          <c:cat>
            <c:strRef>
              <c:f>Sheet1!$A$4:$A$6</c:f>
              <c:strCache>
                <c:ptCount val="3"/>
                <c:pt idx="0">
                  <c:v>Gross margin</c:v>
                </c:pt>
                <c:pt idx="1">
                  <c:v>Operating margin</c:v>
                </c:pt>
                <c:pt idx="2">
                  <c:v>Net profit margin</c:v>
                </c:pt>
              </c:strCache>
            </c:strRef>
          </c:cat>
          <c:val>
            <c:numRef>
              <c:f>Sheet1!$C$4:$C$6</c:f>
              <c:numCache>
                <c:formatCode>General</c:formatCode>
                <c:ptCount val="3"/>
                <c:pt idx="0">
                  <c:v>20.2136</c:v>
                </c:pt>
                <c:pt idx="1">
                  <c:v>12.629</c:v>
                </c:pt>
                <c:pt idx="2">
                  <c:v>7.9310000000000045</c:v>
                </c:pt>
              </c:numCache>
            </c:numRef>
          </c:val>
          <c:extLst>
            <c:ext xmlns:c16="http://schemas.microsoft.com/office/drawing/2014/chart" uri="{C3380CC4-5D6E-409C-BE32-E72D297353CC}">
              <c16:uniqueId val="{00000001-E022-4140-B03A-9256B8579204}"/>
            </c:ext>
          </c:extLst>
        </c:ser>
        <c:dLbls>
          <c:showLegendKey val="0"/>
          <c:showVal val="0"/>
          <c:showCatName val="0"/>
          <c:showSerName val="0"/>
          <c:showPercent val="0"/>
          <c:showBubbleSize val="0"/>
        </c:dLbls>
        <c:gapWidth val="150"/>
        <c:shape val="box"/>
        <c:axId val="76027776"/>
        <c:axId val="76029312"/>
        <c:axId val="0"/>
      </c:bar3DChart>
      <c:catAx>
        <c:axId val="76027776"/>
        <c:scaling>
          <c:orientation val="minMax"/>
        </c:scaling>
        <c:delete val="0"/>
        <c:axPos val="b"/>
        <c:numFmt formatCode="General" sourceLinked="0"/>
        <c:majorTickMark val="out"/>
        <c:minorTickMark val="none"/>
        <c:tickLblPos val="nextTo"/>
        <c:crossAx val="76029312"/>
        <c:crosses val="autoZero"/>
        <c:auto val="1"/>
        <c:lblAlgn val="ctr"/>
        <c:lblOffset val="100"/>
        <c:noMultiLvlLbl val="0"/>
      </c:catAx>
      <c:valAx>
        <c:axId val="76029312"/>
        <c:scaling>
          <c:orientation val="minMax"/>
        </c:scaling>
        <c:delete val="0"/>
        <c:axPos val="l"/>
        <c:numFmt formatCode="General" sourceLinked="1"/>
        <c:majorTickMark val="out"/>
        <c:minorTickMark val="none"/>
        <c:tickLblPos val="nextTo"/>
        <c:crossAx val="7602777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Sheet1!$B$3</c:f>
              <c:strCache>
                <c:ptCount val="1"/>
                <c:pt idx="0">
                  <c:v>2020</c:v>
                </c:pt>
              </c:strCache>
            </c:strRef>
          </c:tx>
          <c:invertIfNegative val="0"/>
          <c:cat>
            <c:strRef>
              <c:f>Sheet1!$A$7:$A$9</c:f>
              <c:strCache>
                <c:ptCount val="3"/>
                <c:pt idx="0">
                  <c:v>Return on equity (ROE)</c:v>
                </c:pt>
                <c:pt idx="1">
                  <c:v>Return on assets (ROA)</c:v>
                </c:pt>
                <c:pt idx="2">
                  <c:v>Return on investment (ROI)</c:v>
                </c:pt>
              </c:strCache>
            </c:strRef>
          </c:cat>
          <c:val>
            <c:numRef>
              <c:f>Sheet1!$B$7:$B$9</c:f>
              <c:numCache>
                <c:formatCode>General</c:formatCode>
                <c:ptCount val="3"/>
                <c:pt idx="0">
                  <c:v>-62.093000000000011</c:v>
                </c:pt>
                <c:pt idx="1">
                  <c:v>-1.0809</c:v>
                </c:pt>
                <c:pt idx="2">
                  <c:v>-2.7717000000000001</c:v>
                </c:pt>
              </c:numCache>
            </c:numRef>
          </c:val>
          <c:extLst>
            <c:ext xmlns:c16="http://schemas.microsoft.com/office/drawing/2014/chart" uri="{C3380CC4-5D6E-409C-BE32-E72D297353CC}">
              <c16:uniqueId val="{00000000-9B95-2244-8489-C812CB3D57B1}"/>
            </c:ext>
          </c:extLst>
        </c:ser>
        <c:ser>
          <c:idx val="1"/>
          <c:order val="1"/>
          <c:tx>
            <c:strRef>
              <c:f>Sheet1!$C$3</c:f>
              <c:strCache>
                <c:ptCount val="1"/>
                <c:pt idx="0">
                  <c:v>2021</c:v>
                </c:pt>
              </c:strCache>
            </c:strRef>
          </c:tx>
          <c:invertIfNegative val="0"/>
          <c:cat>
            <c:strRef>
              <c:f>Sheet1!$A$7:$A$9</c:f>
              <c:strCache>
                <c:ptCount val="3"/>
                <c:pt idx="0">
                  <c:v>Return on equity (ROE)</c:v>
                </c:pt>
                <c:pt idx="1">
                  <c:v>Return on assets (ROA)</c:v>
                </c:pt>
                <c:pt idx="2">
                  <c:v>Return on investment (ROI)</c:v>
                </c:pt>
              </c:strCache>
            </c:strRef>
          </c:cat>
          <c:val>
            <c:numRef>
              <c:f>Sheet1!$C$7:$C$9</c:f>
              <c:numCache>
                <c:formatCode>General</c:formatCode>
                <c:ptCount val="3"/>
                <c:pt idx="0">
                  <c:v>77.722799999999978</c:v>
                </c:pt>
                <c:pt idx="1">
                  <c:v>4.3008999999999995</c:v>
                </c:pt>
                <c:pt idx="2">
                  <c:v>10.226100000000001</c:v>
                </c:pt>
              </c:numCache>
            </c:numRef>
          </c:val>
          <c:extLst>
            <c:ext xmlns:c16="http://schemas.microsoft.com/office/drawing/2014/chart" uri="{C3380CC4-5D6E-409C-BE32-E72D297353CC}">
              <c16:uniqueId val="{00000001-9B95-2244-8489-C812CB3D57B1}"/>
            </c:ext>
          </c:extLst>
        </c:ser>
        <c:dLbls>
          <c:showLegendKey val="0"/>
          <c:showVal val="0"/>
          <c:showCatName val="0"/>
          <c:showSerName val="0"/>
          <c:showPercent val="0"/>
          <c:showBubbleSize val="0"/>
        </c:dLbls>
        <c:gapWidth val="150"/>
        <c:shape val="box"/>
        <c:axId val="76050816"/>
        <c:axId val="76052352"/>
        <c:axId val="0"/>
      </c:bar3DChart>
      <c:catAx>
        <c:axId val="76050816"/>
        <c:scaling>
          <c:orientation val="minMax"/>
        </c:scaling>
        <c:delete val="0"/>
        <c:axPos val="b"/>
        <c:numFmt formatCode="General" sourceLinked="0"/>
        <c:majorTickMark val="out"/>
        <c:minorTickMark val="none"/>
        <c:tickLblPos val="nextTo"/>
        <c:crossAx val="76052352"/>
        <c:crosses val="autoZero"/>
        <c:auto val="1"/>
        <c:lblAlgn val="ctr"/>
        <c:lblOffset val="100"/>
        <c:noMultiLvlLbl val="0"/>
      </c:catAx>
      <c:valAx>
        <c:axId val="76052352"/>
        <c:scaling>
          <c:orientation val="minMax"/>
        </c:scaling>
        <c:delete val="0"/>
        <c:axPos val="l"/>
        <c:numFmt formatCode="General" sourceLinked="1"/>
        <c:majorTickMark val="out"/>
        <c:minorTickMark val="none"/>
        <c:tickLblPos val="nextTo"/>
        <c:crossAx val="7605081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Sheet1!$B$12</c:f>
              <c:strCache>
                <c:ptCount val="1"/>
                <c:pt idx="0">
                  <c:v>2020</c:v>
                </c:pt>
              </c:strCache>
            </c:strRef>
          </c:tx>
          <c:invertIfNegative val="0"/>
          <c:cat>
            <c:strRef>
              <c:f>Sheet1!$A$13:$A$15</c:f>
              <c:strCache>
                <c:ptCount val="3"/>
                <c:pt idx="0">
                  <c:v>Current ratio</c:v>
                </c:pt>
                <c:pt idx="1">
                  <c:v>Operating cash flow per share</c:v>
                </c:pt>
                <c:pt idx="2">
                  <c:v>Free cash flow per share</c:v>
                </c:pt>
              </c:strCache>
            </c:strRef>
          </c:cat>
          <c:val>
            <c:numRef>
              <c:f>Sheet1!$B$13:$B$15</c:f>
              <c:numCache>
                <c:formatCode>General</c:formatCode>
                <c:ptCount val="3"/>
                <c:pt idx="0">
                  <c:v>0.49110000000000026</c:v>
                </c:pt>
                <c:pt idx="1">
                  <c:v>8.3000000000000088E-3</c:v>
                </c:pt>
                <c:pt idx="2">
                  <c:v>1.161</c:v>
                </c:pt>
              </c:numCache>
            </c:numRef>
          </c:val>
          <c:extLst>
            <c:ext xmlns:c16="http://schemas.microsoft.com/office/drawing/2014/chart" uri="{C3380CC4-5D6E-409C-BE32-E72D297353CC}">
              <c16:uniqueId val="{00000000-B986-6C43-B2D4-A2389B211586}"/>
            </c:ext>
          </c:extLst>
        </c:ser>
        <c:ser>
          <c:idx val="1"/>
          <c:order val="1"/>
          <c:tx>
            <c:strRef>
              <c:f>Sheet1!$C$12</c:f>
              <c:strCache>
                <c:ptCount val="1"/>
                <c:pt idx="0">
                  <c:v>2021</c:v>
                </c:pt>
              </c:strCache>
            </c:strRef>
          </c:tx>
          <c:invertIfNegative val="0"/>
          <c:cat>
            <c:strRef>
              <c:f>Sheet1!$A$13:$A$15</c:f>
              <c:strCache>
                <c:ptCount val="3"/>
                <c:pt idx="0">
                  <c:v>Current ratio</c:v>
                </c:pt>
                <c:pt idx="1">
                  <c:v>Operating cash flow per share</c:v>
                </c:pt>
                <c:pt idx="2">
                  <c:v>Free cash flow per share</c:v>
                </c:pt>
              </c:strCache>
            </c:strRef>
          </c:cat>
          <c:val>
            <c:numRef>
              <c:f>Sheet1!$C$13:$C$15</c:f>
              <c:numCache>
                <c:formatCode>General</c:formatCode>
                <c:ptCount val="3"/>
                <c:pt idx="0">
                  <c:v>0.56590000000000051</c:v>
                </c:pt>
                <c:pt idx="1">
                  <c:v>-1.4564999999999988</c:v>
                </c:pt>
                <c:pt idx="2">
                  <c:v>-2.3593999999999977</c:v>
                </c:pt>
              </c:numCache>
            </c:numRef>
          </c:val>
          <c:extLst>
            <c:ext xmlns:c16="http://schemas.microsoft.com/office/drawing/2014/chart" uri="{C3380CC4-5D6E-409C-BE32-E72D297353CC}">
              <c16:uniqueId val="{00000001-B986-6C43-B2D4-A2389B211586}"/>
            </c:ext>
          </c:extLst>
        </c:ser>
        <c:dLbls>
          <c:showLegendKey val="0"/>
          <c:showVal val="0"/>
          <c:showCatName val="0"/>
          <c:showSerName val="0"/>
          <c:showPercent val="0"/>
          <c:showBubbleSize val="0"/>
        </c:dLbls>
        <c:gapWidth val="150"/>
        <c:shape val="box"/>
        <c:axId val="76069504"/>
        <c:axId val="76075392"/>
        <c:axId val="0"/>
      </c:bar3DChart>
      <c:catAx>
        <c:axId val="76069504"/>
        <c:scaling>
          <c:orientation val="minMax"/>
        </c:scaling>
        <c:delete val="0"/>
        <c:axPos val="b"/>
        <c:numFmt formatCode="General" sourceLinked="0"/>
        <c:majorTickMark val="out"/>
        <c:minorTickMark val="none"/>
        <c:tickLblPos val="nextTo"/>
        <c:crossAx val="76075392"/>
        <c:crosses val="autoZero"/>
        <c:auto val="1"/>
        <c:lblAlgn val="ctr"/>
        <c:lblOffset val="100"/>
        <c:noMultiLvlLbl val="0"/>
      </c:catAx>
      <c:valAx>
        <c:axId val="76075392"/>
        <c:scaling>
          <c:orientation val="minMax"/>
        </c:scaling>
        <c:delete val="0"/>
        <c:axPos val="l"/>
        <c:numFmt formatCode="General" sourceLinked="1"/>
        <c:majorTickMark val="out"/>
        <c:minorTickMark val="none"/>
        <c:tickLblPos val="nextTo"/>
        <c:crossAx val="7606950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Sheet1!$A$19</c:f>
              <c:strCache>
                <c:ptCount val="1"/>
                <c:pt idx="0">
                  <c:v>Long-term debt / capital</c:v>
                </c:pt>
              </c:strCache>
            </c:strRef>
          </c:tx>
          <c:invertIfNegative val="0"/>
          <c:cat>
            <c:numRef>
              <c:f>Sheet1!$B$18:$C$18</c:f>
              <c:numCache>
                <c:formatCode>General</c:formatCode>
                <c:ptCount val="2"/>
                <c:pt idx="0">
                  <c:v>2020</c:v>
                </c:pt>
                <c:pt idx="1">
                  <c:v>2021</c:v>
                </c:pt>
              </c:numCache>
            </c:numRef>
          </c:cat>
          <c:val>
            <c:numRef>
              <c:f>Sheet1!$B$19:$C$19</c:f>
              <c:numCache>
                <c:formatCode>General</c:formatCode>
                <c:ptCount val="2"/>
                <c:pt idx="0">
                  <c:v>0.95540000000000003</c:v>
                </c:pt>
                <c:pt idx="1">
                  <c:v>0.86839999999999995</c:v>
                </c:pt>
              </c:numCache>
            </c:numRef>
          </c:val>
          <c:extLst>
            <c:ext xmlns:c16="http://schemas.microsoft.com/office/drawing/2014/chart" uri="{C3380CC4-5D6E-409C-BE32-E72D297353CC}">
              <c16:uniqueId val="{00000000-DECF-5846-B829-E23F606FA9F2}"/>
            </c:ext>
          </c:extLst>
        </c:ser>
        <c:ser>
          <c:idx val="1"/>
          <c:order val="1"/>
          <c:tx>
            <c:strRef>
              <c:f>Sheet1!$A$20</c:f>
              <c:strCache>
                <c:ptCount val="1"/>
                <c:pt idx="0">
                  <c:v>Debt / equity ratio</c:v>
                </c:pt>
              </c:strCache>
            </c:strRef>
          </c:tx>
          <c:invertIfNegative val="0"/>
          <c:cat>
            <c:numRef>
              <c:f>Sheet1!$B$18:$C$18</c:f>
              <c:numCache>
                <c:formatCode>General</c:formatCode>
                <c:ptCount val="2"/>
                <c:pt idx="0">
                  <c:v>2020</c:v>
                </c:pt>
                <c:pt idx="1">
                  <c:v>2021</c:v>
                </c:pt>
              </c:numCache>
            </c:numRef>
          </c:cat>
          <c:val>
            <c:numRef>
              <c:f>Sheet1!$B$20:$C$20</c:f>
              <c:numCache>
                <c:formatCode>General</c:formatCode>
                <c:ptCount val="2"/>
                <c:pt idx="0">
                  <c:v>24.130199999999999</c:v>
                </c:pt>
                <c:pt idx="1">
                  <c:v>7.1696999999999997</c:v>
                </c:pt>
              </c:numCache>
            </c:numRef>
          </c:val>
          <c:extLst>
            <c:ext xmlns:c16="http://schemas.microsoft.com/office/drawing/2014/chart" uri="{C3380CC4-5D6E-409C-BE32-E72D297353CC}">
              <c16:uniqueId val="{00000001-DECF-5846-B829-E23F606FA9F2}"/>
            </c:ext>
          </c:extLst>
        </c:ser>
        <c:dLbls>
          <c:showLegendKey val="0"/>
          <c:showVal val="0"/>
          <c:showCatName val="0"/>
          <c:showSerName val="0"/>
          <c:showPercent val="0"/>
          <c:showBubbleSize val="0"/>
        </c:dLbls>
        <c:gapWidth val="150"/>
        <c:shape val="box"/>
        <c:axId val="77210752"/>
        <c:axId val="77212288"/>
        <c:axId val="0"/>
      </c:bar3DChart>
      <c:catAx>
        <c:axId val="77210752"/>
        <c:scaling>
          <c:orientation val="minMax"/>
        </c:scaling>
        <c:delete val="0"/>
        <c:axPos val="b"/>
        <c:numFmt formatCode="General" sourceLinked="1"/>
        <c:majorTickMark val="out"/>
        <c:minorTickMark val="none"/>
        <c:tickLblPos val="nextTo"/>
        <c:crossAx val="77212288"/>
        <c:crosses val="autoZero"/>
        <c:auto val="1"/>
        <c:lblAlgn val="ctr"/>
        <c:lblOffset val="100"/>
        <c:noMultiLvlLbl val="0"/>
      </c:catAx>
      <c:valAx>
        <c:axId val="77212288"/>
        <c:scaling>
          <c:orientation val="minMax"/>
        </c:scaling>
        <c:delete val="0"/>
        <c:axPos val="l"/>
        <c:numFmt formatCode="General" sourceLinked="1"/>
        <c:majorTickMark val="out"/>
        <c:minorTickMark val="none"/>
        <c:tickLblPos val="nextTo"/>
        <c:crossAx val="7721075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2326C0-E1E1-4814-BD84-31142B0A8D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2590</Words>
  <Characters>15027</Characters>
  <Application>Microsoft Office Word</Application>
  <DocSecurity>0</DocSecurity>
  <Lines>125</Lines>
  <Paragraphs>35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ASSIGNMENT 2: MARRIOTT INTERNATIONAL</vt:lpstr>
      <vt:lpstr>Executive Summary</vt:lpstr>
      <vt:lpstr>Introduction</vt:lpstr>
      <vt:lpstr>Financial Analysis Trends</vt:lpstr>
      <vt:lpstr>    Profitability</vt:lpstr>
      <vt:lpstr>    Liquidity</vt:lpstr>
      <vt:lpstr>    Gearing</vt:lpstr>
      <vt:lpstr>Knowledge from Ratio Analysis</vt:lpstr>
      <vt:lpstr>Benefits and Limitations of Ratio Analysis</vt:lpstr>
      <vt:lpstr>Conclusion</vt:lpstr>
      <vt:lpstr>Bibliography</vt:lpstr>
    </vt:vector>
  </TitlesOfParts>
  <Company>UNIVERSITY OF WALES TRINITY SAINT DAVID</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cp:lastModifiedBy>Oana Akbiyik</cp:lastModifiedBy>
  <cp:revision>2</cp:revision>
  <dcterms:created xsi:type="dcterms:W3CDTF">2022-12-09T01:25:00Z</dcterms:created>
  <dcterms:modified xsi:type="dcterms:W3CDTF">2022-12-09T01:25:00Z</dcterms:modified>
</cp:coreProperties>
</file>