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1D180" w14:textId="31A01A92" w:rsidR="00333C7C" w:rsidRDefault="00685279" w:rsidP="00685279">
      <w:pPr>
        <w:spacing w:after="0" w:line="360" w:lineRule="auto"/>
        <w:outlineLvl w:val="0"/>
        <w:rPr>
          <w:rFonts w:ascii="Arial" w:eastAsia="Times New Roman" w:hAnsi="Arial" w:cs="Arial"/>
          <w:b/>
          <w:bCs/>
          <w:kern w:val="36"/>
          <w:sz w:val="32"/>
        </w:rPr>
      </w:pPr>
      <w:r>
        <w:rPr>
          <w:rFonts w:ascii="Arial" w:eastAsia="Times New Roman" w:hAnsi="Arial" w:cs="Arial"/>
          <w:b/>
          <w:bCs/>
          <w:kern w:val="36"/>
          <w:sz w:val="32"/>
        </w:rPr>
        <w:t>Yahaddy Bangura</w:t>
      </w:r>
    </w:p>
    <w:p w14:paraId="2FBAE32B" w14:textId="3023343C" w:rsidR="00685279" w:rsidRDefault="00685279" w:rsidP="00685279">
      <w:pPr>
        <w:spacing w:after="0" w:line="360" w:lineRule="auto"/>
        <w:outlineLvl w:val="0"/>
        <w:rPr>
          <w:rFonts w:ascii="Arial" w:eastAsia="Times New Roman" w:hAnsi="Arial" w:cs="Arial"/>
          <w:b/>
          <w:bCs/>
          <w:kern w:val="36"/>
          <w:sz w:val="32"/>
        </w:rPr>
      </w:pPr>
      <w:r>
        <w:rPr>
          <w:rFonts w:ascii="Arial" w:eastAsia="Times New Roman" w:hAnsi="Arial" w:cs="Arial"/>
          <w:b/>
          <w:bCs/>
          <w:kern w:val="36"/>
          <w:sz w:val="32"/>
        </w:rPr>
        <w:t>Student ID 2315639</w:t>
      </w:r>
    </w:p>
    <w:p w14:paraId="056ED965" w14:textId="77777777" w:rsidR="00333C7C" w:rsidRDefault="00333C7C" w:rsidP="00992D59">
      <w:pPr>
        <w:spacing w:after="0" w:line="360" w:lineRule="auto"/>
        <w:jc w:val="center"/>
        <w:outlineLvl w:val="0"/>
        <w:rPr>
          <w:rFonts w:ascii="Arial" w:eastAsia="Times New Roman" w:hAnsi="Arial" w:cs="Arial"/>
          <w:b/>
          <w:bCs/>
          <w:kern w:val="36"/>
          <w:sz w:val="32"/>
        </w:rPr>
      </w:pPr>
    </w:p>
    <w:p w14:paraId="2D5FF025" w14:textId="77777777" w:rsidR="00685279" w:rsidRDefault="00685279" w:rsidP="00992D59">
      <w:pPr>
        <w:spacing w:after="0" w:line="360" w:lineRule="auto"/>
        <w:jc w:val="center"/>
        <w:outlineLvl w:val="0"/>
        <w:rPr>
          <w:rFonts w:ascii="Arial" w:eastAsia="Times New Roman" w:hAnsi="Arial" w:cs="Arial"/>
          <w:b/>
          <w:bCs/>
          <w:kern w:val="36"/>
          <w:sz w:val="32"/>
        </w:rPr>
      </w:pPr>
    </w:p>
    <w:p w14:paraId="0896AC85" w14:textId="77777777" w:rsidR="00333C7C" w:rsidRDefault="00333C7C" w:rsidP="00992D59">
      <w:pPr>
        <w:spacing w:after="0" w:line="360" w:lineRule="auto"/>
        <w:jc w:val="center"/>
        <w:outlineLvl w:val="0"/>
        <w:rPr>
          <w:rFonts w:ascii="Arial" w:eastAsia="Times New Roman" w:hAnsi="Arial" w:cs="Arial"/>
          <w:b/>
          <w:bCs/>
          <w:kern w:val="36"/>
          <w:sz w:val="32"/>
        </w:rPr>
      </w:pPr>
    </w:p>
    <w:p w14:paraId="17651FF8" w14:textId="77777777" w:rsidR="00333C7C" w:rsidRDefault="00333C7C" w:rsidP="00992D59">
      <w:pPr>
        <w:spacing w:after="0" w:line="360" w:lineRule="auto"/>
        <w:jc w:val="center"/>
        <w:outlineLvl w:val="0"/>
        <w:rPr>
          <w:rFonts w:ascii="Arial" w:eastAsia="Times New Roman" w:hAnsi="Arial" w:cs="Arial"/>
          <w:b/>
          <w:bCs/>
          <w:kern w:val="36"/>
          <w:sz w:val="32"/>
        </w:rPr>
      </w:pPr>
    </w:p>
    <w:p w14:paraId="1D8822AB" w14:textId="77777777" w:rsidR="00333C7C" w:rsidRDefault="00333C7C" w:rsidP="00992D59">
      <w:pPr>
        <w:spacing w:after="0" w:line="360" w:lineRule="auto"/>
        <w:jc w:val="center"/>
        <w:outlineLvl w:val="0"/>
        <w:rPr>
          <w:rFonts w:ascii="Arial" w:eastAsia="Times New Roman" w:hAnsi="Arial" w:cs="Arial"/>
          <w:b/>
          <w:bCs/>
          <w:kern w:val="36"/>
          <w:sz w:val="32"/>
        </w:rPr>
      </w:pPr>
    </w:p>
    <w:p w14:paraId="0AA6CF18" w14:textId="77777777" w:rsidR="00333C7C" w:rsidRDefault="00333C7C" w:rsidP="00992D59">
      <w:pPr>
        <w:spacing w:after="0" w:line="360" w:lineRule="auto"/>
        <w:jc w:val="center"/>
        <w:outlineLvl w:val="0"/>
        <w:rPr>
          <w:rFonts w:ascii="Arial" w:eastAsia="Times New Roman" w:hAnsi="Arial" w:cs="Arial"/>
          <w:b/>
          <w:bCs/>
          <w:kern w:val="36"/>
          <w:sz w:val="32"/>
        </w:rPr>
      </w:pPr>
    </w:p>
    <w:p w14:paraId="3C637E72" w14:textId="77777777" w:rsidR="00333C7C" w:rsidRDefault="00333C7C" w:rsidP="00992D59">
      <w:pPr>
        <w:spacing w:after="0" w:line="360" w:lineRule="auto"/>
        <w:jc w:val="center"/>
        <w:outlineLvl w:val="0"/>
        <w:rPr>
          <w:rFonts w:ascii="Arial" w:eastAsia="Times New Roman" w:hAnsi="Arial" w:cs="Arial"/>
          <w:b/>
          <w:bCs/>
          <w:kern w:val="36"/>
          <w:sz w:val="32"/>
        </w:rPr>
      </w:pPr>
    </w:p>
    <w:p w14:paraId="4FF6B421" w14:textId="77777777" w:rsidR="00333C7C" w:rsidRDefault="00333C7C" w:rsidP="00992D59">
      <w:pPr>
        <w:spacing w:after="0" w:line="360" w:lineRule="auto"/>
        <w:jc w:val="center"/>
        <w:outlineLvl w:val="0"/>
        <w:rPr>
          <w:rFonts w:ascii="Arial" w:eastAsia="Times New Roman" w:hAnsi="Arial" w:cs="Arial"/>
          <w:b/>
          <w:bCs/>
          <w:kern w:val="36"/>
          <w:sz w:val="32"/>
        </w:rPr>
      </w:pPr>
    </w:p>
    <w:p w14:paraId="4669323A" w14:textId="77777777" w:rsidR="00333C7C" w:rsidRDefault="00333C7C" w:rsidP="00333C7C">
      <w:pPr>
        <w:spacing w:after="0" w:line="360" w:lineRule="auto"/>
        <w:outlineLvl w:val="0"/>
        <w:rPr>
          <w:rFonts w:ascii="Arial" w:eastAsia="Times New Roman" w:hAnsi="Arial" w:cs="Arial"/>
          <w:b/>
          <w:bCs/>
          <w:kern w:val="36"/>
          <w:sz w:val="32"/>
        </w:rPr>
      </w:pPr>
    </w:p>
    <w:p w14:paraId="4CB8A58C" w14:textId="77777777" w:rsidR="00333C7C" w:rsidRDefault="00333C7C" w:rsidP="00992D59">
      <w:pPr>
        <w:spacing w:after="0" w:line="360" w:lineRule="auto"/>
        <w:jc w:val="center"/>
        <w:outlineLvl w:val="0"/>
        <w:rPr>
          <w:rFonts w:ascii="Arial" w:eastAsia="Times New Roman" w:hAnsi="Arial" w:cs="Arial"/>
          <w:b/>
          <w:bCs/>
          <w:kern w:val="36"/>
          <w:sz w:val="32"/>
        </w:rPr>
      </w:pPr>
    </w:p>
    <w:p w14:paraId="62B3DAD4" w14:textId="77777777" w:rsidR="00333C7C" w:rsidRDefault="00333C7C" w:rsidP="00992D59">
      <w:pPr>
        <w:spacing w:after="0" w:line="360" w:lineRule="auto"/>
        <w:jc w:val="center"/>
        <w:outlineLvl w:val="0"/>
        <w:rPr>
          <w:rFonts w:ascii="Arial" w:eastAsia="Times New Roman" w:hAnsi="Arial" w:cs="Arial"/>
          <w:b/>
          <w:bCs/>
          <w:kern w:val="36"/>
          <w:sz w:val="32"/>
        </w:rPr>
      </w:pPr>
      <w:r>
        <w:rPr>
          <w:rFonts w:ascii="Arial" w:eastAsia="Times New Roman" w:hAnsi="Arial" w:cs="Arial"/>
          <w:b/>
          <w:bCs/>
          <w:kern w:val="36"/>
          <w:sz w:val="32"/>
        </w:rPr>
        <w:t>THE EFFECTIVENESS OF PERSON CENTRED CARE IN IMPROVING OUTCOMES FOR OLDER ADULTS IN RESIDENTIAL CARE</w:t>
      </w:r>
    </w:p>
    <w:p w14:paraId="28DED13B" w14:textId="77777777" w:rsidR="00333C7C" w:rsidRDefault="00333C7C" w:rsidP="00992D59">
      <w:pPr>
        <w:spacing w:after="0" w:line="360" w:lineRule="auto"/>
        <w:jc w:val="center"/>
        <w:outlineLvl w:val="0"/>
        <w:rPr>
          <w:rFonts w:ascii="Arial" w:eastAsia="Times New Roman" w:hAnsi="Arial" w:cs="Arial"/>
          <w:b/>
          <w:bCs/>
          <w:kern w:val="36"/>
          <w:sz w:val="32"/>
        </w:rPr>
      </w:pPr>
    </w:p>
    <w:p w14:paraId="070D9296" w14:textId="77777777" w:rsidR="00333C7C" w:rsidRDefault="00333C7C" w:rsidP="00992D59">
      <w:pPr>
        <w:spacing w:after="0" w:line="360" w:lineRule="auto"/>
        <w:jc w:val="center"/>
        <w:outlineLvl w:val="0"/>
        <w:rPr>
          <w:rFonts w:ascii="Arial" w:eastAsia="Times New Roman" w:hAnsi="Arial" w:cs="Arial"/>
          <w:b/>
          <w:bCs/>
          <w:kern w:val="36"/>
          <w:sz w:val="32"/>
        </w:rPr>
      </w:pPr>
    </w:p>
    <w:p w14:paraId="2EBD4947" w14:textId="77777777" w:rsidR="00333C7C" w:rsidRDefault="00333C7C" w:rsidP="00992D59">
      <w:pPr>
        <w:spacing w:after="0" w:line="360" w:lineRule="auto"/>
        <w:jc w:val="center"/>
        <w:outlineLvl w:val="0"/>
        <w:rPr>
          <w:rFonts w:ascii="Arial" w:eastAsia="Times New Roman" w:hAnsi="Arial" w:cs="Arial"/>
          <w:b/>
          <w:bCs/>
          <w:kern w:val="36"/>
          <w:sz w:val="32"/>
        </w:rPr>
      </w:pPr>
    </w:p>
    <w:p w14:paraId="2EB0F8E5" w14:textId="77777777" w:rsidR="00333C7C" w:rsidRDefault="00333C7C" w:rsidP="00992D59">
      <w:pPr>
        <w:spacing w:after="0" w:line="360" w:lineRule="auto"/>
        <w:jc w:val="center"/>
        <w:outlineLvl w:val="0"/>
        <w:rPr>
          <w:rFonts w:ascii="Arial" w:eastAsia="Times New Roman" w:hAnsi="Arial" w:cs="Arial"/>
          <w:b/>
          <w:bCs/>
          <w:kern w:val="36"/>
          <w:sz w:val="32"/>
        </w:rPr>
      </w:pPr>
    </w:p>
    <w:p w14:paraId="56492356" w14:textId="77777777" w:rsidR="00333C7C" w:rsidRDefault="00333C7C" w:rsidP="00992D59">
      <w:pPr>
        <w:spacing w:after="0" w:line="360" w:lineRule="auto"/>
        <w:jc w:val="center"/>
        <w:outlineLvl w:val="0"/>
        <w:rPr>
          <w:rFonts w:ascii="Arial" w:eastAsia="Times New Roman" w:hAnsi="Arial" w:cs="Arial"/>
          <w:b/>
          <w:bCs/>
          <w:kern w:val="36"/>
          <w:sz w:val="32"/>
        </w:rPr>
      </w:pPr>
    </w:p>
    <w:p w14:paraId="4EDD7248" w14:textId="77777777" w:rsidR="00333C7C" w:rsidRDefault="00333C7C" w:rsidP="00992D59">
      <w:pPr>
        <w:spacing w:after="0" w:line="360" w:lineRule="auto"/>
        <w:jc w:val="center"/>
        <w:outlineLvl w:val="0"/>
        <w:rPr>
          <w:rFonts w:ascii="Arial" w:eastAsia="Times New Roman" w:hAnsi="Arial" w:cs="Arial"/>
          <w:b/>
          <w:bCs/>
          <w:kern w:val="36"/>
          <w:sz w:val="32"/>
        </w:rPr>
      </w:pPr>
    </w:p>
    <w:p w14:paraId="20761E68" w14:textId="77777777" w:rsidR="00333C7C" w:rsidRDefault="00333C7C" w:rsidP="00992D59">
      <w:pPr>
        <w:spacing w:after="0" w:line="360" w:lineRule="auto"/>
        <w:jc w:val="center"/>
        <w:outlineLvl w:val="0"/>
        <w:rPr>
          <w:rFonts w:ascii="Arial" w:eastAsia="Times New Roman" w:hAnsi="Arial" w:cs="Arial"/>
          <w:b/>
          <w:bCs/>
          <w:kern w:val="36"/>
          <w:sz w:val="32"/>
        </w:rPr>
      </w:pPr>
    </w:p>
    <w:p w14:paraId="6E7944FC" w14:textId="77777777" w:rsidR="00333C7C" w:rsidRDefault="00333C7C" w:rsidP="00992D59">
      <w:pPr>
        <w:spacing w:after="0" w:line="360" w:lineRule="auto"/>
        <w:jc w:val="center"/>
        <w:outlineLvl w:val="0"/>
        <w:rPr>
          <w:rFonts w:ascii="Arial" w:eastAsia="Times New Roman" w:hAnsi="Arial" w:cs="Arial"/>
          <w:b/>
          <w:bCs/>
          <w:kern w:val="36"/>
          <w:sz w:val="32"/>
        </w:rPr>
      </w:pPr>
    </w:p>
    <w:p w14:paraId="3D586325" w14:textId="77777777" w:rsidR="00992D59" w:rsidRPr="004F052F" w:rsidRDefault="00992D59" w:rsidP="00992D59">
      <w:pPr>
        <w:spacing w:after="0" w:line="360" w:lineRule="auto"/>
        <w:jc w:val="center"/>
        <w:outlineLvl w:val="0"/>
        <w:rPr>
          <w:rFonts w:ascii="Arial" w:eastAsia="Times New Roman" w:hAnsi="Arial" w:cs="Arial"/>
          <w:b/>
          <w:bCs/>
          <w:kern w:val="36"/>
          <w:sz w:val="32"/>
        </w:rPr>
      </w:pPr>
      <w:r w:rsidRPr="004F052F">
        <w:rPr>
          <w:rFonts w:ascii="Arial" w:eastAsia="Times New Roman" w:hAnsi="Arial" w:cs="Arial"/>
          <w:b/>
          <w:bCs/>
          <w:kern w:val="36"/>
          <w:sz w:val="32"/>
        </w:rPr>
        <w:lastRenderedPageBreak/>
        <w:t>CHAPTER ONE</w:t>
      </w:r>
    </w:p>
    <w:p w14:paraId="02E055FE" w14:textId="77777777" w:rsidR="00992D59" w:rsidRPr="004F052F" w:rsidRDefault="00992D59" w:rsidP="00992D59">
      <w:pPr>
        <w:spacing w:after="0" w:line="360" w:lineRule="auto"/>
        <w:jc w:val="center"/>
        <w:outlineLvl w:val="0"/>
        <w:rPr>
          <w:rFonts w:ascii="Arial" w:eastAsia="Times New Roman" w:hAnsi="Arial" w:cs="Arial"/>
          <w:b/>
          <w:bCs/>
          <w:kern w:val="36"/>
          <w:sz w:val="32"/>
        </w:rPr>
      </w:pPr>
      <w:r w:rsidRPr="004F052F">
        <w:rPr>
          <w:rFonts w:ascii="Arial" w:eastAsia="Times New Roman" w:hAnsi="Arial" w:cs="Arial"/>
          <w:b/>
          <w:bCs/>
          <w:kern w:val="36"/>
          <w:sz w:val="32"/>
        </w:rPr>
        <w:t>INTRODUCTION</w:t>
      </w:r>
    </w:p>
    <w:p w14:paraId="734F92B0" w14:textId="77777777" w:rsidR="00992D59" w:rsidRPr="004F052F" w:rsidRDefault="00992D59" w:rsidP="00992D59">
      <w:pPr>
        <w:spacing w:after="0" w:line="360" w:lineRule="auto"/>
        <w:jc w:val="both"/>
        <w:outlineLvl w:val="1"/>
        <w:rPr>
          <w:rFonts w:ascii="Arial" w:eastAsia="Times New Roman" w:hAnsi="Arial" w:cs="Arial"/>
          <w:b/>
          <w:bCs/>
          <w:sz w:val="28"/>
        </w:rPr>
      </w:pPr>
      <w:r w:rsidRPr="004F052F">
        <w:rPr>
          <w:rFonts w:ascii="Arial" w:eastAsia="Times New Roman" w:hAnsi="Arial" w:cs="Arial"/>
          <w:b/>
          <w:bCs/>
          <w:sz w:val="28"/>
        </w:rPr>
        <w:t>1.1 Background and Context</w:t>
      </w:r>
    </w:p>
    <w:p w14:paraId="4EBB6A97"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Population ageing is a significant global phenomenon that continues to place increasing demands on health and social care systems. In the United Kingdom, the proportion of older adults is rising steadily, leading to greater reliance on residential care services to support individuals with complex physical, cognitive, and social needs (World Health Organization, 2021). Older adults living in residential care settings often experience multiple health conditions, reduced independence, and varying degrees of social isolation, all of which necessitate comprehensive and responsive care approaches.</w:t>
      </w:r>
    </w:p>
    <w:p w14:paraId="06F50EFB"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In response to these challenges, person-centred care has emerged as a fundamental principle underpinning contemporary health and social care practice. Person-centred care is an approach that prioritises the individuality of service users, recognising their preferences, values, and life experiences. Rather than focusing solely on medical conditions or routine tasks, this approach seeks to promote dignity, autonomy, and meaningful engagement in care delivery (National Institute for Health and Care Excellence, 2022). As such, person-centred care represents a shift away from traditional, institutional models of care that have historically been criticised for being impersonal and task-oriented.</w:t>
      </w:r>
    </w:p>
    <w:p w14:paraId="024C6AC9"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The theoretical foundations of person-centred care can be traced to the work of Tom Kitwood, who emphasised the importance of maintaining personhood, particularly for individuals living with dementia. Kitwood (1997) argued that care should focus on the person as a whole, rather than solely on their illness, highlighting the importance of emotional and psychological wellbeing alongside physical care. This perspective has significantly influenced modern care practices and has contributed to the widespread adoption of person-centred approaches across health and social care settings.</w:t>
      </w:r>
    </w:p>
    <w:p w14:paraId="48A94BF4"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Within residential care environments, person-centred care is strongly supported by policy frameworks and professional guidelines. For example, the Department of Health and Social Care (2021) emphasises the importance of integrated, person-focused care that respects the needs and preferences of individuals. Similarly, guidance from the National Institute for Health and Care Excellence (2022) promotes person-centred approaches as a means of improving mental wellbeing and independence among older adults. Despite this policy support, questions remain regarding the extent to which person-centred care is effectively implemented in practice and whether it consistently leads to improved outcomes.</w:t>
      </w:r>
    </w:p>
    <w:p w14:paraId="21D3AC8E" w14:textId="77777777" w:rsidR="00992D59" w:rsidRPr="00992D59" w:rsidRDefault="00992D59" w:rsidP="00992D59">
      <w:pPr>
        <w:spacing w:after="0" w:line="360" w:lineRule="auto"/>
        <w:jc w:val="both"/>
        <w:rPr>
          <w:rFonts w:ascii="Arial" w:eastAsia="Times New Roman" w:hAnsi="Arial" w:cs="Arial"/>
        </w:rPr>
      </w:pPr>
    </w:p>
    <w:p w14:paraId="508F970E" w14:textId="77777777" w:rsidR="00992D59" w:rsidRPr="004F052F" w:rsidRDefault="00992D59" w:rsidP="00992D59">
      <w:pPr>
        <w:spacing w:after="0" w:line="360" w:lineRule="auto"/>
        <w:jc w:val="both"/>
        <w:outlineLvl w:val="1"/>
        <w:rPr>
          <w:rFonts w:ascii="Arial" w:eastAsia="Times New Roman" w:hAnsi="Arial" w:cs="Arial"/>
          <w:b/>
          <w:bCs/>
          <w:sz w:val="28"/>
        </w:rPr>
      </w:pPr>
      <w:r w:rsidRPr="004F052F">
        <w:rPr>
          <w:rFonts w:ascii="Arial" w:eastAsia="Times New Roman" w:hAnsi="Arial" w:cs="Arial"/>
          <w:b/>
          <w:bCs/>
          <w:sz w:val="28"/>
        </w:rPr>
        <w:t>1.2 Problem Statement</w:t>
      </w:r>
    </w:p>
    <w:p w14:paraId="2FA2DB43"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Although person-centred care is widely recognised as a best practice approach within health and social care, its implementation within residential care settings is often inconsistent. While policies advocate for care that is tailored to the individual, the realities of service delivery can present significant barriers. Factors such as staffing shortages, high workloads, time constraints, and limited training opportunities can restrict the ability of care providers to deliver genuinely person-centred care (The King’s Fund, 2021).</w:t>
      </w:r>
    </w:p>
    <w:p w14:paraId="15C277C1"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As a result, there is a growing concern that person-centred care may not always be fully realised in practice. In some cases, care provision remains task-focused, prioritising efficiency and routine over the individual needs and preferences of residents. This discrepancy between policy expectations and actual practice highlights a critical gap within the delivery of residential care services.</w:t>
      </w:r>
    </w:p>
    <w:p w14:paraId="6078D57E"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Furthermore, the concept of “effectiveness” in relation to person-centred care is complex and multifaceted. Outcomes associated with this approach may include improvements in psychological wellbeing, reduced behavioural distress, enhanced social interaction, and overall quality of life. However, these outcomes can be influenced by a range of external factors, including organisational culture, staff competence, and resource availability. Consequently, it can be challenging to determine the extent to which person-centred care alone contributes to improved outcomes.</w:t>
      </w:r>
    </w:p>
    <w:p w14:paraId="16A32D53"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Given these challenges, there is a clear need for a critical evaluation of the existing evidence on person-centred care. Understanding both its benefits and limitations is essential in determining whether this approach is achieving its intended aims within residential care settings.</w:t>
      </w:r>
    </w:p>
    <w:p w14:paraId="0D0E87DF" w14:textId="77777777" w:rsidR="00992D59" w:rsidRPr="004F052F" w:rsidRDefault="00992D59" w:rsidP="00992D59">
      <w:pPr>
        <w:spacing w:after="0" w:line="360" w:lineRule="auto"/>
        <w:jc w:val="both"/>
        <w:outlineLvl w:val="1"/>
        <w:rPr>
          <w:rFonts w:ascii="Arial" w:eastAsia="Times New Roman" w:hAnsi="Arial" w:cs="Arial"/>
          <w:b/>
          <w:bCs/>
          <w:sz w:val="28"/>
        </w:rPr>
      </w:pPr>
      <w:r w:rsidRPr="004F052F">
        <w:rPr>
          <w:rFonts w:ascii="Arial" w:eastAsia="Times New Roman" w:hAnsi="Arial" w:cs="Arial"/>
          <w:b/>
          <w:bCs/>
          <w:sz w:val="28"/>
        </w:rPr>
        <w:t>1.3 Aim and Objectives</w:t>
      </w:r>
    </w:p>
    <w:p w14:paraId="017F2AC4"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The aim of this study is to critically evaluate the effectiveness of person-centred care in improving outcomes for older adults in residential care settings.</w:t>
      </w:r>
    </w:p>
    <w:p w14:paraId="06984FE3"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To achieve this aim, the study will address the following objectives:</w:t>
      </w:r>
    </w:p>
    <w:p w14:paraId="1C3D712A" w14:textId="77777777" w:rsidR="00992D59" w:rsidRPr="00992D59" w:rsidRDefault="00992D59" w:rsidP="00992D59">
      <w:pPr>
        <w:numPr>
          <w:ilvl w:val="0"/>
          <w:numId w:val="1"/>
        </w:numPr>
        <w:spacing w:after="0" w:line="360" w:lineRule="auto"/>
        <w:jc w:val="both"/>
        <w:rPr>
          <w:rFonts w:ascii="Arial" w:eastAsia="Times New Roman" w:hAnsi="Arial" w:cs="Arial"/>
        </w:rPr>
      </w:pPr>
      <w:r>
        <w:rPr>
          <w:rFonts w:ascii="Arial" w:eastAsia="Times New Roman" w:hAnsi="Arial" w:cs="Arial"/>
        </w:rPr>
        <w:t xml:space="preserve">To examine the principles and theoretical foundations of person-centred care </w:t>
      </w:r>
    </w:p>
    <w:p w14:paraId="7C2B11FB" w14:textId="77777777" w:rsidR="00992D59" w:rsidRPr="00992D59" w:rsidRDefault="00992D59" w:rsidP="00992D59">
      <w:pPr>
        <w:numPr>
          <w:ilvl w:val="0"/>
          <w:numId w:val="1"/>
        </w:numPr>
        <w:spacing w:after="0" w:line="360" w:lineRule="auto"/>
        <w:jc w:val="both"/>
        <w:rPr>
          <w:rFonts w:ascii="Arial" w:eastAsia="Times New Roman" w:hAnsi="Arial" w:cs="Arial"/>
        </w:rPr>
      </w:pPr>
      <w:r>
        <w:rPr>
          <w:rFonts w:ascii="Arial" w:eastAsia="Times New Roman" w:hAnsi="Arial" w:cs="Arial"/>
        </w:rPr>
        <w:t xml:space="preserve">To critically analyse evidence on the impact of person-centred care on older adults’ wellbeing and quality of life </w:t>
      </w:r>
    </w:p>
    <w:p w14:paraId="1B5DD42B" w14:textId="77777777" w:rsidR="00992D59" w:rsidRPr="00992D59" w:rsidRDefault="00992D59" w:rsidP="00992D59">
      <w:pPr>
        <w:numPr>
          <w:ilvl w:val="0"/>
          <w:numId w:val="1"/>
        </w:numPr>
        <w:spacing w:after="0" w:line="360" w:lineRule="auto"/>
        <w:jc w:val="both"/>
        <w:rPr>
          <w:rFonts w:ascii="Arial" w:eastAsia="Times New Roman" w:hAnsi="Arial" w:cs="Arial"/>
        </w:rPr>
      </w:pPr>
      <w:r>
        <w:rPr>
          <w:rFonts w:ascii="Arial" w:eastAsia="Times New Roman" w:hAnsi="Arial" w:cs="Arial"/>
        </w:rPr>
        <w:t xml:space="preserve">To explore barriers and challenges to implementing person-centred care in residential care settings </w:t>
      </w:r>
    </w:p>
    <w:p w14:paraId="79A128CB" w14:textId="77777777" w:rsidR="00992D59" w:rsidRPr="00992D59" w:rsidRDefault="00992D59" w:rsidP="00992D59">
      <w:pPr>
        <w:numPr>
          <w:ilvl w:val="0"/>
          <w:numId w:val="1"/>
        </w:numPr>
        <w:spacing w:after="0" w:line="360" w:lineRule="auto"/>
        <w:jc w:val="both"/>
        <w:rPr>
          <w:rFonts w:ascii="Arial" w:eastAsia="Times New Roman" w:hAnsi="Arial" w:cs="Arial"/>
        </w:rPr>
      </w:pPr>
      <w:r>
        <w:rPr>
          <w:rFonts w:ascii="Arial" w:eastAsia="Times New Roman" w:hAnsi="Arial" w:cs="Arial"/>
        </w:rPr>
        <w:t xml:space="preserve">To identify recommendations for improving person-centred care practice </w:t>
      </w:r>
    </w:p>
    <w:p w14:paraId="36A6F646" w14:textId="77777777" w:rsidR="00992D59" w:rsidRDefault="00992D59" w:rsidP="00992D59">
      <w:pPr>
        <w:spacing w:after="0" w:line="360" w:lineRule="auto"/>
        <w:jc w:val="both"/>
        <w:outlineLvl w:val="1"/>
        <w:rPr>
          <w:rFonts w:ascii="Arial" w:eastAsia="Times New Roman" w:hAnsi="Arial" w:cs="Arial"/>
          <w:b/>
          <w:bCs/>
        </w:rPr>
      </w:pPr>
    </w:p>
    <w:p w14:paraId="3E429F17" w14:textId="77777777" w:rsidR="00992D59" w:rsidRDefault="00992D59" w:rsidP="00992D59">
      <w:pPr>
        <w:spacing w:after="0" w:line="360" w:lineRule="auto"/>
        <w:jc w:val="both"/>
        <w:outlineLvl w:val="1"/>
        <w:rPr>
          <w:rFonts w:ascii="Arial" w:eastAsia="Times New Roman" w:hAnsi="Arial" w:cs="Arial"/>
          <w:b/>
          <w:bCs/>
        </w:rPr>
      </w:pPr>
    </w:p>
    <w:p w14:paraId="1CDE1005" w14:textId="77777777" w:rsidR="00992D59" w:rsidRPr="004F052F" w:rsidRDefault="00992D59" w:rsidP="00992D59">
      <w:pPr>
        <w:spacing w:after="0" w:line="360" w:lineRule="auto"/>
        <w:jc w:val="both"/>
        <w:outlineLvl w:val="1"/>
        <w:rPr>
          <w:rFonts w:ascii="Arial" w:eastAsia="Times New Roman" w:hAnsi="Arial" w:cs="Arial"/>
          <w:b/>
          <w:bCs/>
          <w:sz w:val="28"/>
        </w:rPr>
      </w:pPr>
      <w:r w:rsidRPr="004F052F">
        <w:rPr>
          <w:rFonts w:ascii="Arial" w:eastAsia="Times New Roman" w:hAnsi="Arial" w:cs="Arial"/>
          <w:b/>
          <w:bCs/>
          <w:sz w:val="28"/>
        </w:rPr>
        <w:t>1.4 Research Question</w:t>
      </w:r>
    </w:p>
    <w:p w14:paraId="0E19616B"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This study is guided by the following research question:</w:t>
      </w:r>
    </w:p>
    <w:p w14:paraId="7EBAF1ED"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i/>
          <w:iCs/>
        </w:rPr>
        <w:t>To what extent does person-centred care improve outcomes for older adults in residential care settings?</w:t>
      </w:r>
    </w:p>
    <w:p w14:paraId="64E009CE" w14:textId="77777777" w:rsidR="00992D59" w:rsidRPr="004F052F" w:rsidRDefault="00992D59" w:rsidP="00992D59">
      <w:pPr>
        <w:spacing w:after="0" w:line="360" w:lineRule="auto"/>
        <w:jc w:val="both"/>
        <w:outlineLvl w:val="1"/>
        <w:rPr>
          <w:rFonts w:ascii="Arial" w:eastAsia="Times New Roman" w:hAnsi="Arial" w:cs="Arial"/>
          <w:b/>
          <w:bCs/>
          <w:sz w:val="28"/>
        </w:rPr>
      </w:pPr>
      <w:r w:rsidRPr="004F052F">
        <w:rPr>
          <w:rFonts w:ascii="Arial" w:eastAsia="Times New Roman" w:hAnsi="Arial" w:cs="Arial"/>
          <w:b/>
          <w:bCs/>
          <w:sz w:val="28"/>
        </w:rPr>
        <w:t>1.5 Significance of the Study</w:t>
      </w:r>
    </w:p>
    <w:p w14:paraId="01E515A8"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This study is significant within the context of ongoing efforts to improve the quality of care provided to older adults in residential settings. As the demand for health and social care services continues to grow, there is an increasing need to ensure that care practices are both effective and responsive to the needs of service users. Person-centred care has been widely promoted as a means of achieving these goals; however, its practical effectiveness requires further critical examination.</w:t>
      </w:r>
    </w:p>
    <w:p w14:paraId="4C7C7E23"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By analysing existing literature, this study aims to provide a comprehensive understanding of the extent to which person-centred care improves outcomes for older adults. The findings will contribute to identifying both the strengths and limitations of this approach, offering a more balanced perspective on its role within residential care.</w:t>
      </w:r>
    </w:p>
    <w:p w14:paraId="5EFFCFB8"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The study is also relevant to practitioners and policymakers, as it may highlight key barriers that hinder the successful implementation of person-centred care. Identifying these challenges can inform the development of strategies aimed at improving care delivery, such as enhanced staff training, better resource allocation, and organisational changes that support person-centred practices.</w:t>
      </w:r>
    </w:p>
    <w:p w14:paraId="16D0AFDF"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In addition, this research contributes to the academic field of health and social care by addressing the gap between theoretical frameworks and real-world practice. By critically evaluating existing evidence, the study seeks to support the development of care models that not only align with policy expectations but also produce meaningful improvements in the wellbeing and quality of life of older adults.</w:t>
      </w:r>
    </w:p>
    <w:p w14:paraId="5EF7B24F" w14:textId="77777777" w:rsidR="00992D59" w:rsidRPr="004F052F" w:rsidRDefault="00992D59" w:rsidP="00992D59">
      <w:pPr>
        <w:spacing w:after="0" w:line="360" w:lineRule="auto"/>
        <w:jc w:val="both"/>
        <w:outlineLvl w:val="1"/>
        <w:rPr>
          <w:rFonts w:ascii="Arial" w:eastAsia="Times New Roman" w:hAnsi="Arial" w:cs="Arial"/>
          <w:b/>
          <w:bCs/>
          <w:sz w:val="28"/>
        </w:rPr>
      </w:pPr>
      <w:r w:rsidRPr="004F052F">
        <w:rPr>
          <w:rFonts w:ascii="Arial" w:eastAsia="Times New Roman" w:hAnsi="Arial" w:cs="Arial"/>
          <w:b/>
          <w:bCs/>
          <w:sz w:val="28"/>
        </w:rPr>
        <w:t>1.6 Structure of the Dissertation</w:t>
      </w:r>
    </w:p>
    <w:p w14:paraId="5F8078A8" w14:textId="77777777" w:rsidR="00992D59" w:rsidRPr="00992D59" w:rsidRDefault="00992D59" w:rsidP="00992D59">
      <w:pPr>
        <w:spacing w:after="0" w:line="360" w:lineRule="auto"/>
        <w:jc w:val="both"/>
        <w:rPr>
          <w:rFonts w:ascii="Arial" w:eastAsia="Times New Roman" w:hAnsi="Arial" w:cs="Arial"/>
        </w:rPr>
      </w:pPr>
      <w:r>
        <w:rPr>
          <w:rFonts w:ascii="Arial" w:eastAsia="Times New Roman" w:hAnsi="Arial" w:cs="Arial"/>
        </w:rPr>
        <w:t xml:space="preserve">This dissertation is structured into five chapters. Chapter One introduces the research topic, outlining the background, problem statement, aim, objectives, and research question. Chapter Two presents a critical review of the literature related to person-centred care and its impact on outcomes for older adults in residential care settings. Chapter Three outlines the research methodology, including the design, data collection methods, and analytical approach used in the </w:t>
      </w:r>
      <w:r>
        <w:rPr>
          <w:rFonts w:ascii="Arial" w:eastAsia="Times New Roman" w:hAnsi="Arial" w:cs="Arial"/>
        </w:rPr>
        <w:lastRenderedPageBreak/>
        <w:t>study. Chapter Four presents and discusses the findings in relation to existing literature. Finally, Chapter Five provides conclusions and recommendations based on the findings, as well as suggestions for future research.</w:t>
      </w:r>
    </w:p>
    <w:p w14:paraId="5EA1BDD0"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7DFBCD45"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3FFEC1CF"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2B5DF1D9"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4E13EEE4"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6DC09198"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0F9E5C39"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4944AEAE"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6AEE16FC"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4AF4B037"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281912C3"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64F18214"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20181ECC"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5862304E"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49E40304"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4B5492C2"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068F024F"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37583E68"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4F5EEDFA"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07DC73A1"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2F4C98DE"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28914B06"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68F7FEDE"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0CF974C0"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5900A504"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08C77E4C"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6844D60A"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33D432D2"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6EAE7F6C"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375B49F8"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44319320" w14:textId="77777777" w:rsidR="004F052F" w:rsidRDefault="004F052F" w:rsidP="005E3DC3">
      <w:pPr>
        <w:pStyle w:val="Heading2"/>
        <w:spacing w:before="0" w:beforeAutospacing="0" w:after="0" w:afterAutospacing="0" w:line="360" w:lineRule="auto"/>
        <w:jc w:val="center"/>
        <w:rPr>
          <w:rStyle w:val="Strong"/>
          <w:rFonts w:ascii="Arial" w:hAnsi="Arial" w:cs="Arial"/>
          <w:b/>
          <w:bCs/>
          <w:sz w:val="22"/>
          <w:szCs w:val="22"/>
        </w:rPr>
      </w:pPr>
    </w:p>
    <w:p w14:paraId="3CE5F8E9" w14:textId="77777777" w:rsidR="005E3DC3" w:rsidRPr="004F052F" w:rsidRDefault="005E3DC3" w:rsidP="005E3DC3">
      <w:pPr>
        <w:pStyle w:val="Heading2"/>
        <w:spacing w:before="0" w:beforeAutospacing="0" w:after="0" w:afterAutospacing="0" w:line="360" w:lineRule="auto"/>
        <w:jc w:val="center"/>
        <w:rPr>
          <w:rStyle w:val="Strong"/>
          <w:rFonts w:ascii="Arial" w:hAnsi="Arial" w:cs="Arial"/>
          <w:b/>
          <w:bCs/>
          <w:sz w:val="28"/>
          <w:szCs w:val="22"/>
        </w:rPr>
      </w:pPr>
      <w:r w:rsidRPr="004F052F">
        <w:rPr>
          <w:rStyle w:val="Strong"/>
          <w:rFonts w:ascii="Arial" w:hAnsi="Arial" w:cs="Arial"/>
          <w:b/>
          <w:bCs/>
          <w:sz w:val="28"/>
          <w:szCs w:val="22"/>
        </w:rPr>
        <w:lastRenderedPageBreak/>
        <w:t>CHAPTER TWO</w:t>
      </w:r>
    </w:p>
    <w:p w14:paraId="5D8AC4A8" w14:textId="77777777" w:rsidR="005E3DC3" w:rsidRPr="004F052F" w:rsidRDefault="005E3DC3" w:rsidP="005E3DC3">
      <w:pPr>
        <w:pStyle w:val="Heading2"/>
        <w:spacing w:before="0" w:beforeAutospacing="0" w:after="0" w:afterAutospacing="0" w:line="360" w:lineRule="auto"/>
        <w:jc w:val="center"/>
        <w:rPr>
          <w:rStyle w:val="Strong"/>
          <w:rFonts w:ascii="Arial" w:hAnsi="Arial" w:cs="Arial"/>
          <w:b/>
          <w:bCs/>
          <w:sz w:val="28"/>
          <w:szCs w:val="22"/>
        </w:rPr>
      </w:pPr>
      <w:r w:rsidRPr="004F052F">
        <w:rPr>
          <w:rStyle w:val="Strong"/>
          <w:rFonts w:ascii="Arial" w:hAnsi="Arial" w:cs="Arial"/>
          <w:b/>
          <w:bCs/>
          <w:sz w:val="28"/>
          <w:szCs w:val="22"/>
        </w:rPr>
        <w:t>LITERATURE REVIEW</w:t>
      </w:r>
    </w:p>
    <w:p w14:paraId="2FA73BD8" w14:textId="77777777" w:rsidR="005E3DC3" w:rsidRPr="005E3DC3" w:rsidRDefault="005E3DC3" w:rsidP="005E3DC3">
      <w:pPr>
        <w:pStyle w:val="Heading2"/>
        <w:spacing w:before="0" w:beforeAutospacing="0" w:after="0" w:afterAutospacing="0" w:line="360" w:lineRule="auto"/>
        <w:jc w:val="both"/>
        <w:rPr>
          <w:rFonts w:ascii="Arial" w:hAnsi="Arial" w:cs="Arial"/>
          <w:sz w:val="22"/>
          <w:szCs w:val="22"/>
        </w:rPr>
      </w:pPr>
      <w:r>
        <w:rPr>
          <w:rStyle w:val="Strong"/>
          <w:rFonts w:ascii="Arial" w:hAnsi="Arial" w:cs="Arial"/>
          <w:b/>
          <w:bCs/>
          <w:sz w:val="22"/>
          <w:szCs w:val="22"/>
        </w:rPr>
        <w:t>2.1 Introduction</w:t>
      </w:r>
    </w:p>
    <w:p w14:paraId="3DAFAD01"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Person-centred care (PCC) has become a dominant philosophy in modern health and social care systems, particularly within services for older adults in residential care settings. The increasing global ageing population has placed significant pressure on care systems to deliver services that are not only efficient but also humane, dignified, and responsive to individual needs (World Health Organization, 2021). In response, PCC has been widely adopted in policy and practice as a model that prioritises individuality, autonomy, and holistic wellbeing.</w:t>
      </w:r>
    </w:p>
    <w:p w14:paraId="178CC98C"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Despite its widespread acceptance, there remains ongoing debate regarding the extent to which PCC is effectively implemented and whether it consistently leads to improved outcomes in residential care settings. While PCC is strongly endorsed in UK policy frameworks such as those produced by the National Institute for Health and Care Excellence (NICE, 2022) and the Department of Health and Social Care (DHSC, 2021), evidence from practice suggests significant variability in its application and impact.</w:t>
      </w:r>
    </w:p>
    <w:p w14:paraId="0F1CAC98"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This chapter critically evaluates existing literature on PCC, focusing on its theoretical foundations, effectiveness in improving outcomes for older adults, and the barriers that influence its implementation. Rather than simply describing existing studies, the review synthesises and critiques the evidence base, identifying inconsistencies, gaps, and tensions between theory, policy, and practice.</w:t>
      </w:r>
    </w:p>
    <w:p w14:paraId="5A16078D" w14:textId="77777777" w:rsidR="005E3DC3" w:rsidRPr="004F052F" w:rsidRDefault="005E3DC3" w:rsidP="005E3DC3">
      <w:pPr>
        <w:pStyle w:val="Heading2"/>
        <w:spacing w:before="0" w:beforeAutospacing="0" w:after="0" w:afterAutospacing="0" w:line="360" w:lineRule="auto"/>
        <w:jc w:val="both"/>
        <w:rPr>
          <w:rFonts w:ascii="Arial" w:hAnsi="Arial" w:cs="Arial"/>
          <w:sz w:val="28"/>
          <w:szCs w:val="22"/>
        </w:rPr>
      </w:pPr>
      <w:r w:rsidRPr="004F052F">
        <w:rPr>
          <w:rStyle w:val="Strong"/>
          <w:rFonts w:ascii="Arial" w:hAnsi="Arial" w:cs="Arial"/>
          <w:b/>
          <w:bCs/>
          <w:sz w:val="28"/>
          <w:szCs w:val="22"/>
        </w:rPr>
        <w:t>2.2 Conceptualising Person-Centred Care</w:t>
      </w:r>
    </w:p>
    <w:p w14:paraId="1A2C9F3D"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Person-centred care is generally defined as an approach that places the individual at the centre of care delivery, ensuring that their values, preferences, and needs guide all aspects of care planning and delivery (NICE, 2022). However, despite this widely accepted definition, the literature demonstrates a lack of conceptual clarity and consistency in how PCC is understood and operationalised (McCormack and McCance, 2017).</w:t>
      </w:r>
    </w:p>
    <w:p w14:paraId="3CE5BA08"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 theoretical foundation of PCC is strongly associated with the work of </w:t>
      </w:r>
      <w:r>
        <w:rPr>
          <w:rStyle w:val="whitespace-normal"/>
          <w:rFonts w:ascii="Arial" w:hAnsi="Arial" w:cs="Arial"/>
          <w:sz w:val="22"/>
          <w:szCs w:val="22"/>
        </w:rPr>
        <w:t>Tom Kitwood</w:t>
      </w:r>
      <w:r>
        <w:rPr>
          <w:rFonts w:ascii="Arial" w:hAnsi="Arial" w:cs="Arial"/>
          <w:sz w:val="22"/>
          <w:szCs w:val="22"/>
        </w:rPr>
        <w:t>, who introduced the concept of “personhood” in dementia care. Kitwood (1997) argued that individuals living with dementia should not be reduced to their cognitive impairments but should instead be understood as whole persons with emotional, social, and psychological needs. This marked a significant shift away from biomedical models of care, which traditionally prioritised diagnosis and physical symptoms over lived experience.</w:t>
      </w:r>
    </w:p>
    <w:p w14:paraId="541E9AB3"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Kitwood’s work has been widely influential; however, it has also been criticised for its lack of operational precision. While his framework is ethically compelling, it does not provide clear guidance on how PCC should be consistently implemented in practice (Brooker and Latham, 2016). This limitation has led to multiple interpretations of PCC across care settings, resulting in inconsistent application.</w:t>
      </w:r>
    </w:p>
    <w:p w14:paraId="35219E0B"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In addition, Edvardsson et al. (2014) argue that PCC is often reduced to superficial practices such as being polite or respectful, rather than representing a comprehensive organisational philosophy. This dilution of meaning contributes to what some scholars describe as “tokenistic PCC,” where the language of person-centredness is used without meaningful structural change.</w:t>
      </w:r>
    </w:p>
    <w:p w14:paraId="65B8DDBE"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The lack of a universally agreed definition presents significant challenges for research. Studies claiming to evaluate PCC often examine different interventions, ranging from communication strategies to full organisational redesigns. This makes comparison difficult and weakens the overall evidence base (Slater, 2006).</w:t>
      </w:r>
    </w:p>
    <w:p w14:paraId="001FA263" w14:textId="77777777" w:rsidR="005E3DC3" w:rsidRPr="004F052F" w:rsidRDefault="005E3DC3" w:rsidP="005E3DC3">
      <w:pPr>
        <w:pStyle w:val="Heading2"/>
        <w:spacing w:before="0" w:beforeAutospacing="0" w:after="0" w:afterAutospacing="0" w:line="360" w:lineRule="auto"/>
        <w:jc w:val="both"/>
        <w:rPr>
          <w:rFonts w:ascii="Arial" w:hAnsi="Arial" w:cs="Arial"/>
          <w:sz w:val="28"/>
          <w:szCs w:val="22"/>
        </w:rPr>
      </w:pPr>
      <w:r w:rsidRPr="004F052F">
        <w:rPr>
          <w:rStyle w:val="Strong"/>
          <w:rFonts w:ascii="Arial" w:hAnsi="Arial" w:cs="Arial"/>
          <w:b/>
          <w:bCs/>
          <w:sz w:val="28"/>
          <w:szCs w:val="22"/>
        </w:rPr>
        <w:t>2.3 Theoretical Foundations and Organisational Constraints</w:t>
      </w:r>
    </w:p>
    <w:p w14:paraId="58A553B4"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The theoretical roots of PCC lie in humanistic psychology, particularly the work of Carl Rogers, which emphasises empathy, autonomy, and unconditional positive regard. These principles align with ethical frameworks in health and social care that prioritise dignity and respect for individuals (Kitwood, 1997; McCormack and McCance, 2017).</w:t>
      </w:r>
    </w:p>
    <w:p w14:paraId="598912E2"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However, translating these ideals into practice within residential care settings presents significant challenges. Residential care environments are often characterised by rigid routines, high workloads, and limited staffing, which can conflict with the flexible and individualised nature of PCC (The King’s Fund, 2021).</w:t>
      </w:r>
    </w:p>
    <w:p w14:paraId="7AA63EF1"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Research consistently highlights the tension between person-centred ideals and organisational realities. For example, Spilsbury et al. (2015) found that care staff frequently experience time pressure that limits their ability to engage in meaningful interactions with residents. As a result, care becomes task-focused rather than relational, undermining the principles of PCC.</w:t>
      </w:r>
    </w:p>
    <w:p w14:paraId="56C99165"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Furthermore, organisational culture plays a critical role in shaping care practices. In hierarchical and efficiency-driven environments, PCC may be viewed as secondary to operational demands (Dewing, 2008). Conversely, organisations that prioritise reflective practice and staff empowerment are more likely to successfully implement PCC (McCormack et al., 2010).</w:t>
      </w:r>
    </w:p>
    <w:p w14:paraId="0DDBB4A0"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Critically, this suggests that PCC cannot be understood purely as an individual-level intervention. Instead, it is a complex, system-level approach that requires structural, cultural, and managerial alignment. Without such alignment, PCC risks remaining an aspirational concept rather than an embedded practice (The King’s Fund, 2021).</w:t>
      </w:r>
    </w:p>
    <w:p w14:paraId="40AD04F0" w14:textId="77777777" w:rsidR="005E3DC3" w:rsidRPr="004F052F" w:rsidRDefault="005E3DC3" w:rsidP="005E3DC3">
      <w:pPr>
        <w:pStyle w:val="Heading2"/>
        <w:spacing w:before="0" w:beforeAutospacing="0" w:after="0" w:afterAutospacing="0" w:line="360" w:lineRule="auto"/>
        <w:jc w:val="both"/>
        <w:rPr>
          <w:rFonts w:ascii="Arial" w:hAnsi="Arial" w:cs="Arial"/>
          <w:sz w:val="28"/>
          <w:szCs w:val="22"/>
        </w:rPr>
      </w:pPr>
      <w:r w:rsidRPr="004F052F">
        <w:rPr>
          <w:rStyle w:val="Strong"/>
          <w:rFonts w:ascii="Arial" w:hAnsi="Arial" w:cs="Arial"/>
          <w:b/>
          <w:bCs/>
          <w:sz w:val="28"/>
          <w:szCs w:val="22"/>
        </w:rPr>
        <w:lastRenderedPageBreak/>
        <w:t>2.4 Psychological and Emotional Outcomes</w:t>
      </w:r>
    </w:p>
    <w:p w14:paraId="48A34879"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A substantial body of literature suggests that PCC has positive effects on the psychological wellbeing of older adults. Studies have reported reductions in depression, anxiety, and agitation, alongside improvements in dignity, self-esteem, and life satisfaction (NICE, 2022; Brownie and Nancarrow, 2013).</w:t>
      </w:r>
    </w:p>
    <w:p w14:paraId="3B202944"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These findings support the theoretical assumption that recognising individuality and promoting meaningful engagement enhances emotional wellbeing. However, a more critical analysis reveals that these outcomes are not universally consistent.</w:t>
      </w:r>
    </w:p>
    <w:p w14:paraId="5BDBF157"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For example, Chenoweth et al. (2009) found that while PCC improved quality of life in dementia care settings, the magnitude of improvement varied depending on staff training and organisational commitment. Similarly, Rokstad et al. (2013) highlight that PCC interventions are more effective when staff receive structured training and ongoing support.</w:t>
      </w:r>
    </w:p>
    <w:p w14:paraId="1FC67611"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This suggests that PCC is highly context-dependent. The King’s Fund (2021) emphasises that without adequate staffing levels and leadership support, the benefits of PCC are significantly reduced. This challenges the assumption that PCC is inherently effective and instead positions it as contingent on implementation quality.</w:t>
      </w:r>
    </w:p>
    <w:p w14:paraId="1BAC2D64"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Methodological limitations also affect the reliability of findings. Many studies rely on qualitative methods or self-reported measures, which may be subject to bias (Slater, 2006). While these approaches provide valuable insights into lived experience, they do not always provide robust evidence of causality.</w:t>
      </w:r>
    </w:p>
    <w:p w14:paraId="3756062F"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Furthermore, there is limited longitudinal research examining the sustained impact of PCC. Most studies focus on short-term improvements, leaving uncertainty about whether benefits persist over time (McCormack and McCance, 2017).</w:t>
      </w:r>
    </w:p>
    <w:p w14:paraId="7A37FD08" w14:textId="77777777" w:rsidR="005E3DC3" w:rsidRPr="004F052F" w:rsidRDefault="005E3DC3" w:rsidP="005E3DC3">
      <w:pPr>
        <w:pStyle w:val="Heading2"/>
        <w:spacing w:before="0" w:beforeAutospacing="0" w:after="0" w:afterAutospacing="0" w:line="360" w:lineRule="auto"/>
        <w:jc w:val="both"/>
        <w:rPr>
          <w:rFonts w:ascii="Arial" w:hAnsi="Arial" w:cs="Arial"/>
          <w:sz w:val="28"/>
          <w:szCs w:val="22"/>
        </w:rPr>
      </w:pPr>
      <w:r w:rsidRPr="004F052F">
        <w:rPr>
          <w:rStyle w:val="Strong"/>
          <w:rFonts w:ascii="Arial" w:hAnsi="Arial" w:cs="Arial"/>
          <w:b/>
          <w:bCs/>
          <w:sz w:val="28"/>
          <w:szCs w:val="22"/>
        </w:rPr>
        <w:t xml:space="preserve">2.5 </w:t>
      </w:r>
      <w:proofErr w:type="spellStart"/>
      <w:r w:rsidRPr="004F052F">
        <w:rPr>
          <w:rStyle w:val="Strong"/>
          <w:rFonts w:ascii="Arial" w:hAnsi="Arial" w:cs="Arial"/>
          <w:b/>
          <w:bCs/>
          <w:sz w:val="28"/>
          <w:szCs w:val="22"/>
        </w:rPr>
        <w:t>Behavioural</w:t>
      </w:r>
      <w:proofErr w:type="spellEnd"/>
      <w:r w:rsidRPr="004F052F">
        <w:rPr>
          <w:rStyle w:val="Strong"/>
          <w:rFonts w:ascii="Arial" w:hAnsi="Arial" w:cs="Arial"/>
          <w:b/>
          <w:bCs/>
          <w:sz w:val="28"/>
          <w:szCs w:val="22"/>
        </w:rPr>
        <w:t xml:space="preserve"> Outcomes and Dementia Care</w:t>
      </w:r>
    </w:p>
    <w:p w14:paraId="50F31271"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PCC has been widely applied in dementia care, particularly in addressing behavioural and psychological symptoms such as agitation, aggression, and restlessness. Kitwood (1997) argued that such behaviours are often responses to unmet emotional needs rather than purely neurological decline.</w:t>
      </w:r>
    </w:p>
    <w:p w14:paraId="181760AE"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Empirical studies support this view. Brooker and Latham (2016) found that PCC interventions can reduce distress behaviours by improving communication and emotional engagement. Similarly, Fossey et al. (2006) reported reductions in agitation following staff training in PCC approaches.</w:t>
      </w:r>
    </w:p>
    <w:p w14:paraId="53E4AEB4"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However, the evidence remains mixed. While some studies demonstrate significant improvements, others report only modest or short-term effects (Chenoweth et al., 2009). This inconsistency may be due to differences in intervention design, staff engagement, and organisational context.</w:t>
      </w:r>
    </w:p>
    <w:p w14:paraId="070F11C6"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In addition, the sustainability of outcomes is unclear. Few studies examine whether behavioural improvements persist without ongoing intervention. This raises concerns about the long-term effectiveness and scalability of PCC interventions.</w:t>
      </w:r>
    </w:p>
    <w:p w14:paraId="68299F5C"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Another limitation is the variability in how PCC is operationalised in dementia care. Some interventions focus on environmental modifications, while others emphasise communication training or care planning. This lack of standardisation makes it difficult to compare outcomes across studies (Edvardsson et al., 2014).</w:t>
      </w:r>
    </w:p>
    <w:p w14:paraId="1FD382BC"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Critically, this suggests that PCC should be viewed as a flexible framework rather than a fixed intervention. However, this flexibility also complicates evaluation and weakens the overall evidence base.</w:t>
      </w:r>
    </w:p>
    <w:p w14:paraId="104B38DF" w14:textId="77777777" w:rsidR="005E3DC3" w:rsidRPr="004F052F" w:rsidRDefault="005E3DC3" w:rsidP="005E3DC3">
      <w:pPr>
        <w:pStyle w:val="Heading2"/>
        <w:spacing w:before="0" w:beforeAutospacing="0" w:after="0" w:afterAutospacing="0" w:line="360" w:lineRule="auto"/>
        <w:jc w:val="both"/>
        <w:rPr>
          <w:rFonts w:ascii="Arial" w:hAnsi="Arial" w:cs="Arial"/>
          <w:sz w:val="28"/>
          <w:szCs w:val="22"/>
        </w:rPr>
      </w:pPr>
      <w:r w:rsidRPr="004F052F">
        <w:rPr>
          <w:rStyle w:val="Strong"/>
          <w:rFonts w:ascii="Arial" w:hAnsi="Arial" w:cs="Arial"/>
          <w:b/>
          <w:bCs/>
          <w:sz w:val="28"/>
          <w:szCs w:val="22"/>
        </w:rPr>
        <w:t>2.6 Social Interaction and Quality of Life</w:t>
      </w:r>
    </w:p>
    <w:p w14:paraId="30D17CEF"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Improving social interaction and quality of life is a central aim of PCC in residential care settings. Studies indicate that PCC can enhance relationships between staff and residents, leading to increased trust, communication, and engagement (DHSC, 2021).</w:t>
      </w:r>
    </w:p>
    <w:p w14:paraId="6FB29FF5"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However, quality of life is a complex and multidimensional concept that includes physical, psychological, and social domains. As such, isolating the impact of PCC is challenging. Lawton (1994) argues that quality of life in older adults is influenced by a wide range of factors beyond care practices, including health status, environment, and social relationships.</w:t>
      </w:r>
    </w:p>
    <w:p w14:paraId="32AF709E"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Research findings are therefore mixed. While some studies report significant improvements in quality of life, others find minimal or inconsistent effects (Brownie and Nancarrow, 2013). This variability highlights the difficulty of measuring PCC outcomes reliably.</w:t>
      </w:r>
    </w:p>
    <w:p w14:paraId="0F80258F"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Furthermore, measurement tools vary widely across studies. Some use validated instruments such as the Quality of Life in Alzheimer’s Disease scale, while others rely on subjective assessments (Brooker and Latham, 2016). This inconsistency limits comparability and reduces the strength of conclusions.</w:t>
      </w:r>
    </w:p>
    <w:p w14:paraId="422D8F5A"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There is also evidence of inequality in outcomes. Individuals with higher cognitive functioning tend to benefit more from PCC interventions, while those with advanced dementia may experience fewer improvements (Rokstad et al., 2013). This raises important ethical concerns regarding equity in care provision.</w:t>
      </w:r>
    </w:p>
    <w:p w14:paraId="68E15692" w14:textId="77777777" w:rsidR="005E3DC3" w:rsidRPr="005E3DC3" w:rsidRDefault="005E3DC3" w:rsidP="005E3DC3">
      <w:pPr>
        <w:spacing w:after="0" w:line="360" w:lineRule="auto"/>
        <w:jc w:val="both"/>
        <w:rPr>
          <w:rFonts w:ascii="Arial" w:hAnsi="Arial" w:cs="Arial"/>
        </w:rPr>
      </w:pPr>
    </w:p>
    <w:p w14:paraId="27C307F1" w14:textId="77777777" w:rsidR="005E3DC3" w:rsidRPr="004F052F" w:rsidRDefault="005E3DC3" w:rsidP="005E3DC3">
      <w:pPr>
        <w:pStyle w:val="Heading2"/>
        <w:spacing w:before="0" w:beforeAutospacing="0" w:after="0" w:afterAutospacing="0" w:line="360" w:lineRule="auto"/>
        <w:jc w:val="both"/>
        <w:rPr>
          <w:rFonts w:ascii="Arial" w:hAnsi="Arial" w:cs="Arial"/>
          <w:sz w:val="28"/>
          <w:szCs w:val="22"/>
        </w:rPr>
      </w:pPr>
      <w:r w:rsidRPr="004F052F">
        <w:rPr>
          <w:rStyle w:val="Strong"/>
          <w:rFonts w:ascii="Arial" w:hAnsi="Arial" w:cs="Arial"/>
          <w:b/>
          <w:bCs/>
          <w:sz w:val="28"/>
          <w:szCs w:val="22"/>
        </w:rPr>
        <w:lastRenderedPageBreak/>
        <w:t>2.7 Barriers to Implementation</w:t>
      </w:r>
    </w:p>
    <w:p w14:paraId="0014676B"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The literature consistently identifies multiple barriers to implementing PCC in residential care settings. Staffing shortages are among the most significant, limiting the time available for personalised interaction (The King’s Fund, 2021). High workloads often result in task-oriented care, undermining PCC principles.</w:t>
      </w:r>
    </w:p>
    <w:p w14:paraId="29D0368F"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Training is another key barrier. PCC requires advanced communication and relational skills, yet many care workers receive limited formal training in these areas (Dewing, 2008). Without adequate training, implementation becomes inconsistent.</w:t>
      </w:r>
    </w:p>
    <w:p w14:paraId="33C9D8C1"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Organisational culture also plays a crucial role. In environments focused on efficiency and risk management, PCC may be deprioritised (McCormack et al., 2010). Conversely, supportive leadership and reflective practice environments are associated with more successful implementation.</w:t>
      </w:r>
    </w:p>
    <w:p w14:paraId="618D2C31"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Resource constraints further limit PCC adoption. Personalised care requires time, staffing, and financial investment, all of which may be constrained in underfunded systems (Spilsbury et al., 2015).</w:t>
      </w:r>
    </w:p>
    <w:p w14:paraId="7FE549F6" w14:textId="77777777" w:rsidR="005E3DC3" w:rsidRPr="004F052F" w:rsidRDefault="005E3DC3" w:rsidP="005E3DC3">
      <w:pPr>
        <w:pStyle w:val="Heading2"/>
        <w:spacing w:before="0" w:beforeAutospacing="0" w:after="0" w:afterAutospacing="0" w:line="360" w:lineRule="auto"/>
        <w:jc w:val="both"/>
        <w:rPr>
          <w:rFonts w:ascii="Arial" w:hAnsi="Arial" w:cs="Arial"/>
          <w:sz w:val="28"/>
          <w:szCs w:val="22"/>
        </w:rPr>
      </w:pPr>
      <w:r w:rsidRPr="004F052F">
        <w:rPr>
          <w:rStyle w:val="Strong"/>
          <w:rFonts w:ascii="Arial" w:hAnsi="Arial" w:cs="Arial"/>
          <w:b/>
          <w:bCs/>
          <w:sz w:val="28"/>
          <w:szCs w:val="22"/>
        </w:rPr>
        <w:t>2.8 Policy Context and the Theory–Practice Gap</w:t>
      </w:r>
    </w:p>
    <w:p w14:paraId="1A534D5E"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Policy frameworks in the UK strongly advocate PCC. NICE (2022) and DHSC (2021) emphasise its importance in improving dignity, independence, and wellbeing.</w:t>
      </w:r>
    </w:p>
    <w:p w14:paraId="08CBD150"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However, a persistent gap exists between policy and practice. While PCC is promoted as a standard of care, real-world implementation is often inconsistent due to structural constraints (The King’s Fund, 2021). This disconnect raises questions about whether PCC functions more as an ideological framework than a practical reality.</w:t>
      </w:r>
    </w:p>
    <w:p w14:paraId="0E29AC74"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Critically, this gap suggests that policy alone is insufficient to drive meaningful change. Effective implementation requires investment, training, and organisational transformation.</w:t>
      </w:r>
    </w:p>
    <w:p w14:paraId="6FC98F11" w14:textId="77777777" w:rsidR="005E3DC3" w:rsidRPr="004F052F" w:rsidRDefault="005E3DC3" w:rsidP="005E3DC3">
      <w:pPr>
        <w:pStyle w:val="Heading2"/>
        <w:spacing w:before="0" w:beforeAutospacing="0" w:after="0" w:afterAutospacing="0" w:line="360" w:lineRule="auto"/>
        <w:jc w:val="both"/>
        <w:rPr>
          <w:rFonts w:ascii="Arial" w:hAnsi="Arial" w:cs="Arial"/>
          <w:sz w:val="28"/>
          <w:szCs w:val="22"/>
        </w:rPr>
      </w:pPr>
      <w:r w:rsidRPr="004F052F">
        <w:rPr>
          <w:rStyle w:val="Strong"/>
          <w:rFonts w:ascii="Arial" w:hAnsi="Arial" w:cs="Arial"/>
          <w:b/>
          <w:bCs/>
          <w:sz w:val="28"/>
          <w:szCs w:val="22"/>
        </w:rPr>
        <w:t>2.9 Synthesis and Research Gap</w:t>
      </w:r>
    </w:p>
    <w:p w14:paraId="22827078"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Overall, the literature suggests that PCC has the potential to improve psychological wellbeing, behavioural outcomes, and quality of life among older adults in residential care settings. However, its effectiveness is inconsistent and highly dependent on contextual factors such as staffing, training, and organisational culture.</w:t>
      </w:r>
    </w:p>
    <w:p w14:paraId="012177A6"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Key gaps in the literature include a lack of standardised definitions, inconsistent outcome measures, limited longitudinal research, and insufficient evaluation of implementation processes. These gaps highlight the need for further critical research into how PCC operates in real-world settings.</w:t>
      </w:r>
    </w:p>
    <w:p w14:paraId="7BF7DCCA" w14:textId="77777777" w:rsidR="005E3DC3" w:rsidRPr="005E3DC3" w:rsidRDefault="005E3DC3" w:rsidP="005E3DC3">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This study therefore seeks to address these limitations by critically evaluating the effectiveness of PCC in improving outcomes for older adults in residential care.</w:t>
      </w:r>
    </w:p>
    <w:p w14:paraId="6EDE2825" w14:textId="77777777" w:rsidR="00E20C0E" w:rsidRDefault="00E20C0E"/>
    <w:p w14:paraId="5BB6F512" w14:textId="77777777" w:rsidR="001356B9" w:rsidRDefault="001356B9"/>
    <w:p w14:paraId="14E4A775" w14:textId="77777777" w:rsidR="001356B9" w:rsidRDefault="00333C7C">
      <w:r>
        <w:br w:type="page"/>
      </w:r>
    </w:p>
    <w:p w14:paraId="22F8E6E8" w14:textId="77777777" w:rsidR="001356B9" w:rsidRPr="004F052F" w:rsidRDefault="00333C7C">
      <w:pPr>
        <w:spacing w:after="0" w:line="360" w:lineRule="auto"/>
        <w:jc w:val="center"/>
        <w:outlineLvl w:val="0"/>
        <w:rPr>
          <w:rFonts w:ascii="Arial" w:eastAsia="Times New Roman" w:hAnsi="Arial" w:cs="Arial"/>
          <w:b/>
          <w:bCs/>
          <w:kern w:val="36"/>
          <w:sz w:val="32"/>
        </w:rPr>
      </w:pPr>
      <w:r w:rsidRPr="004F052F">
        <w:rPr>
          <w:rFonts w:ascii="Arial" w:eastAsia="Times New Roman" w:hAnsi="Arial" w:cs="Arial"/>
          <w:b/>
          <w:bCs/>
          <w:kern w:val="36"/>
          <w:sz w:val="32"/>
        </w:rPr>
        <w:lastRenderedPageBreak/>
        <w:t>CHAPTER THREE</w:t>
      </w:r>
    </w:p>
    <w:p w14:paraId="41BF1CFC" w14:textId="77777777" w:rsidR="001356B9" w:rsidRPr="004F052F" w:rsidRDefault="00333C7C">
      <w:pPr>
        <w:spacing w:after="0" w:line="360" w:lineRule="auto"/>
        <w:jc w:val="center"/>
        <w:outlineLvl w:val="0"/>
        <w:rPr>
          <w:rFonts w:ascii="Arial" w:eastAsia="Times New Roman" w:hAnsi="Arial" w:cs="Arial"/>
          <w:b/>
          <w:bCs/>
          <w:kern w:val="36"/>
          <w:sz w:val="32"/>
        </w:rPr>
      </w:pPr>
      <w:r w:rsidRPr="004F052F">
        <w:rPr>
          <w:rFonts w:ascii="Arial" w:eastAsia="Times New Roman" w:hAnsi="Arial" w:cs="Arial"/>
          <w:b/>
          <w:bCs/>
          <w:kern w:val="36"/>
          <w:sz w:val="32"/>
        </w:rPr>
        <w:t>METHODS</w:t>
      </w:r>
    </w:p>
    <w:p w14:paraId="5BC7CD0E"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3.1 Introduction</w:t>
      </w:r>
    </w:p>
    <w:p w14:paraId="1B12864D"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chapter outlines the methodological approach adopted to address the research question, namely the extent to which person-centred care (PCC) improves outcomes for older adults in residential care settings. As established in Chapter One, this study does not involve the collection of primary data from human participants; rather, it adopts a narrative, critical literature review design in order to synthesise and evaluate existing evidence on PCC. This chapter justifies the choice of methodology, describes the search strategy and selection criteria, outlines the approach to data analysis, and addresses the ethical considerations and limitations associated with this method.</w:t>
      </w:r>
    </w:p>
    <w:p w14:paraId="30B70740"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3.2 Research Design and Rationale</w:t>
      </w:r>
    </w:p>
    <w:p w14:paraId="789DDC77" w14:textId="77777777" w:rsidR="001356B9" w:rsidRDefault="00333C7C">
      <w:pPr>
        <w:spacing w:after="0" w:line="360" w:lineRule="auto"/>
        <w:jc w:val="both"/>
        <w:rPr>
          <w:rFonts w:ascii="Arial" w:eastAsia="Times New Roman" w:hAnsi="Arial" w:cs="Arial"/>
        </w:rPr>
      </w:pPr>
      <w:r>
        <w:rPr>
          <w:rFonts w:ascii="Arial" w:eastAsia="Times New Roman" w:hAnsi="Arial" w:cs="Arial"/>
        </w:rPr>
        <w:t>A narrative, critical literature review design was selected for this study. This approach involves the identification, evaluation, and synthesis of existing published literature on a defined topic, with the aim of generating new insight through critical analysis rather than the collection of new empirical data (Aveyard, 2019). Given that the research question concerns the effectiveness of an established care philosophy already subject to extensive academic and policy attention, a literature-based design was considered the most appropriate means of answering it within the constraints of an undergraduate dissertation.</w:t>
      </w:r>
    </w:p>
    <w:p w14:paraId="5B1FC69A" w14:textId="77777777" w:rsidR="001356B9" w:rsidRDefault="00333C7C">
      <w:pPr>
        <w:spacing w:after="0" w:line="360" w:lineRule="auto"/>
        <w:jc w:val="both"/>
        <w:rPr>
          <w:rFonts w:ascii="Arial" w:eastAsia="Times New Roman" w:hAnsi="Arial" w:cs="Arial"/>
        </w:rPr>
      </w:pPr>
      <w:r>
        <w:rPr>
          <w:rFonts w:ascii="Arial" w:eastAsia="Times New Roman" w:hAnsi="Arial" w:cs="Arial"/>
        </w:rPr>
        <w:t>A narrative review was favoured over a fully systematic review for several reasons. Systematic reviews typically require a highly specified protocol, including pre-registration, dual independent screening, and formal quality appraisal of every included study (Page et al., 2021). While valuable for narrow clinical questions, this was considered less suited to a broad, conceptually rich question spanning psychological, behavioural, social, organisational, and policy dimensions of PCC. A narrative approach allowed for a more flexible, thematic synthesis of literature drawn from multiple disciplinary perspectives, consistent with the aim of producing a comprehensive, critically engaged account (Greenhalgh et al., 2018). This is not to suggest the review was unstructured; rather, a structured narrative review approach was adopted, incorporating an explicit search strategy and selection criteria to maximise transparency while retaining flexibility (Bryman, 2016).</w:t>
      </w:r>
    </w:p>
    <w:p w14:paraId="6D12E812" w14:textId="77777777" w:rsidR="004F052F" w:rsidRDefault="004F052F">
      <w:pPr>
        <w:spacing w:after="0" w:line="360" w:lineRule="auto"/>
        <w:jc w:val="both"/>
        <w:rPr>
          <w:rFonts w:ascii="Arial" w:eastAsia="Times New Roman" w:hAnsi="Arial" w:cs="Arial"/>
        </w:rPr>
      </w:pPr>
    </w:p>
    <w:p w14:paraId="095DEA7C" w14:textId="77777777" w:rsidR="004F052F" w:rsidRDefault="004F052F">
      <w:pPr>
        <w:spacing w:after="0" w:line="360" w:lineRule="auto"/>
        <w:jc w:val="both"/>
        <w:rPr>
          <w:rFonts w:ascii="Arial" w:eastAsia="Times New Roman" w:hAnsi="Arial" w:cs="Arial"/>
        </w:rPr>
      </w:pPr>
    </w:p>
    <w:p w14:paraId="72F958E8"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lastRenderedPageBreak/>
        <w:t>3.3 Search Strategy</w:t>
      </w:r>
    </w:p>
    <w:p w14:paraId="62D4AF85" w14:textId="77777777" w:rsidR="001356B9" w:rsidRDefault="00333C7C">
      <w:pPr>
        <w:spacing w:after="0" w:line="360" w:lineRule="auto"/>
        <w:jc w:val="both"/>
        <w:rPr>
          <w:rFonts w:ascii="Arial" w:eastAsia="Times New Roman" w:hAnsi="Arial" w:cs="Arial"/>
        </w:rPr>
      </w:pPr>
      <w:r>
        <w:rPr>
          <w:rFonts w:ascii="Arial" w:eastAsia="Times New Roman" w:hAnsi="Arial" w:cs="Arial"/>
        </w:rPr>
        <w:t>A structured search of academic databases was undertaken, including CINAHL, PubMed, Google Scholar, and the university library discovery service, as these are widely recognised sources of peer-reviewed health and social care literature (Aveyard, 2019). Grey literature, including reports from the Department of Health and Social Care, the National Institute for Health and Care Excellence, and the King’s Fund, was also consulted given the policy-relevant nature of the topic.</w:t>
      </w:r>
    </w:p>
    <w:p w14:paraId="145E693F" w14:textId="77777777" w:rsidR="001356B9" w:rsidRDefault="00333C7C">
      <w:pPr>
        <w:spacing w:after="0" w:line="360" w:lineRule="auto"/>
        <w:jc w:val="both"/>
        <w:rPr>
          <w:rFonts w:ascii="Arial" w:eastAsia="Times New Roman" w:hAnsi="Arial" w:cs="Arial"/>
        </w:rPr>
      </w:pPr>
      <w:r>
        <w:rPr>
          <w:rFonts w:ascii="Arial" w:eastAsia="Times New Roman" w:hAnsi="Arial" w:cs="Arial"/>
        </w:rPr>
        <w:t>Search terms were developed around the central concepts of the research question and combined using Boolean operators, including “person-centred care”, “older adults”, “residential care”, “care homes”, “dementia care”, “quality of life”, and “wellbeing”, for example: (“person-centred care” OR “person-centered care”) AND (“older adults” OR “residential care” OR “care home*”) AND (“outcomes” OR “wellbeing”). Reference lists of key papers were also hand-searched, a technique known as snowballing, to capture additional relevant sources not surfaced through database searching alone (Greenhalgh and Peacock, 2005).</w:t>
      </w:r>
    </w:p>
    <w:p w14:paraId="04F846E5"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3.4 Inclusion and Exclusion Criteria</w:t>
      </w:r>
    </w:p>
    <w:p w14:paraId="43C46ABA" w14:textId="77777777" w:rsidR="001356B9" w:rsidRDefault="00333C7C">
      <w:pPr>
        <w:spacing w:after="0" w:line="360" w:lineRule="auto"/>
        <w:jc w:val="both"/>
        <w:rPr>
          <w:rFonts w:ascii="Arial" w:eastAsia="Times New Roman" w:hAnsi="Arial" w:cs="Arial"/>
        </w:rPr>
      </w:pPr>
      <w:r>
        <w:rPr>
          <w:rFonts w:ascii="Arial" w:eastAsia="Times New Roman" w:hAnsi="Arial" w:cs="Arial"/>
        </w:rPr>
        <w:t>Literature was included if it: focused specifically on PCC within residential, long-term, or dementia care settings for older adults; was published in English; was published within approximately the last fifteen years, while allowing for foundational texts such as Kitwood (1997); was peer-reviewed or produced by a recognised governmental or professional body; and provided sufficient detail to allow critical appraisal.</w:t>
      </w:r>
    </w:p>
    <w:p w14:paraId="613F2980" w14:textId="77777777" w:rsidR="001356B9" w:rsidRDefault="00333C7C">
      <w:pPr>
        <w:spacing w:after="0" w:line="360" w:lineRule="auto"/>
        <w:jc w:val="both"/>
        <w:rPr>
          <w:rFonts w:ascii="Arial" w:eastAsia="Times New Roman" w:hAnsi="Arial" w:cs="Arial"/>
        </w:rPr>
      </w:pPr>
      <w:r>
        <w:rPr>
          <w:rFonts w:ascii="Arial" w:eastAsia="Times New Roman" w:hAnsi="Arial" w:cs="Arial"/>
        </w:rPr>
        <w:t>Literature was excluded if it: focused on PCC in unrelated populations, such as paediatric or acute hospital settings; was not available in full text; consisted of opinion pieces or commentary without an evidential basis; or duplicated findings already captured in more comprehensive or recent publications.</w:t>
      </w:r>
    </w:p>
    <w:p w14:paraId="4F27FBBA" w14:textId="77777777" w:rsidR="001356B9" w:rsidRDefault="00333C7C">
      <w:pPr>
        <w:spacing w:after="0" w:line="360" w:lineRule="auto"/>
        <w:jc w:val="both"/>
        <w:rPr>
          <w:rFonts w:ascii="Arial" w:eastAsia="Times New Roman" w:hAnsi="Arial" w:cs="Arial"/>
        </w:rPr>
      </w:pPr>
      <w:r>
        <w:rPr>
          <w:rFonts w:ascii="Arial" w:eastAsia="Times New Roman" w:hAnsi="Arial" w:cs="Arial"/>
        </w:rPr>
        <w:t>Applying these criteria, a body of literature was identified comprising empirical studies, systematic and narrative reviews, and policy and guidance documents. This forms the evidential basis for the critical analysis in Chapter Two, discussed further in Chapter Four.</w:t>
      </w:r>
    </w:p>
    <w:p w14:paraId="4BF0DB72"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3.5 Data Analysis Approach</w:t>
      </w:r>
    </w:p>
    <w:p w14:paraId="721F8C30" w14:textId="77777777" w:rsidR="001356B9" w:rsidRDefault="00333C7C">
      <w:pPr>
        <w:spacing w:after="0" w:line="360" w:lineRule="auto"/>
        <w:jc w:val="both"/>
        <w:rPr>
          <w:rFonts w:ascii="Arial" w:eastAsia="Times New Roman" w:hAnsi="Arial" w:cs="Arial"/>
        </w:rPr>
      </w:pPr>
      <w:r>
        <w:rPr>
          <w:rFonts w:ascii="Arial" w:eastAsia="Times New Roman" w:hAnsi="Arial" w:cs="Arial"/>
        </w:rPr>
        <w:t xml:space="preserve">A thematic synthesis approach was used to analyse and organise the findings (Thomas and Harden, 2008). Each source was read critically, with key findings, arguments, and methodological characteristics recorded. Sources were then grouped according to recurring themes, including the conceptualisation of PCC, psychological and emotional outcomes, behavioural outcomes in dementia care, social interaction and quality of life, barriers to </w:t>
      </w:r>
      <w:r>
        <w:rPr>
          <w:rFonts w:ascii="Arial" w:eastAsia="Times New Roman" w:hAnsi="Arial" w:cs="Arial"/>
        </w:rPr>
        <w:lastRenderedPageBreak/>
        <w:t>implementation, and the policy-practice gap. These themes structure the literature review in Chapter Two and are revisited in the discussion in Chapter Four.</w:t>
      </w:r>
    </w:p>
    <w:p w14:paraId="3F51FD3B" w14:textId="77777777" w:rsidR="001356B9" w:rsidRDefault="00333C7C">
      <w:pPr>
        <w:spacing w:after="0" w:line="360" w:lineRule="auto"/>
        <w:jc w:val="both"/>
        <w:rPr>
          <w:rFonts w:ascii="Arial" w:eastAsia="Times New Roman" w:hAnsi="Arial" w:cs="Arial"/>
        </w:rPr>
      </w:pPr>
      <w:r>
        <w:rPr>
          <w:rFonts w:ascii="Arial" w:eastAsia="Times New Roman" w:hAnsi="Arial" w:cs="Arial"/>
        </w:rPr>
        <w:t>Within each theme, literature was critically compared in order to identify areas of consensus, contradiction, and uncertainty, with particular attention paid to the methodological strength of the evidence underpinning specific claims, for example distinguishing robust mixed-methods evaluations from small-scale qualitative studies or expert opinion. This reflects established guidance that the value of a narrative review lies in the quality of synthesis and critique applied, rather than the volume of literature cited (Greenhalgh et al., 2018).</w:t>
      </w:r>
    </w:p>
    <w:p w14:paraId="476C9A92"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3.6 Ethical Considerations</w:t>
      </w:r>
    </w:p>
    <w:p w14:paraId="2C72C096" w14:textId="77777777" w:rsidR="001356B9" w:rsidRDefault="00333C7C">
      <w:pPr>
        <w:spacing w:after="0" w:line="360" w:lineRule="auto"/>
        <w:jc w:val="both"/>
        <w:rPr>
          <w:rFonts w:ascii="Arial" w:eastAsia="Times New Roman" w:hAnsi="Arial" w:cs="Arial"/>
        </w:rPr>
      </w:pPr>
      <w:r>
        <w:rPr>
          <w:rFonts w:ascii="Arial" w:eastAsia="Times New Roman" w:hAnsi="Arial" w:cs="Arial"/>
        </w:rPr>
        <w:t>As this study relies exclusively on previously published, publicly available literature and does not involve human participants, formal ethical approval was not required. Nevertheless, ethical principles remained relevant. Academic integrity was maintained through accurate representation of source material, avoidance of selective or distorted interpretation of findings, and consistent referencing of all sources using the UWTSD Harvard style, giving appropriate credit to original authors (British Educational Research Association, 2018). Particular care was taken to engage critically and even-handedly with literature that challenges or complicates the assumed benefits of PCC, rather than selectively citing only favourable studies, reflecting a broader commitment to balanced, intellectually honest research.</w:t>
      </w:r>
    </w:p>
    <w:p w14:paraId="49530366"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3.7 Limitations of the Methodology</w:t>
      </w:r>
    </w:p>
    <w:p w14:paraId="10B62FC8" w14:textId="77777777" w:rsidR="001356B9" w:rsidRDefault="00333C7C">
      <w:pPr>
        <w:spacing w:after="0" w:line="360" w:lineRule="auto"/>
        <w:jc w:val="both"/>
        <w:rPr>
          <w:rFonts w:ascii="Arial" w:eastAsia="Times New Roman" w:hAnsi="Arial" w:cs="Arial"/>
        </w:rPr>
      </w:pPr>
      <w:r>
        <w:rPr>
          <w:rFonts w:ascii="Arial" w:eastAsia="Times New Roman" w:hAnsi="Arial" w:cs="Arial"/>
        </w:rPr>
        <w:t>Several limitations should be acknowledged. First, as a narrative rather than systematic review, the search process, while structured, was not exhaustive, and relevant studies may not have been identified. Second, this study relies on secondary analysis, meaning conclusions are inherently constrained by the quality and rigour of the original studies; where primary research is limited or methodologically weak, this constrains the strength of conclusions drawn here. Third, the exclusive use of English-language sources may have excluded relevant literature published in other languages, despite PCC being an internationally recognised model. Finally, as with any single-researcher review, there is a risk of subjectivity in selection and interpretation; this was mitigated, though not eliminated, through explicit, consistently applied selection criteria.</w:t>
      </w:r>
    </w:p>
    <w:p w14:paraId="3853C953" w14:textId="77777777" w:rsidR="001356B9" w:rsidRDefault="00333C7C">
      <w:pPr>
        <w:spacing w:after="0" w:line="360" w:lineRule="auto"/>
        <w:jc w:val="both"/>
        <w:rPr>
          <w:rFonts w:ascii="Arial" w:eastAsia="Times New Roman" w:hAnsi="Arial" w:cs="Arial"/>
        </w:rPr>
      </w:pPr>
      <w:r>
        <w:rPr>
          <w:rFonts w:ascii="Arial" w:eastAsia="Times New Roman" w:hAnsi="Arial" w:cs="Arial"/>
        </w:rPr>
        <w:t>Despite these limitations, the chosen methodology provided an appropriate and proportionate means of critically evaluating the existing evidence base on PCC effectiveness, providing a transparent basis for the findings and discussion presented in Chapter Four.</w:t>
      </w:r>
    </w:p>
    <w:p w14:paraId="015F3B70" w14:textId="77777777" w:rsidR="001356B9" w:rsidRDefault="001356B9"/>
    <w:p w14:paraId="3D77F9B3" w14:textId="77777777" w:rsidR="001356B9" w:rsidRDefault="00333C7C">
      <w:r>
        <w:br w:type="page"/>
      </w:r>
    </w:p>
    <w:p w14:paraId="3EB322D8" w14:textId="77777777" w:rsidR="001356B9" w:rsidRPr="004F052F" w:rsidRDefault="00333C7C">
      <w:pPr>
        <w:spacing w:after="0" w:line="360" w:lineRule="auto"/>
        <w:jc w:val="center"/>
        <w:outlineLvl w:val="0"/>
        <w:rPr>
          <w:rFonts w:ascii="Arial" w:eastAsia="Times New Roman" w:hAnsi="Arial" w:cs="Arial"/>
          <w:b/>
          <w:bCs/>
          <w:kern w:val="36"/>
          <w:sz w:val="32"/>
        </w:rPr>
      </w:pPr>
      <w:r w:rsidRPr="004F052F">
        <w:rPr>
          <w:rFonts w:ascii="Arial" w:eastAsia="Times New Roman" w:hAnsi="Arial" w:cs="Arial"/>
          <w:b/>
          <w:bCs/>
          <w:kern w:val="36"/>
          <w:sz w:val="32"/>
        </w:rPr>
        <w:lastRenderedPageBreak/>
        <w:t>CHAPTER FOUR</w:t>
      </w:r>
    </w:p>
    <w:p w14:paraId="794C7D1A" w14:textId="77777777" w:rsidR="001356B9" w:rsidRPr="004F052F" w:rsidRDefault="00333C7C">
      <w:pPr>
        <w:spacing w:after="0" w:line="360" w:lineRule="auto"/>
        <w:jc w:val="center"/>
        <w:outlineLvl w:val="0"/>
        <w:rPr>
          <w:rFonts w:ascii="Arial" w:eastAsia="Times New Roman" w:hAnsi="Arial" w:cs="Arial"/>
          <w:b/>
          <w:bCs/>
          <w:kern w:val="36"/>
          <w:sz w:val="32"/>
        </w:rPr>
      </w:pPr>
      <w:r w:rsidRPr="004F052F">
        <w:rPr>
          <w:rFonts w:ascii="Arial" w:eastAsia="Times New Roman" w:hAnsi="Arial" w:cs="Arial"/>
          <w:b/>
          <w:bCs/>
          <w:kern w:val="36"/>
          <w:sz w:val="32"/>
        </w:rPr>
        <w:t>RESULTS AND DISCUSSION</w:t>
      </w:r>
    </w:p>
    <w:p w14:paraId="066836F9"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4.1 Introduction</w:t>
      </w:r>
    </w:p>
    <w:p w14:paraId="6711B0EB"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chapter presents and critically discusses the findings derived from the literature reviewed in Chapter Two, in relation to the research question concerning the extent to which person-centred care (PCC) improves outcomes for older adults in residential care settings. Rather than simply restating the findings of individual studies, this chapter synthesises the evidence across the themes identified through the thematic analysis described in Chapter Three, namely the conceptualisation of PCC, psychological and emotional outcomes, behavioural outcomes in dementia care, social interaction and quality of life, barriers to implementation, and the policy-practice gap. Within each section, the evidence is critically interrogated, areas of consensus and contradiction are highlighted, and the implications for residential care practice are considered. The chapter concludes with a synthesis that directly addresses the research question and links the discussion to the recommendations developed in Chapter Five.</w:t>
      </w:r>
    </w:p>
    <w:p w14:paraId="2CBD05A2" w14:textId="77777777" w:rsidR="001356B9" w:rsidRDefault="00333C7C">
      <w:pPr>
        <w:spacing w:after="0" w:line="360" w:lineRule="auto"/>
        <w:jc w:val="both"/>
        <w:rPr>
          <w:rFonts w:ascii="Arial" w:eastAsia="Times New Roman" w:hAnsi="Arial" w:cs="Arial"/>
        </w:rPr>
      </w:pPr>
      <w:r>
        <w:rPr>
          <w:rFonts w:ascii="Arial" w:eastAsia="Times New Roman" w:hAnsi="Arial" w:cs="Arial"/>
        </w:rPr>
        <w:t>It is important to note that, because this study adopts a literature-based design, the “results” presented here are not original empirical data but rather the synthesised and critically evaluated findings of the studies and policy documents identified in Chapter Two. This chapter therefore moves beyond description towards interpretation, drawing out the implications, tensions, and gaps within the existing evidence base, in line with the analytical, rather than purely descriptive, expectations of work at this academic level.</w:t>
      </w:r>
    </w:p>
    <w:p w14:paraId="6A8DDEA8"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4.2 The Conceptual Ambiguity of Person-Centred Care and Its Implications for Outcomes</w:t>
      </w:r>
    </w:p>
    <w:p w14:paraId="5FA3C5D2" w14:textId="77777777" w:rsidR="001356B9" w:rsidRDefault="00333C7C">
      <w:pPr>
        <w:spacing w:after="0" w:line="360" w:lineRule="auto"/>
        <w:jc w:val="both"/>
        <w:rPr>
          <w:rFonts w:ascii="Arial" w:eastAsia="Times New Roman" w:hAnsi="Arial" w:cs="Arial"/>
        </w:rPr>
      </w:pPr>
      <w:r>
        <w:rPr>
          <w:rFonts w:ascii="Arial" w:eastAsia="Times New Roman" w:hAnsi="Arial" w:cs="Arial"/>
        </w:rPr>
        <w:t>A central finding emerging from the literature is that PCC is not a single, clearly defined intervention but a broad philosophy that is operationalised in markedly different ways across studies and care settings (McCormack and McCance, 2017; Edvardsson et al., 2014). This conceptual ambiguity has significant implications for the interpretation of effectiveness data. When studies examining “PCC” range from full organisational redesigns to discrete communication training interventions, claims about the effectiveness of PCC as a whole become difficult to substantiate with confidence, since the term may, in practice, refer to substantially different interventions with different mechanisms of action and different plausible outcomes.</w:t>
      </w:r>
    </w:p>
    <w:p w14:paraId="28E8ED9F" w14:textId="77777777" w:rsidR="001356B9" w:rsidRDefault="00333C7C">
      <w:pPr>
        <w:spacing w:after="0" w:line="360" w:lineRule="auto"/>
        <w:jc w:val="both"/>
        <w:rPr>
          <w:rFonts w:ascii="Arial" w:eastAsia="Times New Roman" w:hAnsi="Arial" w:cs="Arial"/>
        </w:rPr>
      </w:pPr>
      <w:r>
        <w:rPr>
          <w:rFonts w:ascii="Arial" w:eastAsia="Times New Roman" w:hAnsi="Arial" w:cs="Arial"/>
        </w:rPr>
        <w:lastRenderedPageBreak/>
        <w:t>This finding is significant because it suggests that the research question itself, framed in terms of whether PCC “improves outcomes”, may be somewhat imprecise unless the specific form of PCC under consideration is clearly specified. The evidence indicates that some forms of PCC, particularly those involving sustained staff training and organisational commitment, demonstrate more consistent positive outcomes than others, such as superficial or “tokenistic” applications of person-centred language without corresponding structural change (Edvardsson et al., 2014; Brooker and Latham, 2016). This points to an important nuance: the effectiveness of PCC may depend less on whether it is adopted in principle and more on the depth and fidelity with which it is implemented in practice.</w:t>
      </w:r>
    </w:p>
    <w:p w14:paraId="0AF0A88F"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finding also has methodological implications for the broader evidence base. If different studies are, in effect, evaluating different interventions under the same conceptual label, then attempts to compare or aggregate findings across studies, for example through systematic review or meta-analysis, risk producing misleading conclusions, since the underlying “treatment” is not held constant. This may partly explain why the literature reviewed in Chapter Two reports such variable outcomes across what is nominally the same intervention. It also suggests that future primary research would benefit considerably from more precise operational definitions of PCC, specifying not only that an intervention is “person-centred” but exactly which components, behaviours, or structural changes this entails, in order to allow for more meaningful synthesis of findings across studies (Slater, 2006).</w:t>
      </w:r>
    </w:p>
    <w:p w14:paraId="4D7F277A"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has direct implications for residential care practice. Providers and policymakers seeking to improve outcomes through PCC cannot assume that simply adopting the language or stated values of person-centredness will be sufficient; the literature suggests that meaningful outcomes are contingent on PCC being embedded as a comprehensive organisational philosophy, encompassing care planning, staff behaviour, environmental design, and leadership culture, rather than a set of superficial gestures towards individualised language in care documentation.</w:t>
      </w:r>
    </w:p>
    <w:p w14:paraId="221A4FA2" w14:textId="77777777" w:rsidR="001356B9" w:rsidRDefault="00333C7C">
      <w:pPr>
        <w:spacing w:after="0" w:line="360" w:lineRule="auto"/>
        <w:jc w:val="both"/>
        <w:rPr>
          <w:rFonts w:ascii="Arial" w:eastAsia="Times New Roman" w:hAnsi="Arial" w:cs="Arial"/>
        </w:rPr>
      </w:pPr>
      <w:r>
        <w:rPr>
          <w:rFonts w:ascii="Arial" w:eastAsia="Times New Roman" w:hAnsi="Arial" w:cs="Arial"/>
        </w:rPr>
        <w:t>A related point, not always made explicit in the literature reviewed but evident on closer critical reading, is that the conceptual breadth of PCC may itself partly explain its enduring popularity in policy discourse. A concept broad enough to encompass everything from individualised meal choices to comprehensive organisational restructuring is, almost by definition, difficult for any organisation to claim it has failed to adopt in some form. This breadth may therefore confer rhetorical resilience on PCC as a policy concept, even as it simultaneously undermines the precision needed for robust empirical evaluation of its effectiveness, a tension that recurs throughout the findings discussed in this chapter.</w:t>
      </w:r>
    </w:p>
    <w:p w14:paraId="666DCB4C" w14:textId="77777777" w:rsidR="004F052F" w:rsidRDefault="004F052F">
      <w:pPr>
        <w:spacing w:after="0" w:line="360" w:lineRule="auto"/>
        <w:jc w:val="both"/>
        <w:rPr>
          <w:rFonts w:ascii="Arial" w:eastAsia="Times New Roman" w:hAnsi="Arial" w:cs="Arial"/>
        </w:rPr>
      </w:pPr>
    </w:p>
    <w:p w14:paraId="1D1D0D76"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lastRenderedPageBreak/>
        <w:t>4.3 Psychological and Emotional Outcomes: A Contingent Benefit</w:t>
      </w:r>
    </w:p>
    <w:p w14:paraId="7E9A1C17" w14:textId="77777777" w:rsidR="001356B9" w:rsidRDefault="00333C7C">
      <w:pPr>
        <w:spacing w:after="0" w:line="360" w:lineRule="auto"/>
        <w:jc w:val="both"/>
        <w:rPr>
          <w:rFonts w:ascii="Arial" w:eastAsia="Times New Roman" w:hAnsi="Arial" w:cs="Arial"/>
        </w:rPr>
      </w:pPr>
      <w:r>
        <w:rPr>
          <w:rFonts w:ascii="Arial" w:eastAsia="Times New Roman" w:hAnsi="Arial" w:cs="Arial"/>
        </w:rPr>
        <w:t>The literature reviewed provides reasonably consistent evidence that PCC is associated with improvements in psychological and emotional outcomes for older adults, including reductions in depression, anxiety, and agitation, and improvements in dignity and life satisfaction (NICE, 2022; Brownie and Nancarrow, 2013). At face value, this supports the assumption underpinning much UK policy that PCC represents an effective means of enhancing wellbeing in residential care, and it aligns with the theoretical case advanced by Kitwood (1997) that attending to personhood, rather than focusing narrowly on physical or clinical needs, should be expected to support emotional wellbeing.</w:t>
      </w:r>
    </w:p>
    <w:p w14:paraId="79348F58" w14:textId="77777777" w:rsidR="001356B9" w:rsidRDefault="00333C7C">
      <w:pPr>
        <w:spacing w:after="0" w:line="360" w:lineRule="auto"/>
        <w:jc w:val="both"/>
        <w:rPr>
          <w:rFonts w:ascii="Arial" w:eastAsia="Times New Roman" w:hAnsi="Arial" w:cs="Arial"/>
        </w:rPr>
      </w:pPr>
      <w:r>
        <w:rPr>
          <w:rFonts w:ascii="Arial" w:eastAsia="Times New Roman" w:hAnsi="Arial" w:cs="Arial"/>
        </w:rPr>
        <w:t>However, a more critical reading of the evidence reveals that these benefits are not unconditional. Chenoweth et al. (2009) found that improvements in quality of life associated with PCC varied considerably depending on staff training and organisational commitment, while Rokstad et al. (2013) similarly found that the effectiveness of PCC interventions was strongly moderated by the presence of structured staff training and ongoing support. This is a critical finding in relation to the research question, as it suggests that PCC does not function as a uniformly effective intervention; rather, its psychological benefits appear to be highly conditional on the quality of implementation, a point reinforced by The King’s Fund (2021), which argues that without adequate staffing and leadership, the benefits of PCC are substantially diminished.</w:t>
      </w:r>
    </w:p>
    <w:p w14:paraId="706C1FDF"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conditionality raises an important interpretive question: should the inconsistent findings across the literature be read as evidence against the effectiveness of PCC itself, or as evidence of widespread implementation failure rather than a flaw in the underlying model? This review takes the position that the weight of evidence favours the latter interpretation. Where PCC is implemented with genuine organisational commitment, sustained training, and adequate staffing, the psychological benefits reported are relatively consistent across studies; it is principally in contexts of poor implementation that benefits diminish or disappear. This distinction matters considerably for practice, because it shifts the policy and managerial focus away from questioning the validity of PCC as a model and towards addressing the practical and organisational conditions required for it to succeed.</w:t>
      </w:r>
    </w:p>
    <w:p w14:paraId="7F0FA66B" w14:textId="77777777" w:rsidR="001356B9" w:rsidRDefault="00333C7C">
      <w:pPr>
        <w:spacing w:after="0" w:line="360" w:lineRule="auto"/>
        <w:jc w:val="both"/>
        <w:rPr>
          <w:rFonts w:ascii="Arial" w:eastAsia="Times New Roman" w:hAnsi="Arial" w:cs="Arial"/>
        </w:rPr>
      </w:pPr>
      <w:r>
        <w:rPr>
          <w:rFonts w:ascii="Arial" w:eastAsia="Times New Roman" w:hAnsi="Arial" w:cs="Arial"/>
        </w:rPr>
        <w:t xml:space="preserve">This pattern also reflects a broader methodological issue identified in the literature: much of the evidence relies on qualitative or self-reported measures of psychological wellbeing, which, while valuable for capturing lived experience, are subject to potential bias, including social desirability bias and recall bias, and do not always allow robust causal claims to be made about the specific contribution of PCC relative to other factors influencing wellbeing, such as concurrent improvements in staffing or the physical care environment (Slater, 2006). Additionally, the </w:t>
      </w:r>
      <w:r>
        <w:rPr>
          <w:rFonts w:ascii="Arial" w:eastAsia="Times New Roman" w:hAnsi="Arial" w:cs="Arial"/>
        </w:rPr>
        <w:lastRenderedPageBreak/>
        <w:t>relative absence of longitudinal research means that while short-term psychological improvements following PCC interventions are reasonably well evidenced, the sustainability of these benefits over time remains uncertain (McCormack and McCance, 2017). Without longitudinal data, it is not possible to determine whether psychological improvements represent a stable shift in wellbeing or a temporary effect associated with the novelty of a new intervention or increased staff attention, an effect sometimes referred to in the broader health research literature as a form of observer or attention effect. For residential care practice, this suggests that psychological benefits associated with PCC should not be assumed to be automatic or permanent, but rather as outcomes requiring continuous reinforcement through sustained training, supervision, and organisational support, alongside more robust, longer-term evaluation to confirm that observed benefits are durable.</w:t>
      </w:r>
    </w:p>
    <w:p w14:paraId="1670532E"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4.4 Behavioural Outcomes in Dementia Care: Promising but Inconsistent Evidence</w:t>
      </w:r>
    </w:p>
    <w:p w14:paraId="6E33CC5F" w14:textId="77777777" w:rsidR="001356B9" w:rsidRDefault="00333C7C">
      <w:pPr>
        <w:spacing w:after="0" w:line="360" w:lineRule="auto"/>
        <w:jc w:val="both"/>
        <w:rPr>
          <w:rFonts w:ascii="Arial" w:eastAsia="Times New Roman" w:hAnsi="Arial" w:cs="Arial"/>
        </w:rPr>
      </w:pPr>
      <w:r>
        <w:rPr>
          <w:rFonts w:ascii="Arial" w:eastAsia="Times New Roman" w:hAnsi="Arial" w:cs="Arial"/>
        </w:rPr>
        <w:t>The literature on behavioural outcomes presents a similarly nuanced picture. Drawing on Kitwood’s (1997) foundational argument that behavioural and psychological symptoms of dementia, such as agitation and aggression, often represent unmet emotional needs rather than purely neurological decline, several studies provide empirical support for PCC as an effective means of reducing such behaviours. Brooker and Latham (2016) found that PCC interventions reduced distress behaviours through improved communication and emotional engagement, while Fossey et al. (2006) reported reductions in agitation following staff training in person-centred approaches.</w:t>
      </w:r>
    </w:p>
    <w:p w14:paraId="54344F59" w14:textId="77777777" w:rsidR="001356B9" w:rsidRDefault="00333C7C">
      <w:pPr>
        <w:spacing w:after="0" w:line="360" w:lineRule="auto"/>
        <w:jc w:val="both"/>
        <w:rPr>
          <w:rFonts w:ascii="Arial" w:eastAsia="Times New Roman" w:hAnsi="Arial" w:cs="Arial"/>
        </w:rPr>
      </w:pPr>
      <w:r>
        <w:rPr>
          <w:rFonts w:ascii="Arial" w:eastAsia="Times New Roman" w:hAnsi="Arial" w:cs="Arial"/>
        </w:rPr>
        <w:t>These findings lend some support to the proposition that PCC can produce measurable improvements in dementia care outcomes, and they are consistent with the broader theoretical rationale for PCC discussed in Chapter Two, namely that distress behaviours often function as a form of communication when verbal expression is impaired. From a practical standpoint, this reframing of behaviour as communication, rather than as a problem to be managed or suppressed, represents one of the more significant conceptual contributions of PCC to dementia care, with clear implications for how care staff are trained to interpret and respond to residents’ behaviour.</w:t>
      </w:r>
    </w:p>
    <w:p w14:paraId="75D4E677" w14:textId="77777777" w:rsidR="001356B9" w:rsidRDefault="00333C7C">
      <w:pPr>
        <w:spacing w:after="0" w:line="360" w:lineRule="auto"/>
        <w:jc w:val="both"/>
        <w:rPr>
          <w:rFonts w:ascii="Arial" w:eastAsia="Times New Roman" w:hAnsi="Arial" w:cs="Arial"/>
        </w:rPr>
      </w:pPr>
      <w:r>
        <w:rPr>
          <w:rFonts w:ascii="Arial" w:eastAsia="Times New Roman" w:hAnsi="Arial" w:cs="Arial"/>
        </w:rPr>
        <w:t xml:space="preserve">However, the evidence is far from uniform. Chenoweth et al. (2009) found that, while some studies demonstrated significant behavioural improvements, others reported only modest or short-term effects, a pattern that this review interprets as reflecting differences in intervention design, depth of staff engagement, and organisational context rather than a fundamental flaw in </w:t>
      </w:r>
      <w:r>
        <w:rPr>
          <w:rFonts w:ascii="Arial" w:eastAsia="Times New Roman" w:hAnsi="Arial" w:cs="Arial"/>
        </w:rPr>
        <w:lastRenderedPageBreak/>
        <w:t>PCC as a model. This inconsistency is significant in relation to the research question because it indicates that behavioural outcomes, much like psychological outcomes discussed in Section 4.3, cannot be assumed to follow automatically from the adoption of a person-centred approach; they appear instead to depend heavily on the intensity and quality of the intervention delivered.</w:t>
      </w:r>
    </w:p>
    <w:p w14:paraId="039A5AF8" w14:textId="77777777" w:rsidR="001356B9" w:rsidRDefault="00333C7C">
      <w:pPr>
        <w:spacing w:after="0" w:line="360" w:lineRule="auto"/>
        <w:jc w:val="both"/>
        <w:rPr>
          <w:rFonts w:ascii="Arial" w:eastAsia="Times New Roman" w:hAnsi="Arial" w:cs="Arial"/>
        </w:rPr>
      </w:pPr>
      <w:r>
        <w:rPr>
          <w:rFonts w:ascii="Arial" w:eastAsia="Times New Roman" w:hAnsi="Arial" w:cs="Arial"/>
        </w:rPr>
        <w:t>A further critical issue concerns sustainability and standardisation. Few studies in the reviewed literature examine whether behavioural improvements persist once active intervention ceases, raising important questions about the long-term viability of PCC-based approaches to managing behavioural symptoms (Chenoweth et al., 2009). This is a notable gap, given that sustainability is arguably central to the practical value of any care intervention; an approach that produces short-term behavioural improvement but requires constant, intensive reinforcement may be of more limited value in resource-constrained residential settings than one that produces more modest but durable change. Moreover, the marked variability in how PCC is operationalised in dementia care specifically, ranging from environmental modifications to communication training to comprehensive care planning, makes it difficult to draw clear comparative conclusions across the evidence base (Edvardsson et al., 2014). It is, for example, not possible from the current literature to determine with confidence whether environmental modifications alone produce comparable benefits to communication-focused training, or whether the benefits identified depend on a combination of approaches being applied simultaneously.</w:t>
      </w:r>
    </w:p>
    <w:p w14:paraId="53A099C2" w14:textId="77777777" w:rsidR="001356B9" w:rsidRDefault="00333C7C">
      <w:pPr>
        <w:spacing w:after="0" w:line="360" w:lineRule="auto"/>
        <w:jc w:val="both"/>
        <w:rPr>
          <w:rFonts w:ascii="Arial" w:eastAsia="Times New Roman" w:hAnsi="Arial" w:cs="Arial"/>
        </w:rPr>
      </w:pPr>
      <w:r>
        <w:rPr>
          <w:rFonts w:ascii="Arial" w:eastAsia="Times New Roman" w:hAnsi="Arial" w:cs="Arial"/>
        </w:rPr>
        <w:t>Taken together, these findings suggest that PCC should be understood, in relation to behavioural outcomes, as a flexible framework with considerable promise rather than a standardised, fully validated clinical intervention; this flexibility is simultaneously a strength, in that it allows adaptation to individual need and care setting, and a weakness, in that it complicates rigorous evaluation and comparison across studies, and may make it harder for care providers to know precisely which elements of PCC to prioritise when resources are limited.</w:t>
      </w:r>
    </w:p>
    <w:p w14:paraId="5337941F" w14:textId="77777777" w:rsidR="001356B9" w:rsidRDefault="00333C7C">
      <w:pPr>
        <w:spacing w:after="0" w:line="360" w:lineRule="auto"/>
        <w:jc w:val="both"/>
        <w:rPr>
          <w:rFonts w:ascii="Arial" w:eastAsia="Times New Roman" w:hAnsi="Arial" w:cs="Arial"/>
        </w:rPr>
      </w:pPr>
      <w:r>
        <w:rPr>
          <w:rFonts w:ascii="Arial" w:eastAsia="Times New Roman" w:hAnsi="Arial" w:cs="Arial"/>
        </w:rPr>
        <w:t xml:space="preserve">This theme also carries an important practical implication for dementia care specifically. If behavioural improvements are heavily dependent on the depth of staff engagement and the comprehensiveness of training, as the evidence suggests, then brief or one-off training interventions, which are common in resource-constrained residential settings as a pragmatic response to high staff turnover, are unlikely to produce the same magnitude of benefit as the more sustained interventions described in studies such as Rokstad et al. (2013). This suggests a potential mismatch between the conditions under which PCC has been shown to be most effective in the research literature and the conditions under which it is typically delivered in </w:t>
      </w:r>
      <w:r>
        <w:rPr>
          <w:rFonts w:ascii="Arial" w:eastAsia="Times New Roman" w:hAnsi="Arial" w:cs="Arial"/>
        </w:rPr>
        <w:lastRenderedPageBreak/>
        <w:t>everyday residential care practice, where time and budget for staff development are often severely limited.</w:t>
      </w:r>
    </w:p>
    <w:p w14:paraId="163A51A4"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4.5 Social Interaction and Quality of Life: Difficult to Isolate, Difficult to Measure</w:t>
      </w:r>
    </w:p>
    <w:p w14:paraId="565AB507" w14:textId="77777777" w:rsidR="001356B9" w:rsidRDefault="00333C7C">
      <w:pPr>
        <w:spacing w:after="0" w:line="360" w:lineRule="auto"/>
        <w:jc w:val="both"/>
        <w:rPr>
          <w:rFonts w:ascii="Arial" w:eastAsia="Times New Roman" w:hAnsi="Arial" w:cs="Arial"/>
        </w:rPr>
      </w:pPr>
      <w:r>
        <w:rPr>
          <w:rFonts w:ascii="Arial" w:eastAsia="Times New Roman" w:hAnsi="Arial" w:cs="Arial"/>
        </w:rPr>
        <w:t>A further theme arising from the literature concerns the impact of PCC on social interaction and broader quality of life. There is evidence that PCC can enhance relationships between staff and residents, fostering increased trust, communication, and engagement (DHSC, 2021). This is a meaningful finding given that social isolation is a recognised risk factor for poor outcomes among older adults in residential care, as noted in Chapter One, and it suggests that PCC may have value not only for clinical or behavioural outcomes narrowly defined, but for the broader relational quality of residents’ day-to-day lives.</w:t>
      </w:r>
    </w:p>
    <w:p w14:paraId="70DFAD13" w14:textId="77777777" w:rsidR="001356B9" w:rsidRDefault="00333C7C">
      <w:pPr>
        <w:spacing w:after="0" w:line="360" w:lineRule="auto"/>
        <w:jc w:val="both"/>
        <w:rPr>
          <w:rFonts w:ascii="Arial" w:eastAsia="Times New Roman" w:hAnsi="Arial" w:cs="Arial"/>
        </w:rPr>
      </w:pPr>
      <w:r>
        <w:rPr>
          <w:rFonts w:ascii="Arial" w:eastAsia="Times New Roman" w:hAnsi="Arial" w:cs="Arial"/>
        </w:rPr>
        <w:t>However, this review identifies quality of life as a particularly challenging outcome to attribute to PCC specifically. As Lawton (1994) notes, quality of life in older adults is shaped by a wide range of factors beyond care practices, including health status, physical environment, and broader social relationships, many of which lie outside the direct influence of a care intervention such as PCC. This conceptual point has significant implications for how the findings of individual studies should be interpreted; even a well-designed and well-implemented PCC intervention may show only modest effects on overall quality of life simply because quality of life is influenced by so many factors beyond the scope of any single intervention. Consistent with this, the literature reviewed reports mixed findings: while some studies identify significant improvements in quality of life associated with PCC, others report minimal or inconsistent effects (Brownie and Nancarrow, 2013).</w:t>
      </w:r>
    </w:p>
    <w:p w14:paraId="4FFFA272"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inconsistency is compounded by methodological variation in how quality of life is measured. Some studies employ validated instruments, such as the Quality of Life in Alzheimer’s Disease scale, while others rely on more subjective or informally constructed assessments (Brooker and Latham, 2016), limiting comparability across the evidence base and weakening the strength of any overall conclusion. This methodological inconsistency, evident also in the discussion of psychological and behavioural outcomes above, represents a recurring weakness across the PCC evidence base as a whole, suggesting that the field would benefit from greater standardisation in outcome measurement to allow for more confident synthesis of findings in future research.</w:t>
      </w:r>
    </w:p>
    <w:p w14:paraId="1D07C2A9" w14:textId="77777777" w:rsidR="001356B9" w:rsidRDefault="00333C7C">
      <w:pPr>
        <w:spacing w:after="0" w:line="360" w:lineRule="auto"/>
        <w:jc w:val="both"/>
        <w:rPr>
          <w:rFonts w:ascii="Arial" w:eastAsia="Times New Roman" w:hAnsi="Arial" w:cs="Arial"/>
        </w:rPr>
      </w:pPr>
      <w:r>
        <w:rPr>
          <w:rFonts w:ascii="Arial" w:eastAsia="Times New Roman" w:hAnsi="Arial" w:cs="Arial"/>
        </w:rPr>
        <w:t xml:space="preserve">A further critical finding, with significant implications for equity in residential care, is that individuals with higher cognitive functioning appear to benefit more from PCC interventions than </w:t>
      </w:r>
      <w:r>
        <w:rPr>
          <w:rFonts w:ascii="Arial" w:eastAsia="Times New Roman" w:hAnsi="Arial" w:cs="Arial"/>
        </w:rPr>
        <w:lastRenderedPageBreak/>
        <w:t>those with advanced dementia (Rokstad et al., 2013). This raises an important ethical concern: if PCC, as currently implemented, systematically benefits some residents more than others on the basis of cognitive status, this calls into question whether current models of PCC are sufficiently inclusive of the most vulnerable residents within residential care settings, who may also be those with the greatest need. This finding suggests that residents with advanced dementia may require more intensive, individually tailored, or differently designed person-centred interventions in order to derive comparable benefit, rather than being served adequately by approaches originally developed with a broader population of older adults in mind. This has clear implications for how PCC training and care planning should be differentiated according to residents’ level of cognitive impairment, a point developed further in the recommendations presented in Chapter Five.</w:t>
      </w:r>
    </w:p>
    <w:p w14:paraId="4DC39FAA"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4.6 Barriers to Implementation: Structural Constraints on Person-Centred Ideals</w:t>
      </w:r>
    </w:p>
    <w:p w14:paraId="64D12787" w14:textId="77777777" w:rsidR="001356B9" w:rsidRDefault="00333C7C">
      <w:pPr>
        <w:spacing w:after="0" w:line="360" w:lineRule="auto"/>
        <w:jc w:val="both"/>
        <w:rPr>
          <w:rFonts w:ascii="Arial" w:eastAsia="Times New Roman" w:hAnsi="Arial" w:cs="Arial"/>
        </w:rPr>
      </w:pPr>
      <w:r>
        <w:rPr>
          <w:rFonts w:ascii="Arial" w:eastAsia="Times New Roman" w:hAnsi="Arial" w:cs="Arial"/>
        </w:rPr>
        <w:t>The literature consistently and unambiguously identifies a range of structural barriers that constrain the implementation of PCC in residential care settings, and this review treats this as one of the most significant findings in relation to the research question. Staffing shortages emerge as the most frequently cited barrier, limiting the time available for the personalised interaction that PCC requires (The King’s Fund, 2021), with the result that care provision can become task-oriented by necessity rather than by choice, directly undermining the principles PCC is intended to embody. This finding is particularly significant because it suggests that, in many cases, the failure of PCC to deliver consistent benefits documented throughout this chapter may reflect insufficient staffing resource rather than any deficiency in the model itself; care staff working under significant time pressure may simply lack the capacity to engage in the kind of individualised, relational care that PCC envisages, regardless of their training or personal commitment to person-centred values.</w:t>
      </w:r>
    </w:p>
    <w:p w14:paraId="46E66007" w14:textId="77777777" w:rsidR="001356B9" w:rsidRDefault="00333C7C">
      <w:pPr>
        <w:spacing w:after="0" w:line="360" w:lineRule="auto"/>
        <w:jc w:val="both"/>
        <w:rPr>
          <w:rFonts w:ascii="Arial" w:eastAsia="Times New Roman" w:hAnsi="Arial" w:cs="Arial"/>
        </w:rPr>
      </w:pPr>
      <w:r>
        <w:rPr>
          <w:rFonts w:ascii="Arial" w:eastAsia="Times New Roman" w:hAnsi="Arial" w:cs="Arial"/>
        </w:rPr>
        <w:t xml:space="preserve">Inadequate training represents a second significant barrier. PCC requires sophisticated communication and relational skills that extend well beyond basic care tasks, yet the literature indicates that many care workers receive limited formal training in these areas (Dewing, 2008), a gap that this review interprets as a key explanatory factor behind the inconsistent outcomes discussed in Sections 4.3 and 4.4 above. Where studies report strong positive outcomes associated with PCC, structured staff training is frequently present as a contextual factor (Rokstad et al., 2013); where outcomes are weaker or inconsistent, training appears comparatively limited or absent. This pattern across the literature lends weight to the </w:t>
      </w:r>
      <w:r>
        <w:rPr>
          <w:rFonts w:ascii="Arial" w:eastAsia="Times New Roman" w:hAnsi="Arial" w:cs="Arial"/>
        </w:rPr>
        <w:lastRenderedPageBreak/>
        <w:t>interpretation that training quality is one of the most important moderating variables in determining whether PCC succeeds or fails in a given setting.</w:t>
      </w:r>
    </w:p>
    <w:p w14:paraId="0EFEBB4C" w14:textId="77777777" w:rsidR="001356B9" w:rsidRDefault="00333C7C">
      <w:pPr>
        <w:spacing w:after="0" w:line="360" w:lineRule="auto"/>
        <w:jc w:val="both"/>
        <w:rPr>
          <w:rFonts w:ascii="Arial" w:eastAsia="Times New Roman" w:hAnsi="Arial" w:cs="Arial"/>
        </w:rPr>
      </w:pPr>
      <w:r>
        <w:rPr>
          <w:rFonts w:ascii="Arial" w:eastAsia="Times New Roman" w:hAnsi="Arial" w:cs="Arial"/>
        </w:rPr>
        <w:t>Organisational culture is identified as a further critical factor: in environments oriented primarily around efficiency, risk management, and regulatory compliance, PCC may be structurally deprioritised, whereas organisations characterised by supportive leadership and a culture of reflective practice appear more able to embed PCC successfully (McCormack et al., 2010). This finding aligns closely with the theoretical point made in Chapter Two that PCC should be understood as a system-level, rather than purely individual-level, intervention; an individual care worker with excellent person-centred values and skills may nonetheless be unable to deliver person-centred care consistently if the wider organisational culture does not support, value, or allow time for this approach.</w:t>
      </w:r>
    </w:p>
    <w:p w14:paraId="5D64026A" w14:textId="77777777" w:rsidR="001356B9" w:rsidRDefault="00333C7C">
      <w:pPr>
        <w:spacing w:after="0" w:line="360" w:lineRule="auto"/>
        <w:jc w:val="both"/>
        <w:rPr>
          <w:rFonts w:ascii="Arial" w:eastAsia="Times New Roman" w:hAnsi="Arial" w:cs="Arial"/>
        </w:rPr>
      </w:pPr>
      <w:r>
        <w:rPr>
          <w:rFonts w:ascii="Arial" w:eastAsia="Times New Roman" w:hAnsi="Arial" w:cs="Arial"/>
        </w:rPr>
        <w:t>Finally, resource constraints, encompassing staffing levels, financial investment, and time, are repeatedly identified as fundamental enablers or inhibitors of PCC, particularly within underfunded residential care settings (Spilsbury et al., 2015). This is a particularly pressing concern within the current UK context, in which residential and long-term care services more broadly are widely reported to face significant financial pressure; this suggests that the barriers to PCC implementation identified in the literature are unlikely to be resolved through training or cultural change alone, in the absence of adequate financial investment in the sector.</w:t>
      </w:r>
    </w:p>
    <w:p w14:paraId="60BD7200" w14:textId="77777777" w:rsidR="001356B9" w:rsidRDefault="00333C7C">
      <w:pPr>
        <w:spacing w:after="0" w:line="360" w:lineRule="auto"/>
        <w:jc w:val="both"/>
        <w:rPr>
          <w:rFonts w:ascii="Arial" w:eastAsia="Times New Roman" w:hAnsi="Arial" w:cs="Arial"/>
        </w:rPr>
      </w:pPr>
      <w:r>
        <w:rPr>
          <w:rFonts w:ascii="Arial" w:eastAsia="Times New Roman" w:hAnsi="Arial" w:cs="Arial"/>
        </w:rPr>
        <w:t>Taken together, this evidence strongly suggests that the inconsistencies in PCC outcomes identified throughout this chapter are not primarily attributable to weaknesses in PCC as a theoretical model, but rather to the structural and organisational conditions within which it is implemented. This is a critical distinction for answering the research question: it indicates that the central issue is not whether PCC can improve outcomes, but whether residential care settings are adequately resourced, staffed, and organised to enable it to do so consistently and at scale.</w:t>
      </w:r>
    </w:p>
    <w:p w14:paraId="5ECB4D81"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4.7 The Policy-Practice Gap: An Unresolved Tension</w:t>
      </w:r>
    </w:p>
    <w:p w14:paraId="38693018" w14:textId="77777777" w:rsidR="001356B9" w:rsidRDefault="00333C7C">
      <w:pPr>
        <w:spacing w:after="0" w:line="360" w:lineRule="auto"/>
        <w:jc w:val="both"/>
        <w:rPr>
          <w:rFonts w:ascii="Arial" w:eastAsia="Times New Roman" w:hAnsi="Arial" w:cs="Arial"/>
        </w:rPr>
      </w:pPr>
      <w:r>
        <w:rPr>
          <w:rFonts w:ascii="Arial" w:eastAsia="Times New Roman" w:hAnsi="Arial" w:cs="Arial"/>
        </w:rPr>
        <w:t>The final theme to emerge from the literature concerns the persistent gap between policy endorsement of PCC and its practical implementation. UK policy frameworks, including those produced by NICE (2022) and the DHSC (2021), strongly and consistently advocate PCC as integral to improving dignity, independence, and wellbeing among older adults. However, the evidence reviewed throughout this chapter demonstrates that real-world implementation remains inconsistent, constrained by the structural barriers discussed in Section 4.6 (The King’s Fund, 2021).</w:t>
      </w:r>
    </w:p>
    <w:p w14:paraId="3666E794" w14:textId="77777777" w:rsidR="001356B9" w:rsidRDefault="00333C7C">
      <w:pPr>
        <w:spacing w:after="0" w:line="360" w:lineRule="auto"/>
        <w:jc w:val="both"/>
        <w:rPr>
          <w:rFonts w:ascii="Arial" w:eastAsia="Times New Roman" w:hAnsi="Arial" w:cs="Arial"/>
        </w:rPr>
      </w:pPr>
      <w:r>
        <w:rPr>
          <w:rFonts w:ascii="Arial" w:eastAsia="Times New Roman" w:hAnsi="Arial" w:cs="Arial"/>
        </w:rPr>
        <w:lastRenderedPageBreak/>
        <w:t>This review interprets this policy-practice gap as a significant and somewhat underexplored finding in its own right. It raises the critical question of whether PCC, as currently promoted, risks functioning more as an ideological or rhetorical commitment than as a practical reality consistently experienced by residents. This concern is reinforced by the fact that policy documents tend to articulate PCC primarily in terms of values and principles, with comparatively limited specification of the practical resourcing, staffing ratios, or training investment required to deliver it; this leaves considerable scope for organisations to claim adherence to PCC principles in mission statements and care plans, without necessarily resourcing the practical changes needed to deliver on these commitments in day-to-day care.</w:t>
      </w:r>
    </w:p>
    <w:p w14:paraId="24CEF0F5"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is not to suggest that policy commitment to PCC is misguided; rather, the evidence suggests that policy endorsement alone, without corresponding investment in staffing, training, and organisational development, is insufficient to translate the principles of PCC into consistently improved outcomes. This finding has a degree of resonance with broader critiques within health and social care policy literature regarding the gap between aspirational policy rhetoric and the realities of underfunded frontline service delivery, a tension that is not unique to PCC but appears, on the evidence reviewed here, to apply with particular force to its implementation in residential care.</w:t>
      </w:r>
    </w:p>
    <w:p w14:paraId="31FEB8D4" w14:textId="77777777" w:rsidR="001356B9" w:rsidRDefault="00333C7C">
      <w:pPr>
        <w:spacing w:after="0" w:line="360" w:lineRule="auto"/>
        <w:jc w:val="both"/>
        <w:rPr>
          <w:rFonts w:ascii="Arial" w:eastAsia="Times New Roman" w:hAnsi="Arial" w:cs="Arial"/>
        </w:rPr>
      </w:pPr>
      <w:r>
        <w:rPr>
          <w:rFonts w:ascii="Arial" w:eastAsia="Times New Roman" w:hAnsi="Arial" w:cs="Arial"/>
        </w:rPr>
        <w:t>A further dimension of this gap, worth highlighting critically, concerns accountability and measurement. Because PCC is rarely subject to standardised, mandatory outcome reporting at a national or regulatory level, there is limited systematic data available to assess, on a sector-wide basis, the extent to which residential care providers are achieving the outcomes that policy frameworks assume PCC will deliver. Regulatory inspection frameworks in the UK do assess aspects of dignity and individualised care, but the literature reviewed here suggests that inspection alone has not been sufficient to close the gap between policy aspiration and consistent practice. This points to a need not only for greater investment, as discussed above, but for more robust mechanisms of monitoring and accountability specifically tied to person-centred outcomes, rather than relying on broader, less specific quality assurance processes.</w:t>
      </w:r>
    </w:p>
    <w:p w14:paraId="14055DFB"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4.8 Synthesis: Answering the Research Question</w:t>
      </w:r>
    </w:p>
    <w:p w14:paraId="2CF32C2B" w14:textId="77777777" w:rsidR="001356B9" w:rsidRDefault="00333C7C">
      <w:pPr>
        <w:spacing w:after="0" w:line="360" w:lineRule="auto"/>
        <w:jc w:val="both"/>
        <w:rPr>
          <w:rFonts w:ascii="Arial" w:eastAsia="Times New Roman" w:hAnsi="Arial" w:cs="Arial"/>
        </w:rPr>
      </w:pPr>
      <w:r>
        <w:rPr>
          <w:rFonts w:ascii="Arial" w:eastAsia="Times New Roman" w:hAnsi="Arial" w:cs="Arial"/>
        </w:rPr>
        <w:t xml:space="preserve">Drawing together the findings discussed in this chapter, it is possible to offer a nuanced, critically grounded answer to the research question concerning the extent to which PCC improves outcomes for older adults in residential care settings. The evidence indicates that PCC has genuine potential to improve psychological wellbeing, reduce behavioural and psychological symptoms in dementia care, and enhance social interaction and quality of life. These benefits </w:t>
      </w:r>
      <w:r>
        <w:rPr>
          <w:rFonts w:ascii="Arial" w:eastAsia="Times New Roman" w:hAnsi="Arial" w:cs="Arial"/>
        </w:rPr>
        <w:lastRenderedPageBreak/>
        <w:t>are most consistently observed where PCC is implemented with depth and fidelity, supported by adequately trained staff, effective leadership, and a supportive organisational culture.</w:t>
      </w:r>
    </w:p>
    <w:p w14:paraId="07F23A20" w14:textId="77777777" w:rsidR="001356B9" w:rsidRDefault="00333C7C">
      <w:pPr>
        <w:spacing w:after="0" w:line="360" w:lineRule="auto"/>
        <w:jc w:val="both"/>
        <w:rPr>
          <w:rFonts w:ascii="Arial" w:eastAsia="Times New Roman" w:hAnsi="Arial" w:cs="Arial"/>
        </w:rPr>
      </w:pPr>
      <w:r>
        <w:rPr>
          <w:rFonts w:ascii="Arial" w:eastAsia="Times New Roman" w:hAnsi="Arial" w:cs="Arial"/>
        </w:rPr>
        <w:t>However, this review also finds clear and consistent evidence that these benefits are far from guaranteed. They are contingent on a range of contextual factors, including staffing levels, training quality, organisational culture, and resource availability, and they are not equitably distributed across all residents, with those with more advanced dementia appearing to benefit less than those with milder cognitive impairment. Furthermore, methodological limitations in the underlying evidence base, including an over-reliance on qualitative and self-reported measures, limited longitudinal data, and inconsistent operationalisation of PCC itself, constrain the confidence with which definitive conclusions can be drawn about the precise magnitude of PCC’s effectiveness.</w:t>
      </w:r>
    </w:p>
    <w:p w14:paraId="72ACA28E" w14:textId="77777777" w:rsidR="001356B9" w:rsidRDefault="00333C7C">
      <w:pPr>
        <w:spacing w:after="0" w:line="360" w:lineRule="auto"/>
        <w:jc w:val="both"/>
        <w:rPr>
          <w:rFonts w:ascii="Arial" w:eastAsia="Times New Roman" w:hAnsi="Arial" w:cs="Arial"/>
        </w:rPr>
      </w:pPr>
      <w:r>
        <w:rPr>
          <w:rFonts w:ascii="Arial" w:eastAsia="Times New Roman" w:hAnsi="Arial" w:cs="Arial"/>
        </w:rPr>
        <w:t>A recurring pattern across every theme examined in this chapter is that the central determinant of PCC’s success appears not to be the validity of PCC as a concept, but the conditions of its implementation: staffing, training, leadership, and organisational culture consistently emerge as the variables that distinguish settings in which PCC produces meaningful benefit from those in which it does not. This represents the most significant overall finding of this dissertation.</w:t>
      </w:r>
    </w:p>
    <w:p w14:paraId="63E525FB" w14:textId="77777777" w:rsidR="001356B9" w:rsidRDefault="00333C7C">
      <w:pPr>
        <w:spacing w:after="0" w:line="360" w:lineRule="auto"/>
        <w:jc w:val="both"/>
        <w:rPr>
          <w:rFonts w:ascii="Arial" w:eastAsia="Times New Roman" w:hAnsi="Arial" w:cs="Arial"/>
        </w:rPr>
      </w:pPr>
      <w:r>
        <w:rPr>
          <w:rFonts w:ascii="Arial" w:eastAsia="Times New Roman" w:hAnsi="Arial" w:cs="Arial"/>
        </w:rPr>
        <w:t>The overall conclusion supported by this synthesis is therefore that PCC can be an effective approach to improving outcomes for older adults in residential care, but its effectiveness is neither automatic nor universal; it is critically dependent on the conditions under which it is implemented. This finding has direct and significant implications for residential care practice and policy, which are developed further into specific, actionable recommendations in Chapter Five.</w:t>
      </w:r>
    </w:p>
    <w:p w14:paraId="68EF0CE3" w14:textId="77777777" w:rsidR="001356B9" w:rsidRDefault="001356B9"/>
    <w:p w14:paraId="35CE4039" w14:textId="77777777" w:rsidR="001356B9" w:rsidRDefault="00333C7C">
      <w:r>
        <w:br w:type="page"/>
      </w:r>
    </w:p>
    <w:p w14:paraId="4482A9CB" w14:textId="77777777" w:rsidR="001356B9" w:rsidRPr="004F052F" w:rsidRDefault="00333C7C">
      <w:pPr>
        <w:spacing w:after="0" w:line="360" w:lineRule="auto"/>
        <w:jc w:val="center"/>
        <w:outlineLvl w:val="0"/>
        <w:rPr>
          <w:rFonts w:ascii="Arial" w:eastAsia="Times New Roman" w:hAnsi="Arial" w:cs="Arial"/>
          <w:b/>
          <w:bCs/>
          <w:kern w:val="36"/>
          <w:sz w:val="32"/>
        </w:rPr>
      </w:pPr>
      <w:r w:rsidRPr="004F052F">
        <w:rPr>
          <w:rFonts w:ascii="Arial" w:eastAsia="Times New Roman" w:hAnsi="Arial" w:cs="Arial"/>
          <w:b/>
          <w:bCs/>
          <w:kern w:val="36"/>
          <w:sz w:val="32"/>
        </w:rPr>
        <w:lastRenderedPageBreak/>
        <w:t>CHAPTER FIVE</w:t>
      </w:r>
    </w:p>
    <w:p w14:paraId="63B8977A" w14:textId="77777777" w:rsidR="001356B9" w:rsidRPr="004F052F" w:rsidRDefault="00333C7C">
      <w:pPr>
        <w:spacing w:after="0" w:line="360" w:lineRule="auto"/>
        <w:jc w:val="center"/>
        <w:outlineLvl w:val="0"/>
        <w:rPr>
          <w:rFonts w:ascii="Arial" w:eastAsia="Times New Roman" w:hAnsi="Arial" w:cs="Arial"/>
          <w:b/>
          <w:bCs/>
          <w:kern w:val="36"/>
          <w:sz w:val="32"/>
        </w:rPr>
      </w:pPr>
      <w:r w:rsidRPr="004F052F">
        <w:rPr>
          <w:rFonts w:ascii="Arial" w:eastAsia="Times New Roman" w:hAnsi="Arial" w:cs="Arial"/>
          <w:b/>
          <w:bCs/>
          <w:kern w:val="36"/>
          <w:sz w:val="32"/>
        </w:rPr>
        <w:t>RECOMMENDATIONS AND CONCLUSION</w:t>
      </w:r>
    </w:p>
    <w:p w14:paraId="3B980F25"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5.1 Introduction</w:t>
      </w:r>
    </w:p>
    <w:p w14:paraId="5389C087"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final chapter draws together the findings of this dissertation in order to present clear conclusions in relation to the research question, alongside practical recommendations for residential care practice and policy. It also reflects on the limitations of the study and identifies areas for future research.</w:t>
      </w:r>
    </w:p>
    <w:p w14:paraId="66ABDCD3"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5.2 Summary of Key Findings</w:t>
      </w:r>
    </w:p>
    <w:p w14:paraId="6A436610"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dissertation set out to critically evaluate the extent to which person-centred care (PCC) improves outcomes for older adults in residential care settings. The findings, synthesised in Chapter Four, indicate that PCC has genuine potential to improve psychological wellbeing, reduce distress behaviours in dementia care, and enhance social interaction and quality of life. However, these benefits are highly contingent on the quality and depth of implementation, rather than being an automatic consequence of adopting PCC in principle. Staffing levels, training quality, organisational culture, and leadership consistently emerged as the factors determining whether PCC translates into meaningful improvements for residents. The review also identified a persistent gap between policy endorsement of PCC and its consistent delivery in practice, alongside concerns regarding the equitable distribution of PCC’s benefits across residents with differing levels of cognitive impairment.</w:t>
      </w:r>
    </w:p>
    <w:p w14:paraId="36AF64BB"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5.3 Recommendations for Practice</w:t>
      </w:r>
    </w:p>
    <w:p w14:paraId="01B82983" w14:textId="77777777" w:rsidR="001356B9" w:rsidRDefault="00333C7C">
      <w:pPr>
        <w:spacing w:after="0" w:line="360" w:lineRule="auto"/>
        <w:jc w:val="both"/>
        <w:rPr>
          <w:rFonts w:ascii="Arial" w:eastAsia="Times New Roman" w:hAnsi="Arial" w:cs="Arial"/>
        </w:rPr>
      </w:pPr>
      <w:r>
        <w:rPr>
          <w:rFonts w:ascii="Arial" w:eastAsia="Times New Roman" w:hAnsi="Arial" w:cs="Arial"/>
        </w:rPr>
        <w:t xml:space="preserve">Based on these findings, several recommendations are proposed for residential care providers and practitioners. First, organisations should move beyond adopting the language of person-centredness in care documentation and instead embed PCC as a comprehensive organisational philosophy, encompassing care planning, staff recruitment, environmental design, and leadership behaviour, in order to avoid the tokenistic application identified as a limitation in Chapter Four. Second, sustained, structured staff training in person-centred communication and relational care should be prioritised, rather than brief or one-off training interventions, given the strong association identified in the literature between training depth and the consistency of positive outcomes. Third, care providers should ensure that staffing levels are sufficient to allow for genuinely individualised interaction with residents, recognising that time pressure is one of the most consistently cited barriers to delivering PCC in practice. Fourth, given the evidence that residents with more advanced dementia may benefit less from generic PCC approaches, </w:t>
      </w:r>
      <w:r>
        <w:rPr>
          <w:rFonts w:ascii="Arial" w:eastAsia="Times New Roman" w:hAnsi="Arial" w:cs="Arial"/>
        </w:rPr>
        <w:lastRenderedPageBreak/>
        <w:t>care providers should consider how PCC interventions can be more specifically tailored and intensified for residents with higher levels of cognitive impairment, in order to support more equitable outcomes across the resident population. Finally, organisations should develop more robust, locally meaningful methods of monitoring person-centred outcomes, beyond generic quality assurance processes, in order to identify where implementation is falling short of policy expectations.</w:t>
      </w:r>
    </w:p>
    <w:p w14:paraId="111D3653"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5.4 Recommendations for Policy</w:t>
      </w:r>
    </w:p>
    <w:p w14:paraId="28B9B651" w14:textId="77777777" w:rsidR="001356B9" w:rsidRDefault="00333C7C">
      <w:pPr>
        <w:spacing w:after="0" w:line="360" w:lineRule="auto"/>
        <w:jc w:val="both"/>
        <w:rPr>
          <w:rFonts w:ascii="Arial" w:eastAsia="Times New Roman" w:hAnsi="Arial" w:cs="Arial"/>
        </w:rPr>
      </w:pPr>
      <w:r>
        <w:rPr>
          <w:rFonts w:ascii="Arial" w:eastAsia="Times New Roman" w:hAnsi="Arial" w:cs="Arial"/>
        </w:rPr>
        <w:t>At the policy level, this dissertation recommends that future guidance on PCC should move beyond articulating values and principles to providing clearer specification of the practical resourcing, staffing ratios, and training investment required for effective implementation. Without such specificity, there is a risk that policy commitment to PCC remains largely rhetorical. Furthermore, given the centrality of staffing and resource constraints identified throughout this review, sustained investment in the social care workforce should be regarded as a precondition for, rather than separate from, efforts to promote person-centred approaches. Consideration should also be given to strengthening regulatory and inspection mechanisms specifically in relation to person-centred outcomes, to ensure greater accountability for the consistent delivery of PCC principles in practice.</w:t>
      </w:r>
    </w:p>
    <w:p w14:paraId="779419B0"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5.5 Recommendations for Future Research</w:t>
      </w:r>
    </w:p>
    <w:p w14:paraId="07AA7418"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review has identified several gaps that warrant attention in future research. There is a clear need for more robust longitudinal studies examining whether the psychological and behavioural benefits associated with PCC are sustained over time, rather than representing short-term effects. Future research would also benefit from greater consistency in how PCC is operationalised and measured across studies, potentially through the development of a more standardised framework or fidelity measure, in order to facilitate more meaningful comparison and synthesis of findings. Further investigation is also needed into how PCC can be adapted to more equitably benefit residents with advanced dementia, who appear, on the basis of the evidence reviewed here, to benefit less from current approaches than those with milder cognitive impairment.</w:t>
      </w:r>
    </w:p>
    <w:p w14:paraId="313479A3"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5.6 Limitations of the Study</w:t>
      </w:r>
    </w:p>
    <w:p w14:paraId="452B2F8A" w14:textId="77777777" w:rsidR="001356B9" w:rsidRDefault="00333C7C">
      <w:pPr>
        <w:spacing w:after="0" w:line="360" w:lineRule="auto"/>
        <w:jc w:val="both"/>
        <w:rPr>
          <w:rFonts w:ascii="Arial" w:eastAsia="Times New Roman" w:hAnsi="Arial" w:cs="Arial"/>
        </w:rPr>
      </w:pPr>
      <w:r>
        <w:rPr>
          <w:rFonts w:ascii="Arial" w:eastAsia="Times New Roman" w:hAnsi="Arial" w:cs="Arial"/>
        </w:rPr>
        <w:t xml:space="preserve">As discussed in Chapter Three, this dissertation is based on a narrative literature review rather than a fully systematic review or primary empirical research, and its conclusions are therefore shaped by the scope and quality of the existing published evidence. The reliance on secondary sources means that this study cannot resolve the methodological limitations present within the </w:t>
      </w:r>
      <w:r>
        <w:rPr>
          <w:rFonts w:ascii="Arial" w:eastAsia="Times New Roman" w:hAnsi="Arial" w:cs="Arial"/>
        </w:rPr>
        <w:lastRenderedPageBreak/>
        <w:t>underlying literature, such as the predominance of qualitative and self-reported outcome measures and the relative scarcity of longitudinal data. The exclusive use of English-language sources may also have excluded relevant international literature on PCC, a model that is applied across a wide range of countries and care systems.</w:t>
      </w:r>
    </w:p>
    <w:p w14:paraId="24CBAC5B" w14:textId="77777777" w:rsidR="001356B9" w:rsidRPr="004F052F" w:rsidRDefault="00333C7C">
      <w:pPr>
        <w:spacing w:after="0" w:line="360" w:lineRule="auto"/>
        <w:jc w:val="both"/>
        <w:rPr>
          <w:rFonts w:ascii="Arial" w:eastAsia="Times New Roman" w:hAnsi="Arial" w:cs="Arial"/>
          <w:b/>
          <w:bCs/>
          <w:sz w:val="28"/>
        </w:rPr>
      </w:pPr>
      <w:r w:rsidRPr="004F052F">
        <w:rPr>
          <w:rFonts w:ascii="Arial" w:eastAsia="Times New Roman" w:hAnsi="Arial" w:cs="Arial"/>
          <w:b/>
          <w:bCs/>
          <w:sz w:val="28"/>
        </w:rPr>
        <w:t>5.7 Conclusion</w:t>
      </w:r>
    </w:p>
    <w:p w14:paraId="349FF620"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dissertation has critically examined the extent to which person-centred care improves outcomes for older adults in residential care settings. The findings indicate that PCC is not a uniformly effective or ineffective intervention but a model whose impact is strongly shaped by the conditions of its implementation. Where PCC is delivered with depth, supported by adequate staffing, sustained training, and organisational commitment, the evidence suggests genuine improvements in psychological wellbeing, behavioural outcomes, and social engagement. Where these conditions are absent, the benefits of PCC are diminished or inconsistent.</w:t>
      </w:r>
    </w:p>
    <w:p w14:paraId="77B20602" w14:textId="77777777" w:rsidR="001356B9" w:rsidRDefault="00333C7C">
      <w:pPr>
        <w:spacing w:after="0" w:line="360" w:lineRule="auto"/>
        <w:jc w:val="both"/>
        <w:rPr>
          <w:rFonts w:ascii="Arial" w:eastAsia="Times New Roman" w:hAnsi="Arial" w:cs="Arial"/>
        </w:rPr>
      </w:pPr>
      <w:r>
        <w:rPr>
          <w:rFonts w:ascii="Arial" w:eastAsia="Times New Roman" w:hAnsi="Arial" w:cs="Arial"/>
        </w:rPr>
        <w:t>This conclusion carries an important implication for residential care practice and policy: the central challenge is not whether PCC represents a valid or worthwhile approach to care, but whether residential care systems are adequately resourced, trained, and organised to deliver it consistently and equitably. Addressing this challenge will require sustained investment, more precise operationalisation of PCC in both research and practice, and a stronger focus on ensuring that the benefits of person-centred approaches are extended to all residents, including those with the most advanced care needs. In this respect, the future effectiveness of person-centred care in residential settings depends less on further validating the underlying philosophy and more on closing the persistent gap between policy aspiration and the practical realities of everyday care delivery.</w:t>
      </w:r>
    </w:p>
    <w:p w14:paraId="039D7982" w14:textId="77777777" w:rsidR="001356B9" w:rsidRDefault="001356B9"/>
    <w:p w14:paraId="4B4B3097" w14:textId="77777777" w:rsidR="001356B9" w:rsidRDefault="00333C7C">
      <w:r>
        <w:br w:type="page"/>
      </w:r>
    </w:p>
    <w:p w14:paraId="1E93EBD2" w14:textId="77777777" w:rsidR="001356B9" w:rsidRPr="004F052F" w:rsidRDefault="00333C7C" w:rsidP="004F052F">
      <w:pPr>
        <w:spacing w:after="0" w:line="360" w:lineRule="auto"/>
        <w:jc w:val="center"/>
        <w:outlineLvl w:val="0"/>
        <w:rPr>
          <w:rFonts w:ascii="Arial" w:eastAsia="Times New Roman" w:hAnsi="Arial" w:cs="Arial"/>
          <w:b/>
          <w:bCs/>
          <w:kern w:val="36"/>
          <w:sz w:val="32"/>
        </w:rPr>
      </w:pPr>
      <w:r w:rsidRPr="004F052F">
        <w:rPr>
          <w:rFonts w:ascii="Arial" w:eastAsia="Times New Roman" w:hAnsi="Arial" w:cs="Arial"/>
          <w:b/>
          <w:bCs/>
          <w:kern w:val="36"/>
          <w:sz w:val="32"/>
        </w:rPr>
        <w:lastRenderedPageBreak/>
        <w:t>REFERENCES</w:t>
      </w:r>
    </w:p>
    <w:p w14:paraId="2BCA9E66"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Aveyard, H. (2019) Doing a Literature Review in Health and Social Care: A Practical Guide. 4th ed. London: Open University Press.</w:t>
      </w:r>
    </w:p>
    <w:p w14:paraId="172B70FF"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British Educational Research Association (2018) Ethical Guidelines for Educational Research. 4th ed. London: BERA.</w:t>
      </w:r>
    </w:p>
    <w:p w14:paraId="789A941D"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Brooker, D. and Latham, I. (2016) Person-Centred Dementia Care: Making Services Better with the VIPS Framework. 2nd ed. London: Jessica Kingsley Publishers.</w:t>
      </w:r>
    </w:p>
    <w:p w14:paraId="5D31268D"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Brownie, S. and Nancarrow, S. (2013) ‘Effects of person-centered care on residents and staff in aged-care facilities: a systematic review’, Clinical Interventions in Aging, 8, pp. 1-10.</w:t>
      </w:r>
    </w:p>
    <w:p w14:paraId="41A0DF8A"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Bryman, A. (2016) Social Research Methods. 5th ed. Oxford: Oxford University Press.</w:t>
      </w:r>
    </w:p>
    <w:p w14:paraId="53AC95B0"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Chenoweth, L., King, M.T., Jeon, Y.H., Brodaty, H., Stein-Parbury, J., Norman, R., Haas, M. and Luscombe, G. (2009) ‘Caring for Aged Dementia Care Resident Study (CADRES) of person-centred care, dementia-care mapping, and usual care in dementia: a cluster-randomised trial’, The Lancet Neurology, 8(4), pp. 317-325.</w:t>
      </w:r>
    </w:p>
    <w:p w14:paraId="1EF751A3"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Department of Health and Social Care (2021) People at the Heart of Care: Adult Social Care Reform White Paper. London: DHSC.</w:t>
      </w:r>
    </w:p>
    <w:p w14:paraId="1103A5BF"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Dewing, J. (2008) ‘Personhood and dementia: revisiting Tom Kitwood’s ideas’, International Journal of Older People Nursing, 3(1), pp. 3-13.</w:t>
      </w:r>
    </w:p>
    <w:p w14:paraId="53FA4775"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Edvardsson, D., Fetherstonhaugh, D. and Nay, R. (2014) ‘Promoting a continuation of self and normality: person-centred care as described by people with dementia, their family members and aged care staff’, Journal of Clinical Nursing, 19(17-18), pp. 2611-2618.</w:t>
      </w:r>
    </w:p>
    <w:p w14:paraId="439440C0"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Fossey, J., Ballard, C., Juszczak, E., James, I., Alder, N., Jacoby, R. and Howard, R. (2006) ‘Effect of enhanced psychosocial care on antipsychotic use in nursing home residents with severe dementia: cluster randomised trial’, BMJ, 332(7544), pp. 756-761.</w:t>
      </w:r>
    </w:p>
    <w:p w14:paraId="2984D926"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Greenhalgh, T. and Peacock, R. (2005) ‘Effectiveness and efficiency of search methods in systematic reviews of complex evidence: audit of primary sources’, BMJ, 331(7524), pp. 1064-1065.</w:t>
      </w:r>
    </w:p>
    <w:p w14:paraId="688B40A6"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Greenhalgh, T., Thorne, S. and Malterud, K. (2018) ‘Time to challenge the spurious hierarchy of systematic over narrative reviews?‘, European Journal of Clinical Investigation, 48(6), e12931.</w:t>
      </w:r>
    </w:p>
    <w:p w14:paraId="413C02D6"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lastRenderedPageBreak/>
        <w:t>Kitwood, T. (1997) Dementia Reconsidered: The Person Comes First. Buckingham: Open University Press.</w:t>
      </w:r>
    </w:p>
    <w:p w14:paraId="3645A01D"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Lawton, M.P. (1994) ‘Quality of life in Alzheimer’s disease’, Alzheimer Disease and Associated Disorders, 8(3), pp. 138-150.</w:t>
      </w:r>
    </w:p>
    <w:p w14:paraId="281C403E"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McCormack, B. and McCance, T. (2017) Person-Centred Practice in Nursing and Health Care: Theory and Practice. 2nd ed. Chichester: Wiley-Blackwell.</w:t>
      </w:r>
    </w:p>
    <w:p w14:paraId="5ED95DD8"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McCormack, B., Dewing, J. and McCance, T. (2010) ‘Developing person-centred care: addressing contextual challenges through practice development’, Online Journal of Issues in Nursing, 16(2).</w:t>
      </w:r>
    </w:p>
    <w:p w14:paraId="53F200B5"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National Institute for Health and Care Excellence (2022) People’s Experience in Adult Social Care Services: Improving the Experience of Care and Support for People Using Adult Social Care Services. NG214. London: NICE.</w:t>
      </w:r>
    </w:p>
    <w:p w14:paraId="06120669"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BMJ, 372, n71.</w:t>
      </w:r>
    </w:p>
    <w:p w14:paraId="7C8C97C6"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Rokstad, A.M.M., Røsvik, J., Kirkevold, Ø., Selbaek, G., Saltyte Benth, J. and Engedal, K. (2013) ‘The effect of person-centred dementia care to prevent agitation and other neuropsychiatric symptoms and enhance quality of life in nursing home patients: a 10-month randomized controlled trial’, Dementia and Geriatric Cognitive Disorders, 36(5-6), pp. 340-353.</w:t>
      </w:r>
    </w:p>
    <w:p w14:paraId="38A77886"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Slater, L. (2006) ‘Person-centredness: a concept analysis’, Contemporary Nurse, 23(1), pp. 135-144.</w:t>
      </w:r>
    </w:p>
    <w:p w14:paraId="0BC76E3F"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Spilsbury, K., Hewitt, C., Stirk, L. and Bowman, C. (2015) ‘The relationship between nurse staffing and quality of care in nursing homes: a systematic review’, International Journal of Nursing Studies, 48(6), pp. 732-750.</w:t>
      </w:r>
    </w:p>
    <w:p w14:paraId="7CDD17E3"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The King’s Fund (2021) Social Care 360. London: The King’s Fund.</w:t>
      </w:r>
    </w:p>
    <w:p w14:paraId="48EA57B9"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t>Thomas, J. and Harden, A. (2008) ‘Methods for the thematic synthesis of qualitative research in systematic reviews’, BMC Medical Research Methodology, 8, p. 45.</w:t>
      </w:r>
    </w:p>
    <w:p w14:paraId="61344293" w14:textId="77777777" w:rsidR="001356B9" w:rsidRDefault="00333C7C">
      <w:pPr>
        <w:spacing w:after="120" w:line="360" w:lineRule="auto"/>
        <w:ind w:left="720" w:hanging="720"/>
        <w:rPr>
          <w:rFonts w:ascii="Arial" w:eastAsia="Times New Roman" w:hAnsi="Arial" w:cs="Arial"/>
        </w:rPr>
      </w:pPr>
      <w:r>
        <w:rPr>
          <w:rFonts w:ascii="Arial" w:eastAsia="Times New Roman" w:hAnsi="Arial" w:cs="Arial"/>
        </w:rPr>
        <w:lastRenderedPageBreak/>
        <w:t>World Health Organization (2021) Ageing and Health. Geneva: WHO.</w:t>
      </w:r>
    </w:p>
    <w:sectPr w:rsidR="001356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72C69"/>
    <w:multiLevelType w:val="multilevel"/>
    <w:tmpl w:val="F25AF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9161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92D59"/>
    <w:rsid w:val="00094D53"/>
    <w:rsid w:val="001356B9"/>
    <w:rsid w:val="00140062"/>
    <w:rsid w:val="002269CA"/>
    <w:rsid w:val="00333C7C"/>
    <w:rsid w:val="004F052F"/>
    <w:rsid w:val="005E3DC3"/>
    <w:rsid w:val="00685279"/>
    <w:rsid w:val="00992D59"/>
    <w:rsid w:val="00E20C0E"/>
    <w:rsid w:val="00FE0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B3D99"/>
  <w15:docId w15:val="{53569B5A-DE8E-48A0-B8E7-AFEB94067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92D5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992D59"/>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D5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92D59"/>
    <w:rPr>
      <w:rFonts w:ascii="Times New Roman" w:eastAsia="Times New Roman" w:hAnsi="Times New Roman" w:cs="Times New Roman"/>
      <w:b/>
      <w:bCs/>
      <w:sz w:val="36"/>
      <w:szCs w:val="36"/>
    </w:rPr>
  </w:style>
  <w:style w:type="character" w:styleId="Strong">
    <w:name w:val="Strong"/>
    <w:basedOn w:val="DefaultParagraphFont"/>
    <w:uiPriority w:val="22"/>
    <w:qFormat/>
    <w:rsid w:val="00992D59"/>
    <w:rPr>
      <w:b/>
      <w:bCs/>
    </w:rPr>
  </w:style>
  <w:style w:type="paragraph" w:styleId="NormalWeb">
    <w:name w:val="Normal (Web)"/>
    <w:basedOn w:val="Normal"/>
    <w:uiPriority w:val="99"/>
    <w:semiHidden/>
    <w:unhideWhenUsed/>
    <w:rsid w:val="00992D5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hitespace-normal">
    <w:name w:val="whitespace-normal"/>
    <w:basedOn w:val="DefaultParagraphFont"/>
    <w:rsid w:val="00992D59"/>
  </w:style>
  <w:style w:type="character" w:styleId="Emphasis">
    <w:name w:val="Emphasis"/>
    <w:basedOn w:val="DefaultParagraphFont"/>
    <w:uiPriority w:val="20"/>
    <w:qFormat/>
    <w:rsid w:val="00992D5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842508">
      <w:bodyDiv w:val="1"/>
      <w:marLeft w:val="0"/>
      <w:marRight w:val="0"/>
      <w:marTop w:val="0"/>
      <w:marBottom w:val="0"/>
      <w:divBdr>
        <w:top w:val="none" w:sz="0" w:space="0" w:color="auto"/>
        <w:left w:val="none" w:sz="0" w:space="0" w:color="auto"/>
        <w:bottom w:val="none" w:sz="0" w:space="0" w:color="auto"/>
        <w:right w:val="none" w:sz="0" w:space="0" w:color="auto"/>
      </w:divBdr>
    </w:div>
    <w:div w:id="549610596">
      <w:bodyDiv w:val="1"/>
      <w:marLeft w:val="0"/>
      <w:marRight w:val="0"/>
      <w:marTop w:val="0"/>
      <w:marBottom w:val="0"/>
      <w:divBdr>
        <w:top w:val="none" w:sz="0" w:space="0" w:color="auto"/>
        <w:left w:val="none" w:sz="0" w:space="0" w:color="auto"/>
        <w:bottom w:val="none" w:sz="0" w:space="0" w:color="auto"/>
        <w:right w:val="none" w:sz="0" w:space="0" w:color="auto"/>
      </w:divBdr>
    </w:div>
    <w:div w:id="1060517616">
      <w:bodyDiv w:val="1"/>
      <w:marLeft w:val="0"/>
      <w:marRight w:val="0"/>
      <w:marTop w:val="0"/>
      <w:marBottom w:val="0"/>
      <w:divBdr>
        <w:top w:val="none" w:sz="0" w:space="0" w:color="auto"/>
        <w:left w:val="none" w:sz="0" w:space="0" w:color="auto"/>
        <w:bottom w:val="none" w:sz="0" w:space="0" w:color="auto"/>
        <w:right w:val="none" w:sz="0" w:space="0" w:color="auto"/>
      </w:divBdr>
    </w:div>
    <w:div w:id="1871871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62d38765b0affc1eae5babdf82fc00d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f31571bf3a6a9a054423961d035f624"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07002B7C-9A77-468F-9DAA-7DF2EEECFD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71FDD8-E03B-48C3-88AB-75CC9E3CBD7B}">
  <ds:schemaRefs>
    <ds:schemaRef ds:uri="http://schemas.microsoft.com/sharepoint/v3/contenttype/forms"/>
  </ds:schemaRefs>
</ds:datastoreItem>
</file>

<file path=customXml/itemProps3.xml><?xml version="1.0" encoding="utf-8"?>
<ds:datastoreItem xmlns:ds="http://schemas.openxmlformats.org/officeDocument/2006/customXml" ds:itemID="{46664485-4EFB-4CC3-B421-1AC121964B25}">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10050</Words>
  <Characters>57287</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Yahaddy Bangura (2315639)</cp:lastModifiedBy>
  <cp:revision>2</cp:revision>
  <dcterms:created xsi:type="dcterms:W3CDTF">2026-07-05T12:03:00Z</dcterms:created>
  <dcterms:modified xsi:type="dcterms:W3CDTF">2026-07-05T12:03:00Z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