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7" w:rightFromText="187" w:vertAnchor="page" w:horzAnchor="margin" w:tblpXSpec="center" w:tblpY="4393"/>
        <w:tblW w:w="4000" w:type="pct"/>
        <w:tblBorders>
          <w:left w:val="single" w:sz="12" w:space="0" w:color="156082" w:themeColor="accent1"/>
        </w:tblBorders>
        <w:tblCellMar>
          <w:left w:w="144" w:type="dxa"/>
          <w:right w:w="115" w:type="dxa"/>
        </w:tblCellMar>
        <w:tblLook w:val="04A0" w:firstRow="1" w:lastRow="0" w:firstColumn="1" w:lastColumn="0" w:noHBand="0" w:noVBand="1"/>
      </w:tblPr>
      <w:tblGrid>
        <w:gridCol w:w="7209"/>
      </w:tblGrid>
      <w:tr w:rsidR="00616B3B" w14:paraId="18C06B3E" w14:textId="77777777" w:rsidTr="00616B3B">
        <w:tc>
          <w:tcPr>
            <w:tcW w:w="7209" w:type="dxa"/>
          </w:tcPr>
          <w:bookmarkStart w:id="0" w:name="_Hlk114990731" w:displacedByCustomXml="next"/>
          <w:bookmarkEnd w:id="0" w:displacedByCustomXml="next"/>
          <w:bookmarkStart w:id="1" w:name="_Toc217045793" w:displacedByCustomXml="next"/>
          <w:bookmarkStart w:id="2" w:name="_Toc217043149" w:displacedByCustomXml="next"/>
          <w:bookmarkStart w:id="3" w:name="_Toc217043120" w:displacedByCustomXml="next"/>
          <w:sdt>
            <w:sdtPr>
              <w:rPr>
                <w:rStyle w:val="Heading1Char"/>
                <w:sz w:val="72"/>
                <w:szCs w:val="72"/>
              </w:rPr>
              <w:alias w:val="Title"/>
              <w:id w:val="13406919"/>
              <w:placeholder>
                <w:docPart w:val="9F2B4CB7139D416D92E87B881D210A50"/>
              </w:placeholder>
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<w:text/>
            </w:sdtPr>
            <w:sdtEndPr>
              <w:rPr>
                <w:rStyle w:val="Heading1Char"/>
              </w:rPr>
            </w:sdtEndPr>
            <w:sdtContent>
              <w:p w14:paraId="0C078D32" w14:textId="0075FEF5" w:rsidR="00616B3B" w:rsidRDefault="00824A18" w:rsidP="0069726E">
                <w:pPr>
                  <w:pStyle w:val="Heading1"/>
                  <w:rPr>
                    <w:color w:val="156082" w:themeColor="accent1"/>
                    <w:sz w:val="88"/>
                    <w:szCs w:val="88"/>
                  </w:rPr>
                </w:pPr>
                <w:r w:rsidRPr="00824A18">
                  <w:rPr>
                    <w:rStyle w:val="Heading1Char"/>
                    <w:sz w:val="72"/>
                    <w:szCs w:val="72"/>
                  </w:rPr>
                  <w:t xml:space="preserve">Understanding the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I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mportance of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C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ritical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D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iameter and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C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ritical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D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ensity in the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D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 xml:space="preserve">etonation </w:t>
                </w:r>
                <w:r w:rsidR="00DC5D9C">
                  <w:rPr>
                    <w:rStyle w:val="Heading1Char"/>
                    <w:sz w:val="72"/>
                    <w:szCs w:val="72"/>
                  </w:rPr>
                  <w:t>P</w:t>
                </w:r>
                <w:r w:rsidRPr="00824A18">
                  <w:rPr>
                    <w:rStyle w:val="Heading1Char"/>
                    <w:sz w:val="72"/>
                    <w:szCs w:val="72"/>
                  </w:rPr>
                  <w:t>rocess</w:t>
                </w:r>
              </w:p>
            </w:sdtContent>
          </w:sdt>
          <w:bookmarkEnd w:id="1" w:displacedByCustomXml="prev"/>
          <w:bookmarkEnd w:id="2" w:displacedByCustomXml="prev"/>
          <w:bookmarkEnd w:id="3" w:displacedByCustomXml="prev"/>
        </w:tc>
      </w:tr>
      <w:tr w:rsidR="00616B3B" w14:paraId="0A32AAC5" w14:textId="77777777" w:rsidTr="00616B3B">
        <w:trPr>
          <w:trHeight w:val="567"/>
        </w:trPr>
        <w:bookmarkStart w:id="4" w:name="_Toc217045794" w:displacedByCustomXml="next"/>
        <w:bookmarkStart w:id="5" w:name="_Toc217043150" w:displacedByCustomXml="next"/>
        <w:bookmarkStart w:id="6" w:name="_Toc217043121" w:displacedByCustomXml="next"/>
        <w:sdt>
          <w:sdtPr>
            <w:rPr>
              <w:rStyle w:val="NoSpacingChar"/>
            </w:rPr>
            <w:alias w:val="Subtitle"/>
            <w:id w:val="13406923"/>
            <w:placeholder>
              <w:docPart w:val="70AA97D8789B4389898F14A1CA2296F9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EndPr>
            <w:rPr>
              <w:rStyle w:val="NoSpacingChar"/>
            </w:rPr>
          </w:sdtEndPr>
          <w:sdtContent>
            <w:tc>
              <w:tcPr>
                <w:tcW w:w="7209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28DEE638" w14:textId="1B0B181F" w:rsidR="000400CA" w:rsidRPr="00824A18" w:rsidRDefault="002328C8" w:rsidP="00824A18">
                <w:pPr>
                  <w:pStyle w:val="Heading1"/>
                  <w:rPr>
                    <w:rStyle w:val="Emphasis"/>
                    <w:sz w:val="28"/>
                    <w:szCs w:val="28"/>
                  </w:rPr>
                </w:pPr>
                <w:r w:rsidRPr="0069726E">
                  <w:rPr>
                    <w:rStyle w:val="NoSpacingChar"/>
                  </w:rPr>
                  <w:t>Cameron Lane- OME Apprentice</w:t>
                </w:r>
              </w:p>
            </w:tc>
          </w:sdtContent>
        </w:sdt>
        <w:bookmarkEnd w:id="4" w:displacedByCustomXml="prev"/>
        <w:bookmarkEnd w:id="5" w:displacedByCustomXml="prev"/>
        <w:bookmarkEnd w:id="6" w:displacedByCustomXml="prev"/>
      </w:tr>
    </w:tbl>
    <w:sdt>
      <w:sdtPr>
        <w:id w:val="695971954"/>
        <w:docPartObj>
          <w:docPartGallery w:val="Cover Pages"/>
          <w:docPartUnique/>
        </w:docPartObj>
      </w:sdtPr>
      <w:sdtEndPr/>
      <w:sdtContent>
        <w:p w14:paraId="50BC4816" w14:textId="2BD960A3" w:rsidR="00EB3C3F" w:rsidRDefault="00616B3B">
          <w:r>
            <w:rPr>
              <w:noProof/>
            </w:rPr>
            <w:drawing>
              <wp:anchor distT="0" distB="0" distL="114300" distR="114300" simplePos="0" relativeHeight="251658240" behindDoc="0" locked="0" layoutInCell="1" allowOverlap="1" wp14:anchorId="35203D27" wp14:editId="4D5D0B41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5731510" cy="1775460"/>
                <wp:effectExtent l="0" t="0" r="2540" b="0"/>
                <wp:wrapTopAndBottom/>
                <wp:docPr id="5" name="Picture 2" descr="University of Wales Hub: description, news and contact info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 descr="University of Wales Hub: description, news and contact info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1253" b="16848"/>
                        <a:stretch/>
                      </pic:blipFill>
                      <pic:spPr bwMode="auto">
                        <a:xfrm>
                          <a:off x="0" y="0"/>
                          <a:ext cx="5731510" cy="17754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</w:p>
        <w:p w14:paraId="154B5B24" w14:textId="447A88A8" w:rsidR="00126AC4" w:rsidRDefault="00126AC4"/>
        <w:p w14:paraId="5E34148D" w14:textId="77777777" w:rsidR="00126AC4" w:rsidRDefault="00126AC4"/>
        <w:p w14:paraId="5A5377D3" w14:textId="77777777" w:rsidR="00126AC4" w:rsidRDefault="00126AC4"/>
        <w:p w14:paraId="689FED40" w14:textId="77777777" w:rsidR="00126AC4" w:rsidRDefault="00126AC4"/>
        <w:p w14:paraId="577521BE" w14:textId="77777777" w:rsidR="00126AC4" w:rsidRDefault="00126AC4"/>
        <w:p w14:paraId="603D511C" w14:textId="77777777" w:rsidR="00126AC4" w:rsidRDefault="00126AC4"/>
        <w:p w14:paraId="3CE9AEE6" w14:textId="77777777" w:rsidR="00126AC4" w:rsidRDefault="00126AC4"/>
        <w:p w14:paraId="2C0E41B1" w14:textId="77777777" w:rsidR="00126AC4" w:rsidRDefault="00126AC4"/>
        <w:p w14:paraId="0CF54650" w14:textId="77777777" w:rsidR="003C1612" w:rsidRDefault="003C1612"/>
        <w:p w14:paraId="18CBE230" w14:textId="77777777" w:rsidR="003C1612" w:rsidRDefault="003C1612"/>
        <w:p w14:paraId="011369FA" w14:textId="77777777" w:rsidR="003C1612" w:rsidRDefault="003C1612"/>
        <w:bookmarkStart w:id="7" w:name="_Toc193875780" w:displacedByCustomXml="next"/>
        <w:sdt>
          <w:sdtPr>
            <w:id w:val="1272983186"/>
            <w:docPartObj>
              <w:docPartGallery w:val="Table of Contents"/>
              <w:docPartUnique/>
            </w:docPartObj>
          </w:sdtPr>
          <w:sdtEndPr>
            <w:rPr>
              <w:rFonts w:ascii="Calibri" w:eastAsia="Calibri" w:hAnsi="Calibri" w:cs="Calibri"/>
              <w:b/>
              <w:bCs/>
              <w:color w:val="auto"/>
              <w:sz w:val="22"/>
              <w:szCs w:val="22"/>
              <w:lang w:eastAsia="en-US"/>
            </w:rPr>
          </w:sdtEndPr>
          <w:sdtContent>
            <w:p w14:paraId="49D88348" w14:textId="665EBD48" w:rsidR="00DC5D9C" w:rsidRDefault="00196293" w:rsidP="00DC5D9C">
              <w:pPr>
                <w:pStyle w:val="TOCHeading"/>
              </w:pPr>
              <w:r>
                <w:t>Table of Contents</w:t>
              </w: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</w:p>
            <w:p w14:paraId="7BE0B12C" w14:textId="108CCE6F" w:rsidR="00DC5D9C" w:rsidRDefault="00DC5D9C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17045795" w:history="1">
                <w:r w:rsidRPr="00C213AE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_Toc217045795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F9CDA8" w14:textId="763190D4" w:rsidR="00DC5D9C" w:rsidRDefault="00DC5D9C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17045796" w:history="1">
                <w:r w:rsidRPr="00C213AE">
                  <w:rPr>
                    <w:rStyle w:val="Hyperlink"/>
                    <w:noProof/>
                  </w:rPr>
                  <w:t>Critical Diameter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_Toc217045796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539CCC" w14:textId="72A024CC" w:rsidR="00DC5D9C" w:rsidRDefault="00DC5D9C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17045797" w:history="1">
                <w:r w:rsidRPr="00C213AE">
                  <w:rPr>
                    <w:rStyle w:val="Hyperlink"/>
                    <w:noProof/>
                  </w:rPr>
                  <w:t>Density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_Toc217045797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B2EDD7" w14:textId="055C9A18" w:rsidR="00DC5D9C" w:rsidRDefault="00DC5D9C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17045798" w:history="1">
                <w:r w:rsidRPr="00C213AE">
                  <w:rPr>
                    <w:rStyle w:val="Hyperlink"/>
                    <w:noProof/>
                  </w:rPr>
                  <w:t>The Impact of Confinement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_Toc217045798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85B1FA1" w14:textId="56D3DD22" w:rsidR="00DC5D9C" w:rsidRDefault="00DC5D9C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17045799" w:history="1">
                <w:r w:rsidRPr="00C213AE">
                  <w:rPr>
                    <w:rStyle w:val="Hyperlink"/>
                    <w:noProof/>
                  </w:rPr>
                  <w:t>A Final Design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_Toc217045799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EC5C88" w14:textId="13BCE438" w:rsidR="00196293" w:rsidRDefault="00196293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4C5021D7" w14:textId="6D1F916C" w:rsidR="00EC4E16" w:rsidRDefault="00517429" w:rsidP="00C87143">
          <w:pPr>
            <w:spacing w:line="278" w:lineRule="auto"/>
            <w:rPr>
              <w:color w:val="45B0E1" w:themeColor="accent1" w:themeTint="99"/>
            </w:rPr>
          </w:pPr>
          <w:r>
            <w:br w:type="page"/>
          </w:r>
        </w:p>
        <w:p w14:paraId="34E5B9CA" w14:textId="6131347E" w:rsidR="00593410" w:rsidRPr="00593410" w:rsidRDefault="00593410" w:rsidP="00593410">
          <w:pPr>
            <w:pStyle w:val="Heading2"/>
          </w:pPr>
          <w:bookmarkStart w:id="8" w:name="_Toc217043122"/>
          <w:bookmarkStart w:id="9" w:name="_Toc217045795"/>
          <w:r>
            <w:lastRenderedPageBreak/>
            <w:t>Introduction</w:t>
          </w:r>
          <w:bookmarkEnd w:id="8"/>
          <w:bookmarkEnd w:id="9"/>
        </w:p>
        <w:p w14:paraId="59FB17A8" w14:textId="28AB70D6" w:rsidR="00702B9C" w:rsidRDefault="00D34E30" w:rsidP="00517429">
          <w:pPr>
            <w:spacing w:line="278" w:lineRule="auto"/>
          </w:pPr>
          <w:r>
            <w:t xml:space="preserve">Far from the idealised world of </w:t>
          </w:r>
          <w:r w:rsidR="0014276D">
            <w:t xml:space="preserve">movies, </w:t>
          </w:r>
          <w:r w:rsidR="003C219A">
            <w:t xml:space="preserve">with the slightest flame </w:t>
          </w:r>
          <w:r w:rsidR="00823891">
            <w:t xml:space="preserve">detonating everything, the science behind detonations is a hugely complicated </w:t>
          </w:r>
          <w:r w:rsidR="000861E0">
            <w:t>area</w:t>
          </w:r>
          <w:r w:rsidR="00123E0A">
            <w:t xml:space="preserve">. </w:t>
          </w:r>
          <w:r w:rsidR="008B5A51">
            <w:t xml:space="preserve">Numerous factors go into dictating whether an explosive will detonate, or even react at all, </w:t>
          </w:r>
          <w:r w:rsidR="007D5B5B">
            <w:t>which all ultimately feed into the energy balance of the chemical reaction taking place</w:t>
          </w:r>
          <w:r w:rsidR="002C6D81">
            <w:t xml:space="preserve">. </w:t>
          </w:r>
          <w:r w:rsidR="00AB130F">
            <w:t xml:space="preserve">Two of the factors that </w:t>
          </w:r>
          <w:r w:rsidR="003A4883">
            <w:t xml:space="preserve">impact the energy balance of a detonation are the size of the explosive charge, and the </w:t>
          </w:r>
          <w:r w:rsidR="00B85322">
            <w:t>density of this material</w:t>
          </w:r>
          <w:r w:rsidR="00F06B9E">
            <w:t>, with this paper seeking to explain how and why.</w:t>
          </w:r>
          <w:r w:rsidR="00730EC9">
            <w:t xml:space="preserve"> </w:t>
          </w:r>
        </w:p>
        <w:p w14:paraId="5C8EF660" w14:textId="77777777" w:rsidR="00572294" w:rsidRDefault="006308FC" w:rsidP="00572294">
          <w:pPr>
            <w:keepNext/>
            <w:spacing w:line="278" w:lineRule="auto"/>
          </w:pPr>
          <w:r w:rsidRPr="006308FC">
            <w:drawing>
              <wp:inline distT="0" distB="0" distL="0" distR="0" wp14:anchorId="4B4C8BF4" wp14:editId="5A4D6E56">
                <wp:extent cx="5731510" cy="3353435"/>
                <wp:effectExtent l="0" t="0" r="2540" b="0"/>
                <wp:docPr id="1548469515" name="Picture 1" descr="A diagram of explosive substanc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48469515" name="Picture 1" descr="A diagram of explosive substances&#10;&#10;AI-generated content may be incorrect.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3534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F48FFA6" w14:textId="3521D22D" w:rsidR="006308FC" w:rsidRPr="006A1F0E" w:rsidRDefault="00572294" w:rsidP="00572294">
          <w:pPr>
            <w:pStyle w:val="Caption"/>
            <w:rPr>
              <w:color w:val="auto"/>
            </w:rPr>
          </w:pPr>
          <w:r>
            <w:t xml:space="preserve">Figure </w:t>
          </w:r>
          <w:fldSimple w:instr=" SEQ Figure \* ARABIC ">
            <w:r w:rsidR="00DC5D9C">
              <w:rPr>
                <w:noProof/>
              </w:rPr>
              <w:t>1</w:t>
            </w:r>
          </w:fldSimple>
          <w:r>
            <w:t xml:space="preserve">- The Classification of Explosives, </w:t>
          </w:r>
          <w:sdt>
            <w:sdtPr>
              <w:id w:val="-1185290588"/>
              <w:citation/>
            </w:sdtPr>
            <w:sdtContent>
              <w:r w:rsidR="005A2EEE">
                <w:fldChar w:fldCharType="begin"/>
              </w:r>
              <w:r w:rsidR="005A2EEE">
                <w:instrText xml:space="preserve"> CITATION Col25 \l 2057 </w:instrText>
              </w:r>
              <w:r w:rsidR="005A2EEE">
                <w:fldChar w:fldCharType="separate"/>
              </w:r>
              <w:r w:rsidR="00DC5D9C" w:rsidRPr="00DC5D9C">
                <w:rPr>
                  <w:noProof/>
                </w:rPr>
                <w:t>[1]</w:t>
              </w:r>
              <w:r w:rsidR="005A2EEE">
                <w:fldChar w:fldCharType="end"/>
              </w:r>
            </w:sdtContent>
          </w:sdt>
        </w:p>
        <w:p w14:paraId="7A9E1E95" w14:textId="3EDE76A5" w:rsidR="00E2081E" w:rsidRDefault="00DB3898" w:rsidP="0030314C">
          <w:pPr>
            <w:spacing w:line="278" w:lineRule="auto"/>
          </w:pPr>
          <w:r>
            <w:t xml:space="preserve">Explosives </w:t>
          </w:r>
          <w:r w:rsidR="00671096">
            <w:t xml:space="preserve">can be classified in </w:t>
          </w:r>
          <w:proofErr w:type="gramStart"/>
          <w:r w:rsidR="00671096">
            <w:t>a number of</w:t>
          </w:r>
          <w:proofErr w:type="gramEnd"/>
          <w:r w:rsidR="00671096">
            <w:t xml:space="preserve"> ways, </w:t>
          </w:r>
          <w:r w:rsidR="00BB44DD">
            <w:t xml:space="preserve">the </w:t>
          </w:r>
          <w:r w:rsidR="00CB4AB7">
            <w:t xml:space="preserve">molecular groups present in the structure, </w:t>
          </w:r>
          <w:r w:rsidR="00BB223F">
            <w:t>homogenous and heterogenous, or most commonly the</w:t>
          </w:r>
          <w:r w:rsidR="00FC14B0">
            <w:t xml:space="preserve">ir application. </w:t>
          </w:r>
          <w:r w:rsidR="00572294">
            <w:t>Figure</w:t>
          </w:r>
          <w:r w:rsidR="00FC14B0">
            <w:t xml:space="preserve"> 1</w:t>
          </w:r>
          <w:r w:rsidR="006308FC">
            <w:t>, above,</w:t>
          </w:r>
          <w:r w:rsidR="00FC14B0">
            <w:t xml:space="preserve"> outlines the latter of these classifications, with explosives grouped based on their use. </w:t>
          </w:r>
          <w:r w:rsidR="007D0081">
            <w:t>Focussing on high explosives, there are three categories these are divided into</w:t>
          </w:r>
          <w:sdt>
            <w:sdtPr>
              <w:id w:val="-382028142"/>
              <w:citation/>
            </w:sdtPr>
            <w:sdtContent>
              <w:r w:rsidR="00023F3E">
                <w:fldChar w:fldCharType="begin"/>
              </w:r>
              <w:r w:rsidR="00023F3E">
                <w:instrText xml:space="preserve"> CITATION Col25 \l 2057 </w:instrText>
              </w:r>
              <w:r w:rsidR="00023F3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[1]</w:t>
              </w:r>
              <w:r w:rsidR="00023F3E">
                <w:fldChar w:fldCharType="end"/>
              </w:r>
            </w:sdtContent>
          </w:sdt>
          <w:r w:rsidR="00BC4F74">
            <w:t xml:space="preserve">. Primary explosives, </w:t>
          </w:r>
          <w:r w:rsidR="001F3BF5">
            <w:t>which detonate with a lower power, but require only a small stimulus to ignite or detonate</w:t>
          </w:r>
          <w:r w:rsidR="0047151F">
            <w:t xml:space="preserve">. Secondary explosives, higher in power, </w:t>
          </w:r>
          <w:r w:rsidR="009B3804">
            <w:t>however,</w:t>
          </w:r>
          <w:r w:rsidR="0047151F">
            <w:t xml:space="preserve"> require a high velocity shockwave from a primary explosive to detonate. And tertiary explosives, extremely insensitive high explosives that require </w:t>
          </w:r>
          <w:r w:rsidR="009F3CA3">
            <w:t xml:space="preserve">the shockwave from a secondary explosive to detonate. Modern weapons will often feature </w:t>
          </w:r>
          <w:r w:rsidR="000760F7">
            <w:t xml:space="preserve">numerous amounts of all three of these, </w:t>
          </w:r>
          <w:r w:rsidR="0036761A">
            <w:t>forming what is known as the ‘explosive train’</w:t>
          </w:r>
          <w:sdt>
            <w:sdtPr>
              <w:id w:val="-423411435"/>
              <w:citation/>
            </w:sdtPr>
            <w:sdtContent>
              <w:r w:rsidR="00023F3E">
                <w:fldChar w:fldCharType="begin"/>
              </w:r>
              <w:r w:rsidR="00023F3E">
                <w:instrText xml:space="preserve"> CITATION Col251 \l 2057 </w:instrText>
              </w:r>
              <w:r w:rsidR="00023F3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[2]</w:t>
              </w:r>
              <w:r w:rsidR="00023F3E">
                <w:fldChar w:fldCharType="end"/>
              </w:r>
            </w:sdtContent>
          </w:sdt>
          <w:r w:rsidR="0036761A">
            <w:t xml:space="preserve">. Even something as simple as a detonator features an explosive train, </w:t>
          </w:r>
          <w:r w:rsidR="005B5A21">
            <w:t xml:space="preserve">containing both a primary and secondary explosive, and potentially pyrotechnics as well. </w:t>
          </w:r>
          <w:r w:rsidR="005E08C1">
            <w:t xml:space="preserve">To explain the impact of critical diameter and density on </w:t>
          </w:r>
          <w:r w:rsidR="00C43CFF">
            <w:t>the detonation of explosives, this paper will look at two</w:t>
          </w:r>
          <w:r w:rsidR="002815C7">
            <w:t xml:space="preserve"> materials</w:t>
          </w:r>
          <w:r w:rsidR="00C43CFF">
            <w:t xml:space="preserve">, a primary explosive, lead </w:t>
          </w:r>
          <w:proofErr w:type="spellStart"/>
          <w:r w:rsidR="00C43CFF">
            <w:t>azide</w:t>
          </w:r>
          <w:proofErr w:type="spellEnd"/>
          <w:r w:rsidR="00C43CFF">
            <w:t xml:space="preserve">, and a secondary explosive, HMX. </w:t>
          </w:r>
        </w:p>
        <w:p w14:paraId="104DE611" w14:textId="478128E0" w:rsidR="00E62439" w:rsidRPr="00A23DDD" w:rsidRDefault="00E62439" w:rsidP="0030314C">
          <w:pPr>
            <w:spacing w:line="278" w:lineRule="auto"/>
          </w:pPr>
          <w:proofErr w:type="gramStart"/>
          <w:r>
            <w:t>Both of these</w:t>
          </w:r>
          <w:proofErr w:type="gramEnd"/>
          <w:r>
            <w:t xml:space="preserve"> explosives see significant use in munitions for the military. </w:t>
          </w:r>
          <w:r w:rsidR="007E2503">
            <w:t xml:space="preserve">Lead </w:t>
          </w:r>
          <w:proofErr w:type="spellStart"/>
          <w:r w:rsidR="007E2503">
            <w:t>azide</w:t>
          </w:r>
          <w:proofErr w:type="spellEnd"/>
          <w:r w:rsidR="007E2503">
            <w:t xml:space="preserve"> </w:t>
          </w:r>
          <w:r w:rsidR="001E16F6">
            <w:t xml:space="preserve">is formed through the mixing of </w:t>
          </w:r>
          <w:r w:rsidR="00120E3F">
            <w:t xml:space="preserve">lead nitrate and sodium </w:t>
          </w:r>
          <w:proofErr w:type="spellStart"/>
          <w:r w:rsidR="00120E3F">
            <w:t>azide</w:t>
          </w:r>
          <w:proofErr w:type="spellEnd"/>
          <w:r w:rsidR="00D24A57">
            <w:t>, and when properly prepared should form spherical, opaque</w:t>
          </w:r>
          <w:r w:rsidR="0006051C">
            <w:t xml:space="preserve"> white</w:t>
          </w:r>
          <w:r w:rsidR="00D24A57">
            <w:t xml:space="preserve"> crystals less than 0.07mm in diameter</w:t>
          </w:r>
          <w:sdt>
            <w:sdtPr>
              <w:id w:val="963316961"/>
              <w:citation/>
            </w:sdtPr>
            <w:sdtContent>
              <w:r w:rsidR="0006051C">
                <w:fldChar w:fldCharType="begin"/>
              </w:r>
              <w:r w:rsidR="0006051C">
                <w:instrText xml:space="preserve"> CITATION Jac22 \l 2057 </w:instrText>
              </w:r>
              <w:r w:rsidR="0006051C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[3]</w:t>
              </w:r>
              <w:r w:rsidR="0006051C">
                <w:fldChar w:fldCharType="end"/>
              </w:r>
            </w:sdtContent>
          </w:sdt>
          <w:sdt>
            <w:sdtPr>
              <w:id w:val="598835986"/>
              <w:citation/>
            </w:sdtPr>
            <w:sdtContent>
              <w:r w:rsidR="0006051C">
                <w:fldChar w:fldCharType="begin"/>
              </w:r>
              <w:r w:rsidR="0006051C">
                <w:instrText xml:space="preserve"> CITATION Dob85 \l 2057 </w:instrText>
              </w:r>
              <w:r w:rsidR="0006051C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06051C">
                <w:fldChar w:fldCharType="end"/>
              </w:r>
            </w:sdtContent>
          </w:sdt>
          <w:r w:rsidR="00D24A57">
            <w:t xml:space="preserve">. </w:t>
          </w:r>
          <w:r w:rsidR="003345E4">
            <w:t xml:space="preserve">It is a highly sensitive </w:t>
          </w:r>
          <w:r w:rsidR="00A23DDD">
            <w:t>explosive and</w:t>
          </w:r>
          <w:r w:rsidR="004037E7">
            <w:t xml:space="preserve"> can be initiated from shocks as low as 1.255 kJ/m</w:t>
          </w:r>
          <w:r w:rsidR="004037E7" w:rsidRPr="004037E7">
            <w:rPr>
              <w:vertAlign w:val="superscript"/>
            </w:rPr>
            <w:t>2</w:t>
          </w:r>
          <w:r w:rsidR="004037E7">
            <w:t xml:space="preserve">. </w:t>
          </w:r>
          <w:r w:rsidR="00711E88">
            <w:t xml:space="preserve">For comparison, RDX is 680 </w:t>
          </w:r>
          <w:r w:rsidR="00711E88">
            <w:t>kJ/m</w:t>
          </w:r>
          <w:r w:rsidR="00711E88" w:rsidRPr="004037E7">
            <w:rPr>
              <w:vertAlign w:val="superscript"/>
            </w:rPr>
            <w:t>2</w:t>
          </w:r>
          <w:r w:rsidR="00A23DDD">
            <w:t xml:space="preserve">, </w:t>
          </w:r>
          <w:r w:rsidR="00A23DDD">
            <w:lastRenderedPageBreak/>
            <w:t>and TNT 4200</w:t>
          </w:r>
          <w:r w:rsidR="00A23DDD" w:rsidRPr="00A23DDD">
            <w:t xml:space="preserve"> </w:t>
          </w:r>
          <w:r w:rsidR="00A23DDD">
            <w:t>kJ/m</w:t>
          </w:r>
          <w:r w:rsidR="00A23DDD" w:rsidRPr="004037E7">
            <w:rPr>
              <w:vertAlign w:val="superscript"/>
            </w:rPr>
            <w:t>2</w:t>
          </w:r>
          <w:sdt>
            <w:sdtPr>
              <w:rPr>
                <w:vertAlign w:val="superscript"/>
              </w:rPr>
              <w:id w:val="-256827844"/>
              <w:citation/>
            </w:sdtPr>
            <w:sdtContent>
              <w:r w:rsidR="00A23DDD">
                <w:rPr>
                  <w:vertAlign w:val="superscript"/>
                </w:rPr>
                <w:fldChar w:fldCharType="begin"/>
              </w:r>
              <w:r w:rsidR="00A23DDD">
                <w:instrText xml:space="preserve"> CITATION Dob85 \l 2057 </w:instrText>
              </w:r>
              <w:r w:rsidR="00A23DDD">
                <w:rPr>
                  <w:vertAlign w:val="superscript"/>
                </w:rPr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A23DDD">
                <w:rPr>
                  <w:vertAlign w:val="superscript"/>
                </w:rPr>
                <w:fldChar w:fldCharType="end"/>
              </w:r>
            </w:sdtContent>
          </w:sdt>
          <w:r w:rsidR="00A23DDD">
            <w:t>.</w:t>
          </w:r>
          <w:r w:rsidR="00BD0910">
            <w:t xml:space="preserve"> As it is vulnerable to </w:t>
          </w:r>
          <w:proofErr w:type="gramStart"/>
          <w:r w:rsidR="00BD0910">
            <w:t>a number of</w:t>
          </w:r>
          <w:proofErr w:type="gramEnd"/>
          <w:r w:rsidR="00BD0910">
            <w:t xml:space="preserve"> stimuli</w:t>
          </w:r>
          <w:r w:rsidR="009C29AC">
            <w:t>, and is relatively lower powered</w:t>
          </w:r>
          <w:r w:rsidR="003E5D3C">
            <w:t>, with a power index of 12.80%</w:t>
          </w:r>
          <w:r w:rsidR="00BD0910">
            <w:t xml:space="preserve">, it is used in small quantities in munitions </w:t>
          </w:r>
          <w:r w:rsidR="001D5265">
            <w:t xml:space="preserve">as a primary explosive to initiate either a booster or main charge. HMX </w:t>
          </w:r>
          <w:r w:rsidR="00120467">
            <w:t xml:space="preserve">is produced </w:t>
          </w:r>
          <w:r w:rsidR="007B7EAB">
            <w:t>as a byproduct of the Bach</w:t>
          </w:r>
          <w:r w:rsidR="007570C9">
            <w:t>mann process when producing RDX</w:t>
          </w:r>
          <w:sdt>
            <w:sdtPr>
              <w:id w:val="1068463956"/>
              <w:citation/>
            </w:sdtPr>
            <w:sdtContent>
              <w:r w:rsidR="00B366CC">
                <w:fldChar w:fldCharType="begin"/>
              </w:r>
              <w:r w:rsidR="00B366CC">
                <w:instrText xml:space="preserve"> CITATION Min20 \l 2057 </w:instrText>
              </w:r>
              <w:r w:rsidR="00B366CC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[5]</w:t>
              </w:r>
              <w:r w:rsidR="00B366CC">
                <w:fldChar w:fldCharType="end"/>
              </w:r>
            </w:sdtContent>
          </w:sdt>
          <w:r w:rsidR="007570C9">
            <w:t xml:space="preserve">. This involves mixing </w:t>
          </w:r>
          <w:proofErr w:type="gramStart"/>
          <w:r w:rsidR="007570C9">
            <w:t>a number of</w:t>
          </w:r>
          <w:proofErr w:type="gramEnd"/>
          <w:r w:rsidR="00CA6F32">
            <w:t xml:space="preserve"> compounds and solutions, which forms a precipitate of 27% RDX and 73% HMX. </w:t>
          </w:r>
          <w:r w:rsidR="001938A7">
            <w:t>The RDX is then neutralised, before the HMX is filtered and crystalised</w:t>
          </w:r>
          <w:sdt>
            <w:sdtPr>
              <w:id w:val="-254975198"/>
              <w:citation/>
            </w:sdtPr>
            <w:sdtContent>
              <w:r w:rsidR="00D2667F">
                <w:fldChar w:fldCharType="begin"/>
              </w:r>
              <w:r w:rsidR="00D2667F">
                <w:instrText xml:space="preserve"> CITATION Jac22 \l 2057 </w:instrText>
              </w:r>
              <w:r w:rsidR="00D2667F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[3]</w:t>
              </w:r>
              <w:r w:rsidR="00D2667F">
                <w:fldChar w:fldCharType="end"/>
              </w:r>
            </w:sdtContent>
          </w:sdt>
          <w:r w:rsidR="001938A7">
            <w:t xml:space="preserve">. </w:t>
          </w:r>
          <w:r w:rsidR="003E5D3C">
            <w:t xml:space="preserve">It is a secondary explosive, with a power index of 165.85%, </w:t>
          </w:r>
          <w:r w:rsidR="0018254E">
            <w:t xml:space="preserve">that can be used on its own, however is </w:t>
          </w:r>
          <w:proofErr w:type="gramStart"/>
          <w:r w:rsidR="0018254E">
            <w:t>most commonly found</w:t>
          </w:r>
          <w:proofErr w:type="gramEnd"/>
          <w:r w:rsidR="0018254E">
            <w:t xml:space="preserve"> as an ingredient in plastic explosives</w:t>
          </w:r>
          <w:sdt>
            <w:sdtPr>
              <w:id w:val="509256881"/>
              <w:citation/>
            </w:sdtPr>
            <w:sdtContent>
              <w:r w:rsidR="006D68C5">
                <w:fldChar w:fldCharType="begin"/>
              </w:r>
              <w:r w:rsidR="006D68C5">
                <w:instrText xml:space="preserve"> CITATION Min20 \l 2057 </w:instrText>
              </w:r>
              <w:r w:rsidR="006D68C5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[5]</w:t>
              </w:r>
              <w:r w:rsidR="006D68C5">
                <w:fldChar w:fldCharType="end"/>
              </w:r>
            </w:sdtContent>
          </w:sdt>
          <w:r w:rsidR="00A5681B">
            <w:t xml:space="preserve">. Unlike lead </w:t>
          </w:r>
          <w:proofErr w:type="spellStart"/>
          <w:r w:rsidR="00A5681B">
            <w:t>azide</w:t>
          </w:r>
          <w:proofErr w:type="spellEnd"/>
          <w:r w:rsidR="0066007A">
            <w:t>,</w:t>
          </w:r>
          <w:r w:rsidR="00A5681B">
            <w:t xml:space="preserve"> it is relatively insensitive, </w:t>
          </w:r>
          <w:r w:rsidR="0066007A">
            <w:t xml:space="preserve">and </w:t>
          </w:r>
          <w:r w:rsidR="00B12D90">
            <w:t>is normally initiated through a shockwave from a primary explosive, although other forms of shock such as flyer</w:t>
          </w:r>
          <w:r w:rsidR="006D68C5">
            <w:t>s will work</w:t>
          </w:r>
          <w:sdt>
            <w:sdtPr>
              <w:id w:val="703443881"/>
              <w:citation/>
            </w:sdtPr>
            <w:sdtContent>
              <w:r w:rsidR="00DC5D9C">
                <w:fldChar w:fldCharType="begin"/>
              </w:r>
              <w:r w:rsidR="00DC5D9C">
                <w:instrText xml:space="preserve"> CITATION Gar14 \l 2057 </w:instrText>
              </w:r>
              <w:r w:rsidR="00DC5D9C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[6]</w:t>
              </w:r>
              <w:r w:rsidR="00DC5D9C">
                <w:fldChar w:fldCharType="end"/>
              </w:r>
            </w:sdtContent>
          </w:sdt>
          <w:sdt>
            <w:sdtPr>
              <w:id w:val="-228924833"/>
              <w:citation/>
            </w:sdtPr>
            <w:sdtContent>
              <w:r w:rsidR="00DC5D9C">
                <w:fldChar w:fldCharType="begin"/>
              </w:r>
              <w:r w:rsidR="00DC5D9C">
                <w:instrText xml:space="preserve"> CITATION Bur22 \l 2057 </w:instrText>
              </w:r>
              <w:r w:rsidR="00DC5D9C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[7]</w:t>
              </w:r>
              <w:r w:rsidR="00DC5D9C">
                <w:fldChar w:fldCharType="end"/>
              </w:r>
            </w:sdtContent>
          </w:sdt>
          <w:r w:rsidR="006D68C5">
            <w:t>.</w:t>
          </w:r>
        </w:p>
        <w:p w14:paraId="0B577F03" w14:textId="77777777" w:rsidR="00593410" w:rsidRDefault="00593410" w:rsidP="0030314C">
          <w:pPr>
            <w:spacing w:line="278" w:lineRule="auto"/>
          </w:pPr>
        </w:p>
        <w:p w14:paraId="1A36E638" w14:textId="2FC4A2D3" w:rsidR="00E2081E" w:rsidRDefault="00593410" w:rsidP="00593410">
          <w:pPr>
            <w:pStyle w:val="Heading2"/>
          </w:pPr>
          <w:bookmarkStart w:id="10" w:name="_Toc217043123"/>
          <w:bookmarkStart w:id="11" w:name="_Toc217045796"/>
          <w:r>
            <w:t>Critical Diameter</w:t>
          </w:r>
          <w:bookmarkEnd w:id="10"/>
          <w:bookmarkEnd w:id="11"/>
        </w:p>
        <w:p w14:paraId="028A8FD4" w14:textId="7E429FB4" w:rsidR="007C6E90" w:rsidRDefault="006F51B9" w:rsidP="00517429">
          <w:pPr>
            <w:spacing w:line="278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1008" behindDoc="0" locked="0" layoutInCell="1" allowOverlap="1" wp14:anchorId="5D55B146" wp14:editId="2E8A2AC6">
                    <wp:simplePos x="0" y="0"/>
                    <wp:positionH relativeFrom="column">
                      <wp:posOffset>1351280</wp:posOffset>
                    </wp:positionH>
                    <wp:positionV relativeFrom="paragraph">
                      <wp:posOffset>4449445</wp:posOffset>
                    </wp:positionV>
                    <wp:extent cx="3020060" cy="635"/>
                    <wp:effectExtent l="0" t="0" r="0" b="0"/>
                    <wp:wrapTopAndBottom/>
                    <wp:docPr id="54929096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20060" cy="63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5BADBF5" w14:textId="47A3666A" w:rsidR="006F51B9" w:rsidRPr="00931B42" w:rsidRDefault="006F51B9" w:rsidP="006F51B9">
                                <w:pPr>
                                  <w:pStyle w:val="Caption"/>
                                  <w:rPr>
                                    <w:noProof/>
                                    <w:sz w:val="22"/>
                                    <w:szCs w:val="22"/>
                                  </w:rPr>
                                </w:pPr>
                                <w:r>
                                  <w:t xml:space="preserve">Figure </w:t>
                                </w:r>
                                <w:fldSimple w:instr=" SEQ Figure \* ARABIC ">
                                  <w:r w:rsidR="00E512B4">
                                    <w:rPr>
                                      <w:noProof/>
                                    </w:rPr>
                                    <w:t>2</w:t>
                                  </w:r>
                                </w:fldSimple>
                                <w:r>
                                  <w:t xml:space="preserve">- The ZND Model of Detonation, </w:t>
                                </w:r>
                                <w:sdt>
                                  <w:sdtPr>
                                    <w:id w:val="1864235781"/>
                                    <w:citation/>
                                  </w:sdtPr>
                                  <w:sdtContent>
                                    <w:r w:rsidR="002423BB">
                                      <w:fldChar w:fldCharType="begin"/>
                                    </w:r>
                                    <w:r w:rsidR="002423BB">
                                      <w:instrText xml:space="preserve"> CITATION Min15 \l 2057 </w:instrText>
                                    </w:r>
                                    <w:r w:rsidR="002423BB">
                                      <w:fldChar w:fldCharType="separate"/>
                                    </w:r>
                                    <w:r w:rsidR="002423BB" w:rsidRPr="002423BB">
                                      <w:rPr>
                                        <w:noProof/>
                                      </w:rPr>
                                      <w:t>[10]</w:t>
                                    </w:r>
                                    <w:r w:rsidR="002423BB">
                                      <w:fldChar w:fldCharType="end"/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5D55B1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106.4pt;margin-top:350.35pt;width:237.8pt;height:.0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" stroked="f">
                    <v:textbox style="mso-fit-shape-to-text:t" inset="0,0,0,0">
                      <w:txbxContent>
                        <w:p w14:paraId="35BADBF5" w14:textId="47A3666A" w:rsidR="006F51B9" w:rsidRPr="00931B42" w:rsidRDefault="006F51B9" w:rsidP="006F51B9">
                          <w:pPr>
                            <w:pStyle w:val="Caption"/>
                            <w:rPr>
                              <w:noProof/>
                              <w:sz w:val="22"/>
                              <w:szCs w:val="22"/>
                            </w:rPr>
                          </w:pPr>
                          <w:r>
                            <w:t xml:space="preserve">Figure </w:t>
                          </w:r>
                          <w:fldSimple w:instr=" SEQ Figure \* ARABIC ">
                            <w:r w:rsidR="00E512B4">
                              <w:rPr>
                                <w:noProof/>
                              </w:rPr>
                              <w:t>2</w:t>
                            </w:r>
                          </w:fldSimple>
                          <w:r>
                            <w:t xml:space="preserve">- The ZND Model of Detonation, </w:t>
                          </w:r>
                          <w:sdt>
                            <w:sdtPr>
                              <w:id w:val="1864235781"/>
                              <w:citation/>
                            </w:sdtPr>
                            <w:sdtContent>
                              <w:r w:rsidR="002423BB">
                                <w:fldChar w:fldCharType="begin"/>
                              </w:r>
                              <w:r w:rsidR="002423BB">
                                <w:instrText xml:space="preserve"> CITATION Min15 \l 2057 </w:instrText>
                              </w:r>
                              <w:r w:rsidR="002423BB">
                                <w:fldChar w:fldCharType="separate"/>
                              </w:r>
                              <w:r w:rsidR="002423BB" w:rsidRPr="002423BB">
                                <w:rPr>
                                  <w:noProof/>
                                </w:rPr>
                                <w:t>[10]</w:t>
                              </w:r>
                              <w:r w:rsidR="002423BB">
                                <w:fldChar w:fldCharType="end"/>
                              </w:r>
                            </w:sdtContent>
                          </w:sdt>
                        </w:p>
                      </w:txbxContent>
                    </v:textbox>
                    <w10:wrap type="topAndBottom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88960" behindDoc="0" locked="0" layoutInCell="1" allowOverlap="1" wp14:anchorId="6F7CC8A3" wp14:editId="5C1FEC8D">
                <wp:simplePos x="0" y="0"/>
                <wp:positionH relativeFrom="margin">
                  <wp:align>center</wp:align>
                </wp:positionH>
                <wp:positionV relativeFrom="paragraph">
                  <wp:posOffset>2265103</wp:posOffset>
                </wp:positionV>
                <wp:extent cx="3020291" cy="2127856"/>
                <wp:effectExtent l="0" t="0" r="8890" b="6350"/>
                <wp:wrapTopAndBottom/>
                <wp:docPr id="1189138272" name="Picture 24" descr="deal detonation ZND process. | Download Scientific Diagram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al detonation ZND process. | Download Scientific Diagram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20291" cy="212785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CD5C6B">
            <w:t xml:space="preserve">For a detonation to propagate through a material, </w:t>
          </w:r>
          <w:r w:rsidR="003F7121">
            <w:t xml:space="preserve">a shockwave </w:t>
          </w:r>
          <w:r w:rsidR="00D100DE">
            <w:t>need</w:t>
          </w:r>
          <w:r w:rsidR="009D435A">
            <w:t xml:space="preserve">s to progress through the explosive to continue the chemical reaction. </w:t>
          </w:r>
          <w:r w:rsidR="0010560E">
            <w:t xml:space="preserve">As outlined in the </w:t>
          </w:r>
          <w:proofErr w:type="spellStart"/>
          <w:r w:rsidR="0010560E" w:rsidRPr="0010560E">
            <w:t>Zeldovich</w:t>
          </w:r>
          <w:proofErr w:type="spellEnd"/>
          <w:r w:rsidR="0010560E" w:rsidRPr="0010560E">
            <w:t>–von Neumann–Döring</w:t>
          </w:r>
          <w:r w:rsidR="0010560E">
            <w:t xml:space="preserve"> </w:t>
          </w:r>
          <w:r w:rsidR="00890357">
            <w:t>model</w:t>
          </w:r>
          <w:r w:rsidR="00501CD6">
            <w:t xml:space="preserve">, shown in </w:t>
          </w:r>
          <w:r w:rsidR="00777798">
            <w:t>Figure 2</w:t>
          </w:r>
          <w:r w:rsidR="006E130E">
            <w:t>, below</w:t>
          </w:r>
          <w:r w:rsidR="00890357">
            <w:t xml:space="preserve">, there is an initial </w:t>
          </w:r>
          <w:r w:rsidR="006624E4">
            <w:t xml:space="preserve">shock front, the </w:t>
          </w:r>
          <w:r w:rsidR="00B72341">
            <w:t>von Neumann spike, where the explosive is compressed, resulting in high pressure and temperature</w:t>
          </w:r>
          <w:sdt>
            <w:sdtPr>
              <w:id w:val="702679668"/>
              <w:citation/>
            </w:sdtPr>
            <w:sdtContent>
              <w:r w:rsidR="00CE5ABA">
                <w:fldChar w:fldCharType="begin"/>
              </w:r>
              <w:r w:rsidR="00CE5ABA">
                <w:instrText xml:space="preserve"> CITATION Min15 \l 2057 </w:instrText>
              </w:r>
              <w:r w:rsidR="00CE5ABA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[8]</w:t>
              </w:r>
              <w:r w:rsidR="00CE5ABA">
                <w:fldChar w:fldCharType="end"/>
              </w:r>
            </w:sdtContent>
          </w:sdt>
          <w:r w:rsidR="00B72341">
            <w:t xml:space="preserve">. </w:t>
          </w:r>
          <w:r w:rsidR="00F70B2D">
            <w:t>This is followed by the reaction zone, where the chemical reaction takes place, before finally the expansion zone, where the products of detonat</w:t>
          </w:r>
          <w:r w:rsidR="00C57029">
            <w:t>ion expand out</w:t>
          </w:r>
          <w:r w:rsidR="00DA42E2">
            <w:t xml:space="preserve">. </w:t>
          </w:r>
          <w:r w:rsidR="000E2E27">
            <w:t>However</w:t>
          </w:r>
          <w:r w:rsidR="00C61737">
            <w:t>, all homogenous explosives have a</w:t>
          </w:r>
          <w:r w:rsidR="00DD2E59">
            <w:t xml:space="preserve"> point below which the </w:t>
          </w:r>
          <w:r w:rsidR="00957047">
            <w:t>detonation cannot be sustained</w:t>
          </w:r>
          <w:r w:rsidR="00DD2E59">
            <w:t>, called the critical diameter</w:t>
          </w:r>
          <w:r w:rsidR="006E40F8">
            <w:t xml:space="preserve">. </w:t>
          </w:r>
          <w:r w:rsidR="00DD2E59">
            <w:t xml:space="preserve">Below this size, </w:t>
          </w:r>
          <w:r w:rsidR="005A0BE7">
            <w:t xml:space="preserve">the </w:t>
          </w:r>
          <w:r w:rsidR="00903299">
            <w:t xml:space="preserve">wave front in the material is unstable, </w:t>
          </w:r>
          <w:r w:rsidR="00BB22A2">
            <w:t>with a reduced velocity of detonation</w:t>
          </w:r>
          <w:r w:rsidR="008F392F">
            <w:t xml:space="preserve">, </w:t>
          </w:r>
          <w:proofErr w:type="gramStart"/>
          <w:r w:rsidR="008F392F">
            <w:t>as a result of</w:t>
          </w:r>
          <w:proofErr w:type="gramEnd"/>
          <w:r w:rsidR="005B2D97">
            <w:t xml:space="preserve"> energy loses ‘sideways’, </w:t>
          </w:r>
          <w:r w:rsidR="00BC5A8B">
            <w:t>away from the direction the wave is progressing</w:t>
          </w:r>
          <w:sdt>
            <w:sdtPr>
              <w:id w:val="-308096457"/>
              <w:citation/>
            </w:sdtPr>
            <w:sdtContent>
              <w:r w:rsidR="00B17A16">
                <w:fldChar w:fldCharType="begin"/>
              </w:r>
              <w:r w:rsidR="00B17A16">
                <w:instrText xml:space="preserve"> CITATION Jac22 \l 2057 </w:instrText>
              </w:r>
              <w:r w:rsidR="00B17A16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[3]</w:t>
              </w:r>
              <w:r w:rsidR="00B17A16">
                <w:fldChar w:fldCharType="end"/>
              </w:r>
            </w:sdtContent>
          </w:sdt>
          <w:r w:rsidR="00BC5A8B">
            <w:t xml:space="preserve">. </w:t>
          </w:r>
          <w:r w:rsidR="00AE54F4">
            <w:t xml:space="preserve">The critical diameter of </w:t>
          </w:r>
          <w:r w:rsidR="00D55FB6">
            <w:t xml:space="preserve">materials varies significantly, </w:t>
          </w:r>
          <w:r w:rsidR="00940A3C">
            <w:t xml:space="preserve">and unlike </w:t>
          </w:r>
          <w:r w:rsidR="00A05876">
            <w:t xml:space="preserve">parameters such a sensitivity, cannot be assumed based on the explosive group it fits within. </w:t>
          </w:r>
        </w:p>
        <w:p w14:paraId="44C55A1A" w14:textId="4781E9B8" w:rsidR="0086386A" w:rsidRDefault="0086386A" w:rsidP="00517429">
          <w:pPr>
            <w:spacing w:line="278" w:lineRule="auto"/>
          </w:pPr>
        </w:p>
        <w:p w14:paraId="07F60D75" w14:textId="184232D0" w:rsidR="0086386A" w:rsidRDefault="0086386A" w:rsidP="00517429">
          <w:pPr>
            <w:spacing w:line="278" w:lineRule="auto"/>
          </w:pPr>
          <w:r>
            <w:t xml:space="preserve">The two explosives picked for this paper </w:t>
          </w:r>
          <w:r w:rsidR="00E15C48">
            <w:t xml:space="preserve">both see significant usage as military explosives for </w:t>
          </w:r>
          <w:proofErr w:type="gramStart"/>
          <w:r w:rsidR="00E15C48">
            <w:t>a number of</w:t>
          </w:r>
          <w:proofErr w:type="gramEnd"/>
          <w:r w:rsidR="00E15C48">
            <w:t xml:space="preserve"> </w:t>
          </w:r>
          <w:r w:rsidR="00B4165D">
            <w:t>reasons</w:t>
          </w:r>
          <w:r w:rsidR="00E15C48">
            <w:t xml:space="preserve">, one of which is their </w:t>
          </w:r>
          <w:r w:rsidR="009868C8">
            <w:t xml:space="preserve">low critical diameters. </w:t>
          </w:r>
          <w:r w:rsidR="00682D43">
            <w:t xml:space="preserve">The exact value of the critical diameter of lead </w:t>
          </w:r>
          <w:proofErr w:type="spellStart"/>
          <w:r w:rsidR="00682D43">
            <w:t>azide</w:t>
          </w:r>
          <w:proofErr w:type="spellEnd"/>
          <w:r w:rsidR="00682D43">
            <w:t xml:space="preserve"> is hard to state, due to its extremely low value. </w:t>
          </w:r>
          <w:r w:rsidR="003030A6">
            <w:t>Laurence Livermore National Laboratories</w:t>
          </w:r>
          <w:r w:rsidR="00DA78EC">
            <w:t xml:space="preserve"> (LLNL)</w:t>
          </w:r>
          <w:r w:rsidR="003030A6">
            <w:t xml:space="preserve"> gives </w:t>
          </w:r>
          <w:r w:rsidR="00DA6C31">
            <w:t>a value of 0.4-0.6</w:t>
          </w:r>
          <w:r w:rsidR="00734423">
            <w:t xml:space="preserve"> </w:t>
          </w:r>
          <w:r w:rsidR="00DA6C31">
            <w:t>mm as the critical diameter</w:t>
          </w:r>
          <w:sdt>
            <w:sdtPr>
              <w:id w:val="-1637026633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Dob85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6C3721">
                <w:fldChar w:fldCharType="end"/>
              </w:r>
            </w:sdtContent>
          </w:sdt>
          <w:r w:rsidR="00DA6C31">
            <w:t xml:space="preserve">, </w:t>
          </w:r>
          <w:r w:rsidR="00691BFE">
            <w:t xml:space="preserve">Peter Jung reported </w:t>
          </w:r>
          <w:r w:rsidR="003C0705">
            <w:t xml:space="preserve">steady state velocities at sizes down to 50 </w:t>
          </w:r>
          <w:r w:rsidR="003C0705" w:rsidRPr="003C0705">
            <w:t>µm</w:t>
          </w:r>
          <w:sdt>
            <w:sdtPr>
              <w:id w:val="278306704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Jun06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[9]</w:t>
              </w:r>
              <w:r w:rsidR="006C3721">
                <w:fldChar w:fldCharType="end"/>
              </w:r>
            </w:sdtContent>
          </w:sdt>
          <w:r w:rsidR="00FD2137">
            <w:t>, or 0.05 mm, while finally Bowden and McLaren reported steady detonations down to 0.02 mm</w:t>
          </w:r>
          <w:sdt>
            <w:sdtPr>
              <w:id w:val="-574433651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Bow55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[10]</w:t>
              </w:r>
              <w:r w:rsidR="006C3721">
                <w:fldChar w:fldCharType="end"/>
              </w:r>
            </w:sdtContent>
          </w:sdt>
          <w:r w:rsidR="00734423">
            <w:t xml:space="preserve">. </w:t>
          </w:r>
          <w:r w:rsidR="00286EF5">
            <w:t xml:space="preserve">From </w:t>
          </w:r>
          <w:r w:rsidR="00EB5D08">
            <w:t xml:space="preserve">Jungs work, </w:t>
          </w:r>
          <w:r w:rsidR="00AB654F">
            <w:t xml:space="preserve">this stable detonation can be </w:t>
          </w:r>
          <w:r w:rsidR="00AB654F">
            <w:lastRenderedPageBreak/>
            <w:t>seen less than 1</w:t>
          </w:r>
          <w:r w:rsidR="00AB654F" w:rsidRPr="00AB654F">
            <w:t>µ</w:t>
          </w:r>
          <w:r w:rsidR="00AB654F">
            <w:t xml:space="preserve">s after initiation, </w:t>
          </w:r>
          <w:r w:rsidR="00AD2EFB">
            <w:t xml:space="preserve">at </w:t>
          </w:r>
          <w:proofErr w:type="gramStart"/>
          <w:r w:rsidR="00AD2EFB">
            <w:t>a distance of 0</w:t>
          </w:r>
          <w:proofErr w:type="gramEnd"/>
          <w:r w:rsidR="00AD2EFB">
            <w:t xml:space="preserve">.5mm into the </w:t>
          </w:r>
          <w:r w:rsidR="00EF647D">
            <w:t>charge</w:t>
          </w:r>
          <w:sdt>
            <w:sdtPr>
              <w:id w:val="1992059879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Jun06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[9]</w:t>
              </w:r>
              <w:r w:rsidR="006C3721">
                <w:fldChar w:fldCharType="end"/>
              </w:r>
            </w:sdtContent>
          </w:sdt>
          <w:r w:rsidR="00EF647D">
            <w:t xml:space="preserve">. </w:t>
          </w:r>
          <w:r w:rsidR="00540442">
            <w:t xml:space="preserve">This small critical diameter and </w:t>
          </w:r>
          <w:r w:rsidR="00DA61E2">
            <w:t xml:space="preserve">short distance from initiation to stable detonation makes lead </w:t>
          </w:r>
          <w:proofErr w:type="spellStart"/>
          <w:r w:rsidR="00DA61E2">
            <w:t>azide</w:t>
          </w:r>
          <w:proofErr w:type="spellEnd"/>
          <w:r w:rsidR="00DA61E2">
            <w:t xml:space="preserve"> ideal for military applications, as </w:t>
          </w:r>
          <w:r w:rsidR="009635A5">
            <w:t xml:space="preserve">a small charge can be used to initiate a secondary. </w:t>
          </w:r>
        </w:p>
        <w:p w14:paraId="24D3B83D" w14:textId="415E7721" w:rsidR="00253FCD" w:rsidRDefault="00826758" w:rsidP="00517429">
          <w:pPr>
            <w:spacing w:line="278" w:lineRule="auto"/>
          </w:pPr>
          <w:r>
            <w:t xml:space="preserve">HMX, the secondary explosive being </w:t>
          </w:r>
          <w:r w:rsidR="005162A0">
            <w:t>looked at for this paper, is</w:t>
          </w:r>
          <w:r w:rsidR="00B22066">
            <w:t xml:space="preserve"> normally mixed wit</w:t>
          </w:r>
          <w:r w:rsidR="00F34383">
            <w:t xml:space="preserve">h other materials, both energetic and inert, </w:t>
          </w:r>
          <w:proofErr w:type="gramStart"/>
          <w:r w:rsidR="00F34383">
            <w:t>in order to</w:t>
          </w:r>
          <w:proofErr w:type="gramEnd"/>
          <w:r w:rsidR="006543E2">
            <w:t xml:space="preserve"> change its energetic and explosive properties. </w:t>
          </w:r>
          <w:r w:rsidR="00DA78EC">
            <w:t xml:space="preserve">LLNL gives </w:t>
          </w:r>
          <w:r w:rsidR="00A14FD6">
            <w:t>a critical diameter for a 90/10 HMX/Wax explosive as 6-7 mm</w:t>
          </w:r>
          <w:sdt>
            <w:sdtPr>
              <w:id w:val="-965963705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Dob85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6C3721">
                <w:fldChar w:fldCharType="end"/>
              </w:r>
            </w:sdtContent>
          </w:sdt>
          <w:r w:rsidR="005E0152">
            <w:t xml:space="preserve">. </w:t>
          </w:r>
          <w:r w:rsidR="00C766F5">
            <w:t>However,</w:t>
          </w:r>
          <w:r w:rsidR="008F34BF">
            <w:t xml:space="preserve"> PBX</w:t>
          </w:r>
          <w:r w:rsidR="005E0152">
            <w:t xml:space="preserve">-9501, with a 95% HMX content, </w:t>
          </w:r>
          <w:r w:rsidR="00A2302B">
            <w:t xml:space="preserve">is reported to have a critical diameter of below 1.52 mm, and </w:t>
          </w:r>
          <w:r w:rsidR="009C2154">
            <w:t xml:space="preserve">PBX-9404, with a content of 94% HMX, </w:t>
          </w:r>
          <w:r w:rsidR="006E40F8">
            <w:t>has an unconfined critical diameter of 1.18 mm, and a confined diameter of 1.02 mm</w:t>
          </w:r>
          <w:sdt>
            <w:sdtPr>
              <w:id w:val="-2084832618"/>
              <w:citation/>
            </w:sdtPr>
            <w:sdtContent>
              <w:r w:rsidR="006C3721">
                <w:fldChar w:fldCharType="begin"/>
              </w:r>
              <w:r w:rsidR="006C3721">
                <w:instrText xml:space="preserve"> CITATION Dob85 \l 2057 </w:instrText>
              </w:r>
              <w:r w:rsidR="006C372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6C3721">
                <w:fldChar w:fldCharType="end"/>
              </w:r>
            </w:sdtContent>
          </w:sdt>
          <w:r w:rsidR="006E40F8">
            <w:t>.</w:t>
          </w:r>
          <w:r w:rsidR="00F210CD">
            <w:t xml:space="preserve"> </w:t>
          </w:r>
          <w:r w:rsidR="00B315C2">
            <w:t>Morand et al.</w:t>
          </w:r>
          <w:r w:rsidR="00982024">
            <w:t xml:space="preserve"> on the other hand</w:t>
          </w:r>
          <w:r w:rsidR="00B315C2">
            <w:t xml:space="preserve"> </w:t>
          </w:r>
          <w:r w:rsidR="0037354E">
            <w:t>initiate</w:t>
          </w:r>
          <w:r w:rsidR="00982024">
            <w:t xml:space="preserve"> pure</w:t>
          </w:r>
          <w:r w:rsidR="0037354E">
            <w:t xml:space="preserve"> HMX of a diameter of 4mm using a number of </w:t>
          </w:r>
          <w:proofErr w:type="gramStart"/>
          <w:r w:rsidR="0037354E">
            <w:t>stimulus</w:t>
          </w:r>
          <w:proofErr w:type="gramEnd"/>
          <w:sdt>
            <w:sdtPr>
              <w:id w:val="-955483514"/>
              <w:citation/>
            </w:sdtPr>
            <w:sdtContent>
              <w:r w:rsidR="00D929B8">
                <w:fldChar w:fldCharType="begin"/>
              </w:r>
              <w:r w:rsidR="00D929B8">
                <w:instrText xml:space="preserve"> CITATION Mor26 \l 2057 </w:instrText>
              </w:r>
              <w:r w:rsidR="00D929B8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[11]</w:t>
              </w:r>
              <w:r w:rsidR="00D929B8">
                <w:fldChar w:fldCharType="end"/>
              </w:r>
            </w:sdtContent>
          </w:sdt>
          <w:r w:rsidR="009B3E3A">
            <w:t xml:space="preserve">. </w:t>
          </w:r>
          <w:r w:rsidR="00AF50F4">
            <w:t xml:space="preserve">The exact critical diameter of HMX will therefore be slightly different from </w:t>
          </w:r>
          <w:r w:rsidR="0050660D">
            <w:t xml:space="preserve">the numbers listed here, sitting somewhere below 4 mm, </w:t>
          </w:r>
          <w:r w:rsidR="00520127">
            <w:t xml:space="preserve">but similar to lead </w:t>
          </w:r>
          <w:proofErr w:type="spellStart"/>
          <w:r w:rsidR="00520127">
            <w:t>azide</w:t>
          </w:r>
          <w:proofErr w:type="spellEnd"/>
          <w:r w:rsidR="00520127">
            <w:t xml:space="preserve"> is an extremely small size, which again is a reason it sees so much use in military applications.</w:t>
          </w:r>
        </w:p>
        <w:p w14:paraId="74966DC2" w14:textId="29185A0C" w:rsidR="00B56F98" w:rsidRDefault="00C66973" w:rsidP="00517429">
          <w:pPr>
            <w:spacing w:line="278" w:lineRule="auto"/>
          </w:pPr>
          <w:r>
            <w:t>It should be noted that both explosives picked have ext</w:t>
          </w:r>
          <w:r w:rsidR="00945EEF">
            <w:t xml:space="preserve">remely small critical diameters, and that not all explosives are like this. </w:t>
          </w:r>
          <w:r w:rsidR="003C7DE2">
            <w:t xml:space="preserve">The work by </w:t>
          </w:r>
          <w:proofErr w:type="spellStart"/>
          <w:r w:rsidR="003C7DE2">
            <w:t>Presles</w:t>
          </w:r>
          <w:proofErr w:type="spellEnd"/>
          <w:r w:rsidR="003C7DE2">
            <w:t xml:space="preserve">, </w:t>
          </w:r>
          <w:r w:rsidR="00870A90">
            <w:t xml:space="preserve">Vidal and </w:t>
          </w:r>
          <w:proofErr w:type="spellStart"/>
          <w:r w:rsidR="00870A90">
            <w:t>Khasainov</w:t>
          </w:r>
          <w:proofErr w:type="spellEnd"/>
          <w:r w:rsidR="00870A90">
            <w:t xml:space="preserve"> on the critical diameter of ammonium nitrate for example, revealed a </w:t>
          </w:r>
          <w:r w:rsidR="005C6258">
            <w:t xml:space="preserve">weakly confined </w:t>
          </w:r>
          <w:r w:rsidR="00FF0F9D">
            <w:t>critical diameter of between 55 and 81mm in PVC piping</w:t>
          </w:r>
          <w:sdt>
            <w:sdtPr>
              <w:id w:val="-595323511"/>
              <w:citation/>
            </w:sdtPr>
            <w:sdtContent>
              <w:r w:rsidR="007D5411">
                <w:fldChar w:fldCharType="begin"/>
              </w:r>
              <w:r w:rsidR="007D5411">
                <w:instrText xml:space="preserve"> CITATION Pre09 \l 2057 </w:instrText>
              </w:r>
              <w:r w:rsidR="007D541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[12]</w:t>
              </w:r>
              <w:r w:rsidR="007D5411">
                <w:fldChar w:fldCharType="end"/>
              </w:r>
            </w:sdtContent>
          </w:sdt>
          <w:r w:rsidR="0073100E">
            <w:t xml:space="preserve">, while Zhang gives the </w:t>
          </w:r>
          <w:r w:rsidR="000E098B">
            <w:t>critical diameter as 100mm</w:t>
          </w:r>
          <w:sdt>
            <w:sdtPr>
              <w:id w:val="840048000"/>
              <w:citation/>
            </w:sdtPr>
            <w:sdtContent>
              <w:r w:rsidR="00C16349">
                <w:fldChar w:fldCharType="begin"/>
              </w:r>
              <w:r w:rsidR="00C16349">
                <w:instrText xml:space="preserve"> CITATION Zha16 \l 2057 </w:instrText>
              </w:r>
              <w:r w:rsidR="00C16349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[13]</w:t>
              </w:r>
              <w:r w:rsidR="00C16349">
                <w:fldChar w:fldCharType="end"/>
              </w:r>
            </w:sdtContent>
          </w:sdt>
          <w:r w:rsidR="000E098B">
            <w:t>. This highlights the importance of selecting the correct explosive for the application</w:t>
          </w:r>
          <w:r w:rsidR="008B4531">
            <w:t xml:space="preserve">. </w:t>
          </w:r>
          <w:r w:rsidR="001532C8">
            <w:t xml:space="preserve">Lead </w:t>
          </w:r>
          <w:proofErr w:type="spellStart"/>
          <w:r w:rsidR="001532C8">
            <w:t>azide</w:t>
          </w:r>
          <w:proofErr w:type="spellEnd"/>
          <w:r w:rsidR="001532C8">
            <w:t xml:space="preserve"> and HMX with their small critical diameters, could be used for something such as a hand grenade, </w:t>
          </w:r>
          <w:r w:rsidR="00B56F98">
            <w:t xml:space="preserve">which ammonium nitrate couldn’t without significantly increasing the size of the weapon. </w:t>
          </w:r>
        </w:p>
        <w:p w14:paraId="58E6FBB6" w14:textId="77777777" w:rsidR="00D97864" w:rsidRDefault="00D97864" w:rsidP="00517429">
          <w:pPr>
            <w:spacing w:line="278" w:lineRule="auto"/>
          </w:pPr>
        </w:p>
        <w:p w14:paraId="09C63F20" w14:textId="73C62B2C" w:rsidR="00D97864" w:rsidRDefault="00D97864" w:rsidP="00D97864">
          <w:pPr>
            <w:pStyle w:val="Heading2"/>
          </w:pPr>
          <w:bookmarkStart w:id="12" w:name="_Toc217043124"/>
          <w:bookmarkStart w:id="13" w:name="_Toc217045797"/>
          <w:r>
            <w:t>Density</w:t>
          </w:r>
          <w:bookmarkEnd w:id="12"/>
          <w:bookmarkEnd w:id="13"/>
        </w:p>
        <w:p w14:paraId="66C7BBF5" w14:textId="46CF03AE" w:rsidR="00F77EDA" w:rsidRDefault="00CE09C0" w:rsidP="00517429">
          <w:pPr>
            <w:spacing w:line="278" w:lineRule="auto"/>
          </w:pPr>
          <w:r>
            <w:t xml:space="preserve">The density of an explosive material being used in a munition can have a significant effect on the performance of it. For </w:t>
          </w:r>
          <w:r w:rsidR="008F4ADA">
            <w:t>each</w:t>
          </w:r>
          <w:r>
            <w:t xml:space="preserve"> homogenous explosives, there is a </w:t>
          </w:r>
          <w:r w:rsidR="00A55D7E">
            <w:t>Theoretical Maximum Density</w:t>
          </w:r>
          <w:r w:rsidR="00D46835">
            <w:t xml:space="preserve"> (TMD)</w:t>
          </w:r>
          <w:r w:rsidR="00545C62">
            <w:t xml:space="preserve">, which is the </w:t>
          </w:r>
          <w:r w:rsidR="004703DA">
            <w:t>“mass per volume unit of a single crystal” of that explosive</w:t>
          </w:r>
          <w:sdt>
            <w:sdtPr>
              <w:id w:val="1470091867"/>
              <w:citation/>
            </w:sdtPr>
            <w:sdtContent>
              <w:r w:rsidR="009320C1">
                <w:fldChar w:fldCharType="begin"/>
              </w:r>
              <w:r w:rsidR="009320C1">
                <w:instrText xml:space="preserve"> CITATION Wei00 \l 2057 </w:instrText>
              </w:r>
              <w:r w:rsidR="009320C1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[14]</w:t>
              </w:r>
              <w:r w:rsidR="009320C1">
                <w:fldChar w:fldCharType="end"/>
              </w:r>
            </w:sdtContent>
          </w:sdt>
          <w:r w:rsidR="004703DA">
            <w:t xml:space="preserve">. </w:t>
          </w:r>
          <w:r w:rsidR="00C80948">
            <w:t>The aim during production of munitions is to consolidate</w:t>
          </w:r>
          <w:r w:rsidR="004908DC">
            <w:t xml:space="preserve"> the material to be as close to this theoretical maximum as possible</w:t>
          </w:r>
          <w:sdt>
            <w:sdtPr>
              <w:id w:val="1166125019"/>
              <w:citation/>
            </w:sdtPr>
            <w:sdtContent>
              <w:r w:rsidR="0097635D">
                <w:fldChar w:fldCharType="begin"/>
              </w:r>
              <w:r w:rsidR="0097635D">
                <w:instrText xml:space="preserve"> CITATION Jac22 \l 2057 </w:instrText>
              </w:r>
              <w:r w:rsidR="0097635D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[3]</w:t>
              </w:r>
              <w:r w:rsidR="0097635D">
                <w:fldChar w:fldCharType="end"/>
              </w:r>
            </w:sdtContent>
          </w:sdt>
          <w:r w:rsidR="004908DC">
            <w:t xml:space="preserve">. As the density increases, the velocity </w:t>
          </w:r>
          <w:r w:rsidR="002A5EDF">
            <w:t xml:space="preserve">of detonation of the material will increase, which drives </w:t>
          </w:r>
          <w:r w:rsidR="00CB0EDA">
            <w:t xml:space="preserve">increased performance. Additionally, </w:t>
          </w:r>
          <w:r w:rsidR="00F1639B">
            <w:t xml:space="preserve">there is far less work conducted on the stability and safety properties of </w:t>
          </w:r>
          <w:r w:rsidR="002D22A8">
            <w:t>low-density</w:t>
          </w:r>
          <w:r w:rsidR="00F1639B">
            <w:t xml:space="preserve"> energetics, resulting </w:t>
          </w:r>
          <w:r w:rsidR="002D22A8">
            <w:t>in increased risk associated with their usage</w:t>
          </w:r>
          <w:sdt>
            <w:sdtPr>
              <w:id w:val="-805305685"/>
              <w:citation/>
            </w:sdtPr>
            <w:sdtContent>
              <w:r w:rsidR="00FC60A2">
                <w:fldChar w:fldCharType="begin"/>
              </w:r>
              <w:r w:rsidR="00FC60A2">
                <w:instrText xml:space="preserve"> CITATION Gar14 \l 2057 </w:instrText>
              </w:r>
              <w:r w:rsidR="00FC60A2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[6]</w:t>
              </w:r>
              <w:r w:rsidR="00FC60A2">
                <w:fldChar w:fldCharType="end"/>
              </w:r>
            </w:sdtContent>
          </w:sdt>
          <w:r w:rsidR="002D22A8">
            <w:t>.</w:t>
          </w:r>
        </w:p>
        <w:p w14:paraId="4B1484E0" w14:textId="06182E4A" w:rsidR="002F6DCC" w:rsidRDefault="007B54DE" w:rsidP="00517429">
          <w:pPr>
            <w:spacing w:line="278" w:lineRule="auto"/>
          </w:pPr>
          <w:r>
            <w:t xml:space="preserve">It is however important to note </w:t>
          </w:r>
          <w:r w:rsidR="00F77EDA">
            <w:t xml:space="preserve">the </w:t>
          </w:r>
          <w:r w:rsidR="00163C2F">
            <w:t xml:space="preserve">risk of dead pressing in explosives. </w:t>
          </w:r>
          <w:r w:rsidR="00F3136E">
            <w:t xml:space="preserve">This is a phenomenon that occurs in some primary explosives, where the </w:t>
          </w:r>
          <w:r w:rsidR="00554F9A">
            <w:t>material fails to successfully detonate</w:t>
          </w:r>
          <w:sdt>
            <w:sdtPr>
              <w:id w:val="-1788112710"/>
              <w:citation/>
            </w:sdtPr>
            <w:sdtContent>
              <w:r w:rsidR="00C766F5">
                <w:fldChar w:fldCharType="begin"/>
              </w:r>
              <w:r w:rsidR="00C766F5">
                <w:instrText xml:space="preserve"> CITATION Dic93 \l 2057 </w:instrText>
              </w:r>
              <w:r w:rsidR="00C766F5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[15]</w:t>
              </w:r>
              <w:r w:rsidR="00C766F5">
                <w:fldChar w:fldCharType="end"/>
              </w:r>
            </w:sdtContent>
          </w:sdt>
          <w:r w:rsidR="00BD05C4">
            <w:t xml:space="preserve">. This occurs when the material is consolidated, normally through pressing, to extremely high densities approaching the TMD of the material. </w:t>
          </w:r>
          <w:r w:rsidR="00A979BD">
            <w:t>Through the pressing, the porosity of the material is reduce</w:t>
          </w:r>
          <w:r w:rsidR="00FC60A2">
            <w:t>d</w:t>
          </w:r>
          <w:r w:rsidR="00A979BD">
            <w:t xml:space="preserve">, removing the voids </w:t>
          </w:r>
          <w:r w:rsidR="004D6325">
            <w:t>that are required for detonation according to the theory of hot spots</w:t>
          </w:r>
          <w:sdt>
            <w:sdtPr>
              <w:id w:val="1482809700"/>
              <w:citation/>
            </w:sdtPr>
            <w:sdtContent>
              <w:r w:rsidR="000216AF">
                <w:fldChar w:fldCharType="begin"/>
              </w:r>
              <w:r w:rsidR="000216AF">
                <w:instrText xml:space="preserve"> CITATION Dic93 \l 2057 </w:instrText>
              </w:r>
              <w:r w:rsidR="000216AF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[15]</w:t>
              </w:r>
              <w:r w:rsidR="000216AF">
                <w:fldChar w:fldCharType="end"/>
              </w:r>
            </w:sdtContent>
          </w:sdt>
          <w:r w:rsidR="004D6325">
            <w:t xml:space="preserve">. </w:t>
          </w:r>
          <w:r w:rsidR="002522DF">
            <w:t>Since there are no voids to form hot spots in the material, the material fails to initiate</w:t>
          </w:r>
          <w:r w:rsidR="008876DD">
            <w:t xml:space="preserve">, rendering it useless without reprocessing. For this reason, primary explosives are not pressed to as high densities as secondary explosives, to avoid the risk of this occurring. </w:t>
          </w:r>
        </w:p>
        <w:p w14:paraId="19520BA4" w14:textId="592DD40A" w:rsidR="00352707" w:rsidRDefault="00352707" w:rsidP="00517429">
          <w:pPr>
            <w:spacing w:line="278" w:lineRule="auto"/>
          </w:pPr>
          <w:r>
            <w:t xml:space="preserve">The </w:t>
          </w:r>
          <w:r w:rsidR="00BD379C">
            <w:t>T</w:t>
          </w:r>
          <w:r>
            <w:t xml:space="preserve">heoretical Maximum Density of HMX has </w:t>
          </w:r>
          <w:r w:rsidR="00BD379C">
            <w:t xml:space="preserve">been </w:t>
          </w:r>
          <w:r w:rsidR="00AF6BAB">
            <w:t>calculated to be 1.902 g/c</w:t>
          </w:r>
          <w:r w:rsidR="00920DB4">
            <w:t>m</w:t>
          </w:r>
          <w:r w:rsidR="00920DB4" w:rsidRPr="00920DB4">
            <w:rPr>
              <w:vertAlign w:val="superscript"/>
            </w:rPr>
            <w:t>3</w:t>
          </w:r>
          <w:sdt>
            <w:sdtPr>
              <w:rPr>
                <w:vertAlign w:val="superscript"/>
              </w:rPr>
              <w:id w:val="29699438"/>
              <w:citation/>
            </w:sdtPr>
            <w:sdtContent>
              <w:r w:rsidR="00A9137B">
                <w:rPr>
                  <w:vertAlign w:val="superscript"/>
                </w:rPr>
                <w:fldChar w:fldCharType="begin"/>
              </w:r>
              <w:r w:rsidR="00A9137B">
                <w:instrText xml:space="preserve"> CITATION Wei00 \l 2057 </w:instrText>
              </w:r>
              <w:r w:rsidR="00A9137B">
                <w:rPr>
                  <w:vertAlign w:val="superscript"/>
                </w:rPr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[14]</w:t>
              </w:r>
              <w:r w:rsidR="00A9137B">
                <w:rPr>
                  <w:vertAlign w:val="superscript"/>
                </w:rPr>
                <w:fldChar w:fldCharType="end"/>
              </w:r>
            </w:sdtContent>
          </w:sdt>
          <w:r w:rsidR="00920DB4">
            <w:t xml:space="preserve">. </w:t>
          </w:r>
          <w:r w:rsidR="00811962">
            <w:t xml:space="preserve">Graph 1 shows the impact that </w:t>
          </w:r>
          <w:r w:rsidR="00AD04E1">
            <w:t>the density of HMX has on the velocity of detonation</w:t>
          </w:r>
          <w:r w:rsidR="008C7A1B">
            <w:t>.</w:t>
          </w:r>
        </w:p>
        <w:p w14:paraId="61C6EAA0" w14:textId="398FBE8C" w:rsidR="00AD04E1" w:rsidRDefault="00AD04E1" w:rsidP="00517429">
          <w:pPr>
            <w:spacing w:line="278" w:lineRule="auto"/>
          </w:pPr>
        </w:p>
        <w:p w14:paraId="6598579F" w14:textId="77777777" w:rsidR="00DB456B" w:rsidRDefault="00C27C51" w:rsidP="00DB456B">
          <w:pPr>
            <w:keepNext/>
            <w:spacing w:line="278" w:lineRule="auto"/>
          </w:pPr>
          <w:r>
            <w:rPr>
              <w:noProof/>
              <w14:ligatures w14:val="standardContextual"/>
            </w:rPr>
            <w:lastRenderedPageBreak/>
            <w:drawing>
              <wp:inline distT="0" distB="0" distL="0" distR="0" wp14:anchorId="614D9F1C" wp14:editId="5AA45190">
                <wp:extent cx="5486400" cy="3200400"/>
                <wp:effectExtent l="0" t="0" r="0" b="0"/>
                <wp:docPr id="792147497" name="Chart 10"/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1"/>
                  </a:graphicData>
                </a:graphic>
              </wp:inline>
            </w:drawing>
          </w:r>
        </w:p>
        <w:p w14:paraId="6BB89D9A" w14:textId="419895DD" w:rsidR="008C7A1B" w:rsidRDefault="00DB456B" w:rsidP="00DB456B">
          <w:pPr>
            <w:pStyle w:val="Caption"/>
          </w:pPr>
          <w:r>
            <w:t xml:space="preserve">Graph </w:t>
          </w:r>
          <w:fldSimple w:instr=" SEQ Graph \* ARABIC ">
            <w:r w:rsidR="00DC5D9C">
              <w:rPr>
                <w:noProof/>
              </w:rPr>
              <w:t>1</w:t>
            </w:r>
          </w:fldSimple>
          <w:r>
            <w:t xml:space="preserve">- The Impact of Density on the Velocity of Detonation, </w:t>
          </w:r>
          <w:sdt>
            <w:sdtPr>
              <w:id w:val="-322515341"/>
              <w:citation/>
            </w:sdtPr>
            <w:sdtContent>
              <w:r>
                <w:fldChar w:fldCharType="begin"/>
              </w:r>
              <w:r>
                <w:instrText xml:space="preserve"> CITATION Ste85 \l 2057 </w:instrText>
              </w:r>
              <w:r>
                <w:fldChar w:fldCharType="separate"/>
              </w:r>
              <w:r w:rsidR="00DC5D9C" w:rsidRPr="00DC5D9C">
                <w:rPr>
                  <w:noProof/>
                </w:rPr>
                <w:t>[16]</w:t>
              </w:r>
              <w:r>
                <w:fldChar w:fldCharType="end"/>
              </w:r>
            </w:sdtContent>
          </w:sdt>
        </w:p>
        <w:p w14:paraId="1DD22262" w14:textId="7F4FA815" w:rsidR="00A2778D" w:rsidRDefault="00A2778D" w:rsidP="00517429">
          <w:pPr>
            <w:spacing w:line="278" w:lineRule="auto"/>
          </w:pPr>
          <w:r>
            <w:t>From this graph, it is clear to see that there is a const</w:t>
          </w:r>
          <w:r w:rsidR="00035395">
            <w:t xml:space="preserve">ant increase in the velocity of </w:t>
          </w:r>
          <w:r w:rsidR="00F7110F">
            <w:t>detonation of</w:t>
          </w:r>
          <w:r w:rsidR="00035395">
            <w:t xml:space="preserve"> HMX as the density of the material increases. </w:t>
          </w:r>
          <w:r w:rsidR="00C418CA">
            <w:t>From the extremely low densities, down at 0.53 g/cm</w:t>
          </w:r>
          <w:r w:rsidR="00C418CA" w:rsidRPr="00F7110F">
            <w:rPr>
              <w:vertAlign w:val="superscript"/>
            </w:rPr>
            <w:t>3</w:t>
          </w:r>
          <w:r w:rsidR="00825632">
            <w:t>, 28% of the TMD,</w:t>
          </w:r>
          <w:r w:rsidR="00C418CA">
            <w:t xml:space="preserve"> we get a velocity of detonation of 4.00 km/s, far below the </w:t>
          </w:r>
          <w:r w:rsidR="00D679A5">
            <w:t>commonly reported velocity of detonation</w:t>
          </w:r>
          <w:sdt>
            <w:sdtPr>
              <w:id w:val="-1978519908"/>
              <w:citation/>
            </w:sdtPr>
            <w:sdtContent>
              <w:r w:rsidR="003D7D5E">
                <w:fldChar w:fldCharType="begin"/>
              </w:r>
              <w:r w:rsidR="003D7D5E">
                <w:instrText xml:space="preserve"> CITATION Ste85 \l 2057 </w:instrText>
              </w:r>
              <w:r w:rsidR="003D7D5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[16]</w:t>
              </w:r>
              <w:r w:rsidR="003D7D5E">
                <w:fldChar w:fldCharType="end"/>
              </w:r>
            </w:sdtContent>
          </w:sdt>
          <w:r w:rsidR="00D679A5">
            <w:t xml:space="preserve">. At the other </w:t>
          </w:r>
          <w:r w:rsidR="002B10A3">
            <w:t>end of the scale, at the density of 1.89</w:t>
          </w:r>
          <w:r w:rsidR="00D46835">
            <w:t xml:space="preserve"> g/cm</w:t>
          </w:r>
          <w:r w:rsidR="00D46835" w:rsidRPr="00F7110F">
            <w:rPr>
              <w:vertAlign w:val="superscript"/>
            </w:rPr>
            <w:t>3</w:t>
          </w:r>
          <w:r w:rsidR="00D46835">
            <w:t>, 99% of the TMD</w:t>
          </w:r>
          <w:r w:rsidR="001B470F">
            <w:t>, the very limit of what can be produced</w:t>
          </w:r>
          <w:r w:rsidR="00D46835">
            <w:t xml:space="preserve">, </w:t>
          </w:r>
          <w:r w:rsidR="00BB2AA2">
            <w:t xml:space="preserve">the velocity of detonation is 9.11 km/s, </w:t>
          </w:r>
          <w:r w:rsidR="001B470F">
            <w:t xml:space="preserve">well over double the </w:t>
          </w:r>
          <w:r w:rsidR="00F26D06">
            <w:t>velocity</w:t>
          </w:r>
          <w:sdt>
            <w:sdtPr>
              <w:id w:val="1841656104"/>
              <w:citation/>
            </w:sdtPr>
            <w:sdtContent>
              <w:r w:rsidR="003D7D5E">
                <w:fldChar w:fldCharType="begin"/>
              </w:r>
              <w:r w:rsidR="003D7D5E">
                <w:instrText xml:space="preserve"> CITATION Ste85 \l 2057 </w:instrText>
              </w:r>
              <w:r w:rsidR="003D7D5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[16]</w:t>
              </w:r>
              <w:r w:rsidR="003D7D5E">
                <w:fldChar w:fldCharType="end"/>
              </w:r>
            </w:sdtContent>
          </w:sdt>
          <w:r w:rsidR="00F26D06">
            <w:t xml:space="preserve">. </w:t>
          </w:r>
        </w:p>
        <w:p w14:paraId="50D4AD77" w14:textId="5BE4A1B8" w:rsidR="000D4FEE" w:rsidRDefault="000D4FEE" w:rsidP="00517429">
          <w:pPr>
            <w:spacing w:line="278" w:lineRule="auto"/>
          </w:pPr>
          <w:r>
            <w:t>This increase in the velocity of detonation has a huge impact on the effectiveness of the explosives. F</w:t>
          </w:r>
          <w:r w:rsidR="003A1BF3">
            <w:t xml:space="preserve">ocussing on fragmentation as one possible </w:t>
          </w:r>
          <w:r w:rsidR="00582144">
            <w:t>goal</w:t>
          </w:r>
          <w:r w:rsidR="003A1BF3">
            <w:t xml:space="preserve"> of a munition, </w:t>
          </w:r>
          <w:r w:rsidR="00817A91">
            <w:t xml:space="preserve">having a higher velocity of detonation results in </w:t>
          </w:r>
          <w:r w:rsidR="00FC36AC">
            <w:t>fragmentation a higher velocity</w:t>
          </w:r>
          <w:r w:rsidR="00E07065">
            <w:t>, leading to</w:t>
          </w:r>
          <w:r w:rsidR="00CD7535">
            <w:t xml:space="preserve"> a significantly</w:t>
          </w:r>
          <w:r w:rsidR="00E07065">
            <w:t xml:space="preserve"> higher kinetic energy upon impact</w:t>
          </w:r>
          <w:r w:rsidR="00FC36AC">
            <w:t xml:space="preserve">, </w:t>
          </w:r>
          <w:r w:rsidR="00E07065">
            <w:t>because of</w:t>
          </w:r>
          <w:r w:rsidR="00FC36AC">
            <w:t xml:space="preserve"> F=1/2MV</w:t>
          </w:r>
          <w:r w:rsidR="00FC36AC" w:rsidRPr="00FC36AC">
            <w:rPr>
              <w:vertAlign w:val="superscript"/>
            </w:rPr>
            <w:t>2</w:t>
          </w:r>
          <w:r w:rsidR="00FC36AC">
            <w:t xml:space="preserve">. </w:t>
          </w:r>
          <w:r w:rsidR="006C659E">
            <w:t xml:space="preserve">This can be seen in the Gurney </w:t>
          </w:r>
          <w:r w:rsidR="004A14F0">
            <w:t>constant</w:t>
          </w:r>
          <w:r w:rsidR="006C659E">
            <w:t xml:space="preserve"> of explosives. For a slower explosive, such as </w:t>
          </w:r>
          <w:r w:rsidR="00261B71">
            <w:t>HNS</w:t>
          </w:r>
          <w:r w:rsidR="0023271C">
            <w:t>, with a velocity of 5.740 km/s</w:t>
          </w:r>
          <w:r w:rsidR="00261B71">
            <w:t xml:space="preserve">, the gurney </w:t>
          </w:r>
          <w:r w:rsidR="004A14F0">
            <w:t>constant is around 2.1</w:t>
          </w:r>
          <w:sdt>
            <w:sdtPr>
              <w:id w:val="34407636"/>
              <w:citation/>
            </w:sdtPr>
            <w:sdtContent>
              <w:r w:rsidR="0078154E">
                <w:fldChar w:fldCharType="begin"/>
              </w:r>
              <w:r w:rsidR="0078154E">
                <w:instrText xml:space="preserve"> CITATION Fre23 \l 2057 </w:instrText>
              </w:r>
              <w:r w:rsidR="0078154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[17]</w:t>
              </w:r>
              <w:r w:rsidR="0078154E">
                <w:fldChar w:fldCharType="end"/>
              </w:r>
            </w:sdtContent>
          </w:sdt>
          <w:r w:rsidR="0023271C">
            <w:t xml:space="preserve">. </w:t>
          </w:r>
          <w:r w:rsidR="00E07065">
            <w:t>However,</w:t>
          </w:r>
          <w:r w:rsidR="0023271C">
            <w:t xml:space="preserve"> for HMX, at a significantly higher velocity of 9.1km/s, the gurney constant is </w:t>
          </w:r>
          <w:r w:rsidR="004458F6">
            <w:t>2.97</w:t>
          </w:r>
          <w:sdt>
            <w:sdtPr>
              <w:id w:val="-1646200941"/>
              <w:citation/>
            </w:sdtPr>
            <w:sdtContent>
              <w:r w:rsidR="0078154E">
                <w:fldChar w:fldCharType="begin"/>
              </w:r>
              <w:r w:rsidR="0078154E">
                <w:instrText xml:space="preserve"> CITATION Fre23 \l 2057 </w:instrText>
              </w:r>
              <w:r w:rsidR="0078154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[17]</w:t>
              </w:r>
              <w:r w:rsidR="0078154E">
                <w:fldChar w:fldCharType="end"/>
              </w:r>
            </w:sdtContent>
          </w:sdt>
          <w:r w:rsidR="004458F6">
            <w:t xml:space="preserve">. </w:t>
          </w:r>
          <w:r w:rsidR="002500F8">
            <w:t>While the exact</w:t>
          </w:r>
          <w:r w:rsidR="006A03E9">
            <w:t xml:space="preserve"> gurney formula depends on the model being calculated, the gurney constant is always directly proportional to the velocity of the fragmentation</w:t>
          </w:r>
          <w:r w:rsidR="00E07065">
            <w:t>, therefore increasing it results in an increased fragment velocity.</w:t>
          </w:r>
        </w:p>
        <w:p w14:paraId="6C626B6E" w14:textId="77777777" w:rsidR="001B16CE" w:rsidRDefault="001B16CE" w:rsidP="00517429">
          <w:pPr>
            <w:spacing w:line="278" w:lineRule="auto"/>
          </w:pPr>
        </w:p>
        <w:p w14:paraId="762F5DE9" w14:textId="2F099B37" w:rsidR="002F6DCC" w:rsidRDefault="002F6DCC" w:rsidP="002F6DCC">
          <w:pPr>
            <w:pStyle w:val="Heading2"/>
          </w:pPr>
          <w:bookmarkStart w:id="14" w:name="_Toc217043125"/>
          <w:bookmarkStart w:id="15" w:name="_Toc217045798"/>
          <w:r>
            <w:t>The Impact of Confinement</w:t>
          </w:r>
          <w:bookmarkEnd w:id="14"/>
          <w:bookmarkEnd w:id="15"/>
        </w:p>
        <w:p w14:paraId="6B531F12" w14:textId="16BB6950" w:rsidR="002F6DCC" w:rsidRDefault="00B56F98" w:rsidP="002F6DCC">
          <w:r>
            <w:t xml:space="preserve">During the explanation of critical diameter, it was mentioned that some of the figures given were for confined </w:t>
          </w:r>
          <w:r w:rsidR="006D54B2">
            <w:t xml:space="preserve">explosives. This is a facet of design that is highly important for those working with OME to consider. Critical diameter </w:t>
          </w:r>
          <w:r w:rsidR="003E6F35">
            <w:t xml:space="preserve">is </w:t>
          </w:r>
          <w:r w:rsidR="00E97626">
            <w:t xml:space="preserve">the point where the energy loses </w:t>
          </w:r>
          <w:r w:rsidR="005E480F">
            <w:t xml:space="preserve">in the reaction are too much </w:t>
          </w:r>
          <w:r w:rsidR="001C628E">
            <w:t xml:space="preserve">for the shockwave to </w:t>
          </w:r>
          <w:r w:rsidR="00CB6F82">
            <w:t>initiate further reactions</w:t>
          </w:r>
          <w:r w:rsidR="00A54387">
            <w:t xml:space="preserve">. However, through confining </w:t>
          </w:r>
          <w:r w:rsidR="002F2E12">
            <w:t xml:space="preserve">the explosives, the </w:t>
          </w:r>
          <w:r w:rsidR="00CF54CF">
            <w:t>expanding gases from the reaction are kept in the</w:t>
          </w:r>
          <w:r w:rsidR="00F47358">
            <w:t xml:space="preserve"> casing, increasing the pressure during the reaction, and decreasing the energy loss </w:t>
          </w:r>
          <w:r w:rsidR="00565380">
            <w:t xml:space="preserve">from the reaction. Therefore, as the energy loss is decreased, </w:t>
          </w:r>
          <w:r w:rsidR="00E64352">
            <w:t>the critical diameter of the explosive can be reduced</w:t>
          </w:r>
          <w:r w:rsidR="009C0603">
            <w:t xml:space="preserve">, as the energy of the reaction remains balanced </w:t>
          </w:r>
          <w:r w:rsidR="00EC7C36">
            <w:t xml:space="preserve">until a lower diameter. This can be seen </w:t>
          </w:r>
          <w:r w:rsidR="00A44527">
            <w:t>in the PBX-9404</w:t>
          </w:r>
          <w:r w:rsidR="00A40907">
            <w:t xml:space="preserve">, with an unconfined diameter of 1.18mm, and a </w:t>
          </w:r>
          <w:r w:rsidR="00A40907">
            <w:lastRenderedPageBreak/>
            <w:t xml:space="preserve">confined diameter of 1.02mm, a </w:t>
          </w:r>
          <w:r w:rsidR="00BB297E">
            <w:t>15% decrease</w:t>
          </w:r>
          <w:sdt>
            <w:sdtPr>
              <w:id w:val="-1152602495"/>
              <w:citation/>
            </w:sdtPr>
            <w:sdtContent>
              <w:r w:rsidR="001B16CE">
                <w:fldChar w:fldCharType="begin"/>
              </w:r>
              <w:r w:rsidR="001B16CE">
                <w:instrText xml:space="preserve"> CITATION Dob85 \l 2057 </w:instrText>
              </w:r>
              <w:r w:rsidR="001B16C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[4]</w:t>
              </w:r>
              <w:r w:rsidR="001B16CE">
                <w:fldChar w:fldCharType="end"/>
              </w:r>
            </w:sdtContent>
          </w:sdt>
          <w:r w:rsidR="00BB297E">
            <w:t xml:space="preserve">. This is also likely the reason for the extremely low diameters found by </w:t>
          </w:r>
          <w:r w:rsidR="00A3199E">
            <w:t xml:space="preserve">Jung, Bowden and McLaren for lead </w:t>
          </w:r>
          <w:proofErr w:type="spellStart"/>
          <w:r w:rsidR="00A3199E">
            <w:t>azide</w:t>
          </w:r>
          <w:proofErr w:type="spellEnd"/>
          <w:sdt>
            <w:sdtPr>
              <w:id w:val="1611318122"/>
              <w:citation/>
            </w:sdtPr>
            <w:sdtContent>
              <w:r w:rsidR="001B16CE">
                <w:fldChar w:fldCharType="begin"/>
              </w:r>
              <w:r w:rsidR="001B16CE">
                <w:instrText xml:space="preserve"> CITATION Jun06 \l 2057 </w:instrText>
              </w:r>
              <w:r w:rsidR="001B16C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[9]</w:t>
              </w:r>
              <w:r w:rsidR="001B16CE">
                <w:fldChar w:fldCharType="end"/>
              </w:r>
            </w:sdtContent>
          </w:sdt>
          <w:sdt>
            <w:sdtPr>
              <w:id w:val="932939137"/>
              <w:citation/>
            </w:sdtPr>
            <w:sdtContent>
              <w:r w:rsidR="001B16CE">
                <w:fldChar w:fldCharType="begin"/>
              </w:r>
              <w:r w:rsidR="001B16CE">
                <w:instrText xml:space="preserve"> CITATION Bow55 \l 2057 </w:instrText>
              </w:r>
              <w:r w:rsidR="001B16CE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[10]</w:t>
              </w:r>
              <w:r w:rsidR="001B16CE">
                <w:fldChar w:fldCharType="end"/>
              </w:r>
            </w:sdtContent>
          </w:sdt>
          <w:r w:rsidR="00A3199E">
            <w:t xml:space="preserve">. At these low diameters, the explosive samples are prepared in capillaries, which will have a confining impact on the explosive. </w:t>
          </w:r>
        </w:p>
        <w:p w14:paraId="00058010" w14:textId="4E983EA7" w:rsidR="00C766F5" w:rsidRDefault="00D107AC" w:rsidP="00517429">
          <w:pPr>
            <w:spacing w:line="278" w:lineRule="auto"/>
          </w:pPr>
          <w:r>
            <w:t>The effect of confining can be a</w:t>
          </w:r>
          <w:r w:rsidR="005166D9">
            <w:t xml:space="preserve">n important tool for OME designers to exploit when designing munitions. </w:t>
          </w:r>
          <w:r w:rsidR="00803B55">
            <w:t xml:space="preserve">There are many reasons that </w:t>
          </w:r>
          <w:r w:rsidR="00756A4D">
            <w:t xml:space="preserve">designers could be looking at using energetics with high critical diameters, the lack of availability of other materials, </w:t>
          </w:r>
          <w:r w:rsidR="00C567EA">
            <w:t xml:space="preserve">the mechanical properties, or the stability of a material for example. Ammonium Nitrate based explosives for example are far cheaper than </w:t>
          </w:r>
          <w:r w:rsidR="00760DE0">
            <w:t xml:space="preserve">HMX, however </w:t>
          </w:r>
          <w:r w:rsidR="007E22A5">
            <w:t>the unconfined diameter could make its use impossible in smaller munitions</w:t>
          </w:r>
          <w:r w:rsidR="00796B72">
            <w:t>. However, through confinement</w:t>
          </w:r>
          <w:r w:rsidR="00A91E57">
            <w:t xml:space="preserve"> in steel piping</w:t>
          </w:r>
          <w:r w:rsidR="00796B72">
            <w:t xml:space="preserve">, the critical diameter falls to between 8-12mm, </w:t>
          </w:r>
          <w:r w:rsidR="00A91E57">
            <w:t xml:space="preserve">compared to between 55-81mm in </w:t>
          </w:r>
          <w:r w:rsidR="00795986">
            <w:t>PVC piping, and even higher unconfined</w:t>
          </w:r>
          <w:sdt>
            <w:sdtPr>
              <w:id w:val="-830835625"/>
              <w:citation/>
            </w:sdtPr>
            <w:sdtContent>
              <w:r w:rsidR="00795986">
                <w:fldChar w:fldCharType="begin"/>
              </w:r>
              <w:r w:rsidR="00795986">
                <w:instrText xml:space="preserve"> CITATION Pre09 \l 2057 </w:instrText>
              </w:r>
              <w:r w:rsidR="00795986">
                <w:fldChar w:fldCharType="separate"/>
              </w:r>
              <w:r w:rsidR="00DC5D9C">
                <w:rPr>
                  <w:noProof/>
                </w:rPr>
                <w:t xml:space="preserve"> </w:t>
              </w:r>
              <w:r w:rsidR="00DC5D9C" w:rsidRPr="00DC5D9C">
                <w:rPr>
                  <w:noProof/>
                </w:rPr>
                <w:t>[12]</w:t>
              </w:r>
              <w:r w:rsidR="00795986">
                <w:fldChar w:fldCharType="end"/>
              </w:r>
            </w:sdtContent>
          </w:sdt>
          <w:r w:rsidR="00795986">
            <w:t>.</w:t>
          </w:r>
        </w:p>
        <w:p w14:paraId="2BCA50ED" w14:textId="77777777" w:rsidR="008328A7" w:rsidRPr="00795986" w:rsidRDefault="008328A7" w:rsidP="00517429">
          <w:pPr>
            <w:spacing w:line="278" w:lineRule="auto"/>
          </w:pPr>
        </w:p>
        <w:p w14:paraId="5750A0AA" w14:textId="450B0AC8" w:rsidR="009B5082" w:rsidRPr="00D32DAD" w:rsidRDefault="00AF6581" w:rsidP="00BE4569">
          <w:pPr>
            <w:pStyle w:val="Heading2"/>
          </w:pPr>
          <w:bookmarkStart w:id="16" w:name="_Toc217043126"/>
          <w:bookmarkStart w:id="17" w:name="_Toc217045799"/>
          <w:r>
            <w:t>A Final Design</w:t>
          </w:r>
          <w:bookmarkEnd w:id="16"/>
          <w:bookmarkEnd w:id="17"/>
        </w:p>
        <w:bookmarkEnd w:id="7"/>
        <w:p w14:paraId="47FAF797" w14:textId="1312C2B0" w:rsidR="0030314C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83840" behindDoc="0" locked="0" layoutInCell="1" allowOverlap="1" wp14:anchorId="769E9FB6" wp14:editId="3165DB79">
                    <wp:simplePos x="0" y="0"/>
                    <wp:positionH relativeFrom="column">
                      <wp:posOffset>2313710</wp:posOffset>
                    </wp:positionH>
                    <wp:positionV relativeFrom="paragraph">
                      <wp:posOffset>679623</wp:posOffset>
                    </wp:positionV>
                    <wp:extent cx="671946" cy="194426"/>
                    <wp:effectExtent l="0" t="0" r="71120" b="72390"/>
                    <wp:wrapNone/>
                    <wp:docPr id="194554568" name="Straight Arrow Connector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671946" cy="194426"/>
                            </a:xfrm>
                            <a:prstGeom prst="straightConnector1">
                              <a:avLst/>
                            </a:prstGeom>
                            <a:ln w="19050"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955B1F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23" o:spid="_x0000_s1026" type="#_x0000_t32" style="position:absolute;margin-left:182.2pt;margin-top:53.5pt;width:52.9pt;height:15.3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" strokecolor="black [3200]" strokeweight="1.5pt">
                    <v:stroke endarrow="block" joinstyle="miter"/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81792" behindDoc="0" locked="0" layoutInCell="1" allowOverlap="1" wp14:anchorId="0AD84588" wp14:editId="79B91363">
                    <wp:simplePos x="0" y="0"/>
                    <wp:positionH relativeFrom="column">
                      <wp:posOffset>1662545</wp:posOffset>
                    </wp:positionH>
                    <wp:positionV relativeFrom="paragraph">
                      <wp:posOffset>1566313</wp:posOffset>
                    </wp:positionV>
                    <wp:extent cx="1143000" cy="139007"/>
                    <wp:effectExtent l="0" t="0" r="76200" b="90170"/>
                    <wp:wrapNone/>
                    <wp:docPr id="772462774" name="Straight Arrow Connector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143000" cy="139007"/>
                            </a:xfrm>
                            <a:prstGeom prst="straightConnector1">
                              <a:avLst/>
                            </a:prstGeom>
                            <a:ln w="19050"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7DF6A4" id="Straight Arrow Connector 23" o:spid="_x0000_s1026" type="#_x0000_t32" style="position:absolute;margin-left:130.9pt;margin-top:123.35pt;width:90pt;height:10.9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" strokecolor="black [3200]" strokeweight="1.5pt">
                    <v:stroke endarrow="block" joinstyle="miter"/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5AC43635" wp14:editId="00FF42A7">
                    <wp:simplePos x="0" y="0"/>
                    <wp:positionH relativeFrom="column">
                      <wp:posOffset>1627909</wp:posOffset>
                    </wp:positionH>
                    <wp:positionV relativeFrom="paragraph">
                      <wp:posOffset>2896812</wp:posOffset>
                    </wp:positionV>
                    <wp:extent cx="986444" cy="20782"/>
                    <wp:effectExtent l="0" t="76200" r="23495" b="74930"/>
                    <wp:wrapNone/>
                    <wp:docPr id="250903946" name="Straight Arrow Connector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986444" cy="20782"/>
                            </a:xfrm>
                            <a:prstGeom prst="straightConnector1">
                              <a:avLst/>
                            </a:prstGeom>
                            <a:ln w="19050"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1B384B82" id="Straight Arrow Connector 23" o:spid="_x0000_s1026" type="#_x0000_t32" style="position:absolute;margin-left:128.2pt;margin-top:228.1pt;width:77.65pt;height:1.65pt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" strokecolor="black [3200]" strokeweight="1.5pt">
                    <v:stroke endarrow="block" joinstyle="miter"/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3C7283E3" wp14:editId="7108B6C2">
                    <wp:simplePos x="0" y="0"/>
                    <wp:positionH relativeFrom="column">
                      <wp:posOffset>948632</wp:posOffset>
                    </wp:positionH>
                    <wp:positionV relativeFrom="paragraph">
                      <wp:posOffset>471805</wp:posOffset>
                    </wp:positionV>
                    <wp:extent cx="1364500" cy="450272"/>
                    <wp:effectExtent l="0" t="0" r="26670" b="26035"/>
                    <wp:wrapNone/>
                    <wp:docPr id="297574561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64500" cy="45027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A3C23B6" w14:textId="11E2D310" w:rsidR="00375D82" w:rsidRDefault="00375D82" w:rsidP="00375D82">
                                <w:r>
                                  <w:t xml:space="preserve">Initiation- Safety </w:t>
                                </w:r>
                                <w:proofErr w:type="spellStart"/>
                                <w:r>
                                  <w:t>Fuze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3C7283E3" id="Text Box 22" o:spid="_x0000_s1027" type="#_x0000_t202" style="position:absolute;margin-left:74.7pt;margin-top:37.15pt;width:107.45pt;height:35.4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" fillcolor="white [3201]" strokeweight=".5pt">
                    <v:textbox>
                      <w:txbxContent>
                        <w:p w14:paraId="4A3C23B6" w14:textId="11E2D310" w:rsidR="00375D82" w:rsidRDefault="00375D82" w:rsidP="00375D82">
                          <w:r>
                            <w:t xml:space="preserve">Initiation- Safety </w:t>
                          </w:r>
                          <w:proofErr w:type="spellStart"/>
                          <w:r>
                            <w:t>Fuze</w:t>
                          </w:r>
                          <w:proofErr w:type="spellEnd"/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0677CAE5" wp14:editId="2CA12CAA">
                    <wp:simplePos x="0" y="0"/>
                    <wp:positionH relativeFrom="column">
                      <wp:posOffset>3242311</wp:posOffset>
                    </wp:positionH>
                    <wp:positionV relativeFrom="paragraph">
                      <wp:posOffset>1609193</wp:posOffset>
                    </wp:positionV>
                    <wp:extent cx="139475" cy="624317"/>
                    <wp:effectExtent l="0" t="38100" r="32385" b="23495"/>
                    <wp:wrapNone/>
                    <wp:docPr id="1856626438" name="Right Triangle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9475" cy="624317"/>
                            </a:xfrm>
                            <a:prstGeom prst="rtTriangle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1A5C66" id="_x0000_t6" coordsize="21600,21600" o:spt="6" path="m,l,21600r21600,xe">
                    <v:stroke joinstyle="miter"/>
                    <v:path gradientshapeok="t" o:connecttype="custom" o:connectlocs="0,0;0,10800;0,21600;10800,21600;21600,21600;10800,10800" textboxrect="1800,12600,12600,19800"/>
                  </v:shapetype>
                  <v:shape id="Right Triangle 20" o:spid="_x0000_s1026" type="#_x0000_t6" style="position:absolute;margin-left:255.3pt;margin-top:126.7pt;width:11pt;height:49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" fillcolor="#adadad [2414]" strokecolor="#adadad [2414]" strokeweight="1pt"/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7B406E21" wp14:editId="62186EED">
                    <wp:simplePos x="0" y="0"/>
                    <wp:positionH relativeFrom="column">
                      <wp:posOffset>3110305</wp:posOffset>
                    </wp:positionH>
                    <wp:positionV relativeFrom="paragraph">
                      <wp:posOffset>2093632</wp:posOffset>
                    </wp:positionV>
                    <wp:extent cx="182880" cy="145228"/>
                    <wp:effectExtent l="0" t="0" r="26670" b="26670"/>
                    <wp:wrapNone/>
                    <wp:docPr id="746214772" name="Rectangle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2880" cy="145228"/>
                            </a:xfrm>
                            <a:prstGeom prst="rect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7C9DF0FA" id="Rectangle 21" o:spid="_x0000_s1026" style="position:absolute;margin-left:244.9pt;margin-top:164.85pt;width:14.4pt;height:11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" fillcolor="#adadad [2414]" strokecolor="#adadad [2414]" strokeweight="1pt"/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01D9C4D1" wp14:editId="7F0AB871">
                    <wp:simplePos x="0" y="0"/>
                    <wp:positionH relativeFrom="column">
                      <wp:posOffset>2431228</wp:posOffset>
                    </wp:positionH>
                    <wp:positionV relativeFrom="paragraph">
                      <wp:posOffset>2089337</wp:posOffset>
                    </wp:positionV>
                    <wp:extent cx="182880" cy="145228"/>
                    <wp:effectExtent l="0" t="0" r="26670" b="26670"/>
                    <wp:wrapNone/>
                    <wp:docPr id="1655444192" name="Rectangle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2880" cy="145228"/>
                            </a:xfrm>
                            <a:prstGeom prst="rect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17C6FFB1" id="Rectangle 21" o:spid="_x0000_s1026" style="position:absolute;margin-left:191.45pt;margin-top:164.5pt;width:14.4pt;height:11.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" fillcolor="#adadad [2414]" strokecolor="#adadad [2414]" strokeweight="1pt"/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434CDF80" wp14:editId="3AC81ABF">
                    <wp:simplePos x="0" y="0"/>
                    <wp:positionH relativeFrom="column">
                      <wp:posOffset>2346549</wp:posOffset>
                    </wp:positionH>
                    <wp:positionV relativeFrom="paragraph">
                      <wp:posOffset>1617345</wp:posOffset>
                    </wp:positionV>
                    <wp:extent cx="139475" cy="624317"/>
                    <wp:effectExtent l="19050" t="38100" r="13335" b="23495"/>
                    <wp:wrapNone/>
                    <wp:docPr id="524184347" name="Right Triangle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flipH="1">
                              <a:off x="0" y="0"/>
                              <a:ext cx="139475" cy="624317"/>
                            </a:xfrm>
                            <a:prstGeom prst="rtTriangle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5D68C1" id="Right Triangle 20" o:spid="_x0000_s1026" type="#_x0000_t6" style="position:absolute;margin-left:184.75pt;margin-top:127.35pt;width:11pt;height:49.15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" fillcolor="#adadad [2414]" strokecolor="#adadad [2414]" strokeweight="1pt"/>
                </w:pict>
              </mc:Fallback>
            </mc:AlternateContent>
          </w:r>
          <w:r w:rsidR="00670E50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067B4B71" wp14:editId="06C32092">
                    <wp:simplePos x="0" y="0"/>
                    <wp:positionH relativeFrom="margin">
                      <wp:posOffset>2820334</wp:posOffset>
                    </wp:positionH>
                    <wp:positionV relativeFrom="paragraph">
                      <wp:posOffset>1704527</wp:posOffset>
                    </wp:positionV>
                    <wp:extent cx="644749" cy="218366"/>
                    <wp:effectExtent l="3810" t="0" r="26035" b="26035"/>
                    <wp:wrapNone/>
                    <wp:docPr id="1192550746" name="Flowchart: Delay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6200000">
                              <a:off x="0" y="0"/>
                              <a:ext cx="644749" cy="218366"/>
                            </a:xfrm>
                            <a:prstGeom prst="flowChartDelay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7CD3FB" id="_x0000_t135" coordsize="21600,21600" o:spt="135" path="m10800,qx21600,10800,10800,21600l,21600,,xe">
                    <v:stroke joinstyle="miter"/>
                    <v:path gradientshapeok="t" o:connecttype="rect" textboxrect="0,3163,18437,18437"/>
                  </v:shapetype>
                  <v:shape id="Flowchart: Delay 19" o:spid="_x0000_s1026" type="#_x0000_t135" style="position:absolute;margin-left:222.05pt;margin-top:134.2pt;width:50.75pt;height:17.2pt;rotation:-90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" fillcolor="#adadad [2414]" strokecolor="#adadad [2414]" strokeweight="1pt">
                    <w10:wrap anchorx="margin"/>
                  </v:shape>
                </w:pict>
              </mc:Fallback>
            </mc:AlternateContent>
          </w:r>
          <w:r w:rsidR="00670E50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B0FB0DA" wp14:editId="08AD6A57">
                    <wp:simplePos x="0" y="0"/>
                    <wp:positionH relativeFrom="margin">
                      <wp:posOffset>2253130</wp:posOffset>
                    </wp:positionH>
                    <wp:positionV relativeFrom="paragraph">
                      <wp:posOffset>1697393</wp:posOffset>
                    </wp:positionV>
                    <wp:extent cx="644749" cy="218366"/>
                    <wp:effectExtent l="3810" t="0" r="26035" b="26035"/>
                    <wp:wrapNone/>
                    <wp:docPr id="871520609" name="Flowchart: Delay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6200000">
                              <a:off x="0" y="0"/>
                              <a:ext cx="644749" cy="218366"/>
                            </a:xfrm>
                            <a:prstGeom prst="flowChartDelay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FC6C72" id="Flowchart: Delay 19" o:spid="_x0000_s1026" type="#_x0000_t135" style="position:absolute;margin-left:177.4pt;margin-top:133.65pt;width:50.75pt;height:17.2pt;rotation:-90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" fillcolor="#adadad [2414]" strokecolor="#adadad [2414]" strokeweight="1pt">
                    <w10:wrap anchorx="margin"/>
                  </v:shape>
                </w:pict>
              </mc:Fallback>
            </mc:AlternateContent>
          </w:r>
          <w:r w:rsidR="00670E50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58751" behindDoc="0" locked="0" layoutInCell="1" allowOverlap="1" wp14:anchorId="6E04FF3A" wp14:editId="4B4A963C">
                    <wp:simplePos x="0" y="0"/>
                    <wp:positionH relativeFrom="margin">
                      <wp:posOffset>2375040</wp:posOffset>
                    </wp:positionH>
                    <wp:positionV relativeFrom="paragraph">
                      <wp:posOffset>1438545</wp:posOffset>
                    </wp:positionV>
                    <wp:extent cx="970523" cy="642209"/>
                    <wp:effectExtent l="0" t="7303" r="13018" b="13017"/>
                    <wp:wrapNone/>
                    <wp:docPr id="1370605852" name="Flowchart: Delay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6200000">
                              <a:off x="0" y="0"/>
                              <a:ext cx="970523" cy="642209"/>
                            </a:xfrm>
                            <a:prstGeom prst="flowChartDelay">
                              <a:avLst/>
                            </a:prstGeom>
                            <a:solidFill>
                              <a:schemeClr val="bg2">
                                <a:lumMod val="75000"/>
                              </a:schemeClr>
                            </a:solidFill>
                            <a:ln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E5A28A" id="Flowchart: Delay 19" o:spid="_x0000_s1026" type="#_x0000_t135" style="position:absolute;margin-left:187pt;margin-top:113.25pt;width:76.4pt;height:50.55pt;rotation:-90;z-index:25165875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" fillcolor="#adadad [2414]" strokecolor="#adadad [2414]" strokeweight="1pt">
                    <w10:wrap anchorx="margin"/>
                  </v:shape>
                </w:pict>
              </mc:Fallback>
            </mc:AlternateContent>
          </w:r>
          <w:r w:rsidR="00336A1E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3D0BDE4" wp14:editId="57727531">
                    <wp:simplePos x="0" y="0"/>
                    <wp:positionH relativeFrom="column">
                      <wp:posOffset>2860964</wp:posOffset>
                    </wp:positionH>
                    <wp:positionV relativeFrom="paragraph">
                      <wp:posOffset>770819</wp:posOffset>
                    </wp:positionV>
                    <wp:extent cx="2452254" cy="574284"/>
                    <wp:effectExtent l="38100" t="38100" r="5715" b="16510"/>
                    <wp:wrapNone/>
                    <wp:docPr id="1601079229" name="Free-form: Shape 1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452254" cy="574284"/>
                            </a:xfrm>
                            <a:custGeom>
                              <a:avLst/>
                              <a:gdLst>
                                <a:gd name="csX0" fmla="*/ 0 w 2452254"/>
                                <a:gd name="csY0" fmla="*/ 574284 h 574284"/>
                                <a:gd name="csX1" fmla="*/ 429491 w 2452254"/>
                                <a:gd name="csY1" fmla="*/ 54739 h 574284"/>
                                <a:gd name="csX2" fmla="*/ 2452254 w 2452254"/>
                                <a:gd name="csY2" fmla="*/ 40884 h 574284"/>
                              </a:gdLst>
                              <a:ahLst/>
                              <a:cxnLst>
                                <a:cxn ang="0">
                                  <a:pos x="csX0" y="csY0"/>
                                </a:cxn>
                                <a:cxn ang="0">
                                  <a:pos x="csX1" y="csY1"/>
                                </a:cxn>
                                <a:cxn ang="0">
                                  <a:pos x="csX2" y="csY2"/>
                                </a:cxn>
                              </a:cxnLst>
                              <a:rect l="l" t="t" r="r" b="b"/>
                              <a:pathLst>
                                <a:path w="2452254" h="574284">
                                  <a:moveTo>
                                    <a:pt x="0" y="574284"/>
                                  </a:moveTo>
                                  <a:cubicBezTo>
                                    <a:pt x="10391" y="358961"/>
                                    <a:pt x="20782" y="143639"/>
                                    <a:pt x="429491" y="54739"/>
                                  </a:cubicBezTo>
                                  <a:cubicBezTo>
                                    <a:pt x="838200" y="-34161"/>
                                    <a:pt x="1645227" y="3361"/>
                                    <a:pt x="2452254" y="40884"/>
                                  </a:cubicBezTo>
                                </a:path>
                              </a:pathLst>
                            </a:custGeom>
                            <a:noFill/>
                            <a:ln w="76200"/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79B99CCE" id="Free-form: Shape 17" o:spid="_x0000_s1026" style="position:absolute;margin-left:225.25pt;margin-top:60.7pt;width:193.1pt;height:45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452254,5742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" path="m,574284c10391,358961,20782,143639,429491,54739,838200,-34161,1645227,3361,2452254,40884e" filled="f" strokecolor="#030e13 [484]" strokeweight="6pt">
                    <v:stroke joinstyle="miter"/>
                    <v:path arrowok="t" o:connecttype="custom" o:connectlocs="0,574284;429491,54739;2452254,40884" o:connectangles="0,0,0"/>
                  </v:shape>
                </w:pict>
              </mc:Fallback>
            </mc:AlternateContent>
          </w:r>
          <w:r w:rsidR="00DE6BBF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03D7F5B" wp14:editId="3CBBF28A">
                    <wp:simplePos x="0" y="0"/>
                    <wp:positionH relativeFrom="margin">
                      <wp:posOffset>1723450</wp:posOffset>
                    </wp:positionH>
                    <wp:positionV relativeFrom="paragraph">
                      <wp:posOffset>1903556</wp:posOffset>
                    </wp:positionV>
                    <wp:extent cx="2278380" cy="1035746"/>
                    <wp:effectExtent l="30797" t="45403" r="38418" b="38417"/>
                    <wp:wrapNone/>
                    <wp:docPr id="1337343837" name="Flowchart: Delay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6200000">
                              <a:off x="0" y="0"/>
                              <a:ext cx="2278380" cy="1035746"/>
                            </a:xfrm>
                            <a:prstGeom prst="flowChartDelay">
                              <a:avLst/>
                            </a:prstGeom>
                            <a:noFill/>
                            <a:ln w="76200">
                              <a:solidFill>
                                <a:schemeClr val="bg2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770DA2" id="Flowchart: Delay 13" o:spid="_x0000_s1026" type="#_x0000_t135" style="position:absolute;margin-left:135.7pt;margin-top:149.9pt;width:179.4pt;height:81.55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" filled="f" strokecolor="#adadad [2414]" strokeweight="6pt">
                    <w10:wrap anchorx="margin"/>
                  </v:shape>
                </w:pict>
              </mc:Fallback>
            </mc:AlternateContent>
          </w:r>
          <w:r w:rsidR="00DE6BBF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1823" behindDoc="0" locked="0" layoutInCell="1" allowOverlap="1" wp14:anchorId="117620E5" wp14:editId="6BDB15AE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1344295</wp:posOffset>
                    </wp:positionV>
                    <wp:extent cx="325120" cy="900430"/>
                    <wp:effectExtent l="0" t="0" r="17780" b="13970"/>
                    <wp:wrapNone/>
                    <wp:docPr id="2050129977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25120" cy="90043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F7A0F1C" id="Rectangle 11" o:spid="_x0000_s1026" style="position:absolute;margin-left:0;margin-top:105.85pt;width:25.6pt;height:70.9pt;z-index:251661823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" fillcolor="#156082 [3204]" strokecolor="#030e13 [484]" strokeweight="1pt">
                    <w10:wrap anchorx="margin"/>
                  </v:rect>
                </w:pict>
              </mc:Fallback>
            </mc:AlternateContent>
          </w:r>
          <w:r w:rsidR="00767D0E"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51057503" wp14:editId="3DF7CB95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2244841</wp:posOffset>
                    </wp:positionV>
                    <wp:extent cx="997527" cy="1302443"/>
                    <wp:effectExtent l="0" t="0" r="12700" b="12065"/>
                    <wp:wrapNone/>
                    <wp:docPr id="606923291" name="Rectangle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997527" cy="1302443"/>
                            </a:xfrm>
                            <a:prstGeom prst="rect">
                              <a:avLst/>
                            </a:prstGeom>
                            <a:solidFill>
                              <a:schemeClr val="accent2"/>
                            </a:solidFill>
                            <a:ln>
                              <a:solidFill>
                                <a:schemeClr val="accent2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43399069" id="Rectangle 12" o:spid="_x0000_s1026" style="position:absolute;margin-left:0;margin-top:176.75pt;width:78.55pt;height:102.55pt;z-index:25167360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" fillcolor="#e97132 [3205]" strokecolor="#e97132 [3205]" strokeweight="1pt">
                    <w10:wrap anchorx="margin"/>
                  </v:rect>
                </w:pict>
              </mc:Fallback>
            </mc:AlternateContent>
          </w:r>
          <w:r w:rsidR="00E512B4">
            <w:rPr>
              <w:rFonts w:asciiTheme="minorHAnsi" w:eastAsiaTheme="minorEastAsia" w:hAnsiTheme="minorHAnsi" w:cstheme="minorBidi"/>
              <w:lang w:eastAsia="en-GB"/>
            </w:rPr>
            <w:t>Figure</w:t>
          </w:r>
          <w:r w:rsidR="00CD7535">
            <w:rPr>
              <w:rFonts w:asciiTheme="minorHAnsi" w:eastAsiaTheme="minorEastAsia" w:hAnsiTheme="minorHAnsi" w:cstheme="minorBidi"/>
              <w:lang w:eastAsia="en-GB"/>
            </w:rPr>
            <w:t xml:space="preserve"> </w:t>
          </w:r>
          <w:r w:rsidR="00C766F5">
            <w:rPr>
              <w:rFonts w:asciiTheme="minorHAnsi" w:eastAsiaTheme="minorEastAsia" w:hAnsiTheme="minorHAnsi" w:cstheme="minorBidi"/>
              <w:lang w:eastAsia="en-GB"/>
            </w:rPr>
            <w:t>3</w:t>
          </w:r>
          <w:r w:rsidR="00CD7535">
            <w:rPr>
              <w:rFonts w:asciiTheme="minorHAnsi" w:eastAsiaTheme="minorEastAsia" w:hAnsiTheme="minorHAnsi" w:cstheme="minorBidi"/>
              <w:lang w:eastAsia="en-GB"/>
            </w:rPr>
            <w:t xml:space="preserve"> outlines </w:t>
          </w:r>
          <w:r w:rsidR="00817F91">
            <w:rPr>
              <w:rFonts w:asciiTheme="minorHAnsi" w:eastAsiaTheme="minorEastAsia" w:hAnsiTheme="minorHAnsi" w:cstheme="minorBidi"/>
              <w:lang w:eastAsia="en-GB"/>
            </w:rPr>
            <w:t xml:space="preserve">a design based on the parameters outlined in this paper. </w:t>
          </w:r>
        </w:p>
        <w:p w14:paraId="070CAA98" w14:textId="77777777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7ADD14C1" w14:textId="0362923A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4EA8BA1B" w14:textId="218EB7F3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0B41166C" w14:textId="5554CF03" w:rsidR="00375D82" w:rsidRDefault="00AE6A98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4F6558DE" wp14:editId="3FEA8CB0">
                    <wp:simplePos x="0" y="0"/>
                    <wp:positionH relativeFrom="column">
                      <wp:posOffset>297873</wp:posOffset>
                    </wp:positionH>
                    <wp:positionV relativeFrom="paragraph">
                      <wp:posOffset>164810</wp:posOffset>
                    </wp:positionV>
                    <wp:extent cx="1363980" cy="1198419"/>
                    <wp:effectExtent l="0" t="0" r="26670" b="20955"/>
                    <wp:wrapNone/>
                    <wp:docPr id="1301561878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63980" cy="1198419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4C1A0DE" w14:textId="3601EA3A" w:rsidR="00375D82" w:rsidRDefault="00375D82">
                                <w:r>
                                  <w:t xml:space="preserve">Primary Explosive- Lead </w:t>
                                </w:r>
                                <w:proofErr w:type="spellStart"/>
                                <w:r>
                                  <w:t>Azide</w:t>
                                </w:r>
                                <w:proofErr w:type="spellEnd"/>
                              </w:p>
                              <w:p w14:paraId="2846EF42" w14:textId="2F66BA4A" w:rsidR="00AE6A98" w:rsidRDefault="00AE6A98">
                                <w:r>
                                  <w:t>Density-</w:t>
                                </w:r>
                                <w:r w:rsidR="00DD11C6">
                                  <w:t xml:space="preserve"> </w:t>
                                </w:r>
                                <w:r w:rsidR="00461513">
                                  <w:t>&gt;1.97 g/cm</w:t>
                                </w:r>
                                <w:r w:rsidR="00461513" w:rsidRPr="00461513">
                                  <w:rPr>
                                    <w:vertAlign w:val="superscript"/>
                                  </w:rPr>
                                  <w:t>3</w:t>
                                </w:r>
                              </w:p>
                              <w:p w14:paraId="7BCF2C59" w14:textId="4F9B21CF" w:rsidR="00AE6A98" w:rsidRDefault="00AE6A98">
                                <w:r>
                                  <w:t>Diameter-</w:t>
                                </w:r>
                                <w:r w:rsidR="006A72AA">
                                  <w:t xml:space="preserve"> &gt;0.02mm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6558DE" id="_x0000_s1028" type="#_x0000_t202" style="position:absolute;margin-left:23.45pt;margin-top:13pt;width:107.4pt;height:94.3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" fillcolor="white [3201]" strokeweight=".5pt">
                    <v:textbox>
                      <w:txbxContent>
                        <w:p w14:paraId="24C1A0DE" w14:textId="3601EA3A" w:rsidR="00375D82" w:rsidRDefault="00375D82">
                          <w:r>
                            <w:t xml:space="preserve">Primary Explosive- Lead </w:t>
                          </w:r>
                          <w:proofErr w:type="spellStart"/>
                          <w:r>
                            <w:t>Azide</w:t>
                          </w:r>
                          <w:proofErr w:type="spellEnd"/>
                        </w:p>
                        <w:p w14:paraId="2846EF42" w14:textId="2F66BA4A" w:rsidR="00AE6A98" w:rsidRDefault="00AE6A98">
                          <w:r>
                            <w:t>Density-</w:t>
                          </w:r>
                          <w:r w:rsidR="00DD11C6">
                            <w:t xml:space="preserve"> </w:t>
                          </w:r>
                          <w:r w:rsidR="00461513">
                            <w:t>&gt;1.97 g/cm</w:t>
                          </w:r>
                          <w:r w:rsidR="00461513" w:rsidRPr="00461513">
                            <w:rPr>
                              <w:vertAlign w:val="superscript"/>
                            </w:rPr>
                            <w:t>3</w:t>
                          </w:r>
                        </w:p>
                        <w:p w14:paraId="7BCF2C59" w14:textId="4F9B21CF" w:rsidR="00AE6A98" w:rsidRDefault="00AE6A98">
                          <w:r>
                            <w:t>Diameter-</w:t>
                          </w:r>
                          <w:r w:rsidR="006A72AA">
                            <w:t xml:space="preserve"> &gt;0.02mm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0A90630B" w14:textId="6D2954EB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53EB8D83" w14:textId="7B33A184" w:rsidR="00375D82" w:rsidRDefault="00AE6A98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87936" behindDoc="0" locked="0" layoutInCell="1" allowOverlap="1" wp14:anchorId="1FEEE110" wp14:editId="732027E9">
                    <wp:simplePos x="0" y="0"/>
                    <wp:positionH relativeFrom="column">
                      <wp:posOffset>3359149</wp:posOffset>
                    </wp:positionH>
                    <wp:positionV relativeFrom="paragraph">
                      <wp:posOffset>245513</wp:posOffset>
                    </wp:positionV>
                    <wp:extent cx="1070841" cy="100157"/>
                    <wp:effectExtent l="0" t="57150" r="15240" b="33655"/>
                    <wp:wrapNone/>
                    <wp:docPr id="737679922" name="Straight Arrow Connector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1070841" cy="100157"/>
                            </a:xfrm>
                            <a:prstGeom prst="straightConnector1">
                              <a:avLst/>
                            </a:prstGeom>
                            <a:ln w="19050"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13CEF35" id="Straight Arrow Connector 23" o:spid="_x0000_s1026" type="#_x0000_t32" style="position:absolute;margin-left:264.5pt;margin-top:19.35pt;width:84.3pt;height:7.9pt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" strokecolor="black [3200]" strokeweight="1.5pt">
                    <v:stroke endarrow="block" joinstyle="miter"/>
                  </v:shape>
                </w:pict>
              </mc:Fallback>
            </mc:AlternateContent>
          </w: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85888" behindDoc="0" locked="0" layoutInCell="1" allowOverlap="1" wp14:anchorId="5D34C28E" wp14:editId="777F3FD7">
                    <wp:simplePos x="0" y="0"/>
                    <wp:positionH relativeFrom="column">
                      <wp:posOffset>4426180</wp:posOffset>
                    </wp:positionH>
                    <wp:positionV relativeFrom="paragraph">
                      <wp:posOffset>120708</wp:posOffset>
                    </wp:positionV>
                    <wp:extent cx="1364500" cy="450272"/>
                    <wp:effectExtent l="0" t="0" r="26670" b="26035"/>
                    <wp:wrapNone/>
                    <wp:docPr id="1487004926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64500" cy="45027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D75FF71" w14:textId="0CC6AAED" w:rsidR="00AE6A98" w:rsidRDefault="00AE6A98" w:rsidP="00AE6A98">
                                <w:r>
                                  <w:t>Confinement- Steel Case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D34C28E" id="_x0000_s1029" type="#_x0000_t202" style="position:absolute;margin-left:348.5pt;margin-top:9.5pt;width:107.45pt;height:35.4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" fillcolor="white [3201]" strokeweight=".5pt">
                    <v:textbox>
                      <w:txbxContent>
                        <w:p w14:paraId="1D75FF71" w14:textId="0CC6AAED" w:rsidR="00AE6A98" w:rsidRDefault="00AE6A98" w:rsidP="00AE6A98">
                          <w:r>
                            <w:t>Confinement- Steel Case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49C5E8A3" w14:textId="77777777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20700207" w14:textId="18087526" w:rsidR="00375D82" w:rsidRDefault="00AE6A98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noProof/>
              <w:lang w:eastAsia="en-GB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76672" behindDoc="0" locked="0" layoutInCell="1" allowOverlap="1" wp14:anchorId="0E519D01" wp14:editId="20D424C2">
                    <wp:simplePos x="0" y="0"/>
                    <wp:positionH relativeFrom="column">
                      <wp:posOffset>255905</wp:posOffset>
                    </wp:positionH>
                    <wp:positionV relativeFrom="paragraph">
                      <wp:posOffset>249901</wp:posOffset>
                    </wp:positionV>
                    <wp:extent cx="1363980" cy="1219200"/>
                    <wp:effectExtent l="0" t="0" r="26670" b="19050"/>
                    <wp:wrapNone/>
                    <wp:docPr id="1871385914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63980" cy="1219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C000CF1" w14:textId="0AFB2DFA" w:rsidR="00375D82" w:rsidRDefault="00375D82" w:rsidP="00375D82">
                                <w:r>
                                  <w:t>Secondary</w:t>
                                </w:r>
                                <w:r>
                                  <w:t xml:space="preserve"> Explosive- </w:t>
                                </w:r>
                                <w:r>
                                  <w:t>HMX</w:t>
                                </w:r>
                              </w:p>
                              <w:p w14:paraId="75DC1EA2" w14:textId="4AD55268" w:rsidR="00AE6A98" w:rsidRDefault="00AE6A98" w:rsidP="00375D82">
                                <w:r>
                                  <w:t>Density-</w:t>
                                </w:r>
                                <w:r w:rsidR="00DD11C6">
                                  <w:t xml:space="preserve"> 1.89 g/cm</w:t>
                                </w:r>
                                <w:r w:rsidR="00DD11C6" w:rsidRPr="00DD11C6">
                                  <w:rPr>
                                    <w:vertAlign w:val="superscript"/>
                                  </w:rPr>
                                  <w:t>3</w:t>
                                </w:r>
                              </w:p>
                              <w:p w14:paraId="40F2E41F" w14:textId="61A67811" w:rsidR="00AE6A98" w:rsidRDefault="00AE6A98" w:rsidP="00375D82">
                                <w:r>
                                  <w:t xml:space="preserve">Diameter- </w:t>
                                </w:r>
                                <w:r w:rsidR="00DD11C6">
                                  <w:t>d&gt;4 mm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519D01" id="_x0000_s1030" type="#_x0000_t202" style="position:absolute;margin-left:20.15pt;margin-top:19.7pt;width:107.4pt;height: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" fillcolor="white [3201]" strokeweight=".5pt">
                    <v:textbox>
                      <w:txbxContent>
                        <w:p w14:paraId="6C000CF1" w14:textId="0AFB2DFA" w:rsidR="00375D82" w:rsidRDefault="00375D82" w:rsidP="00375D82">
                          <w:r>
                            <w:t>Secondary</w:t>
                          </w:r>
                          <w:r>
                            <w:t xml:space="preserve"> Explosive- </w:t>
                          </w:r>
                          <w:r>
                            <w:t>HMX</w:t>
                          </w:r>
                        </w:p>
                        <w:p w14:paraId="75DC1EA2" w14:textId="4AD55268" w:rsidR="00AE6A98" w:rsidRDefault="00AE6A98" w:rsidP="00375D82">
                          <w:r>
                            <w:t>Density-</w:t>
                          </w:r>
                          <w:r w:rsidR="00DD11C6">
                            <w:t xml:space="preserve"> 1.89 g/cm</w:t>
                          </w:r>
                          <w:r w:rsidR="00DD11C6" w:rsidRPr="00DD11C6">
                            <w:rPr>
                              <w:vertAlign w:val="superscript"/>
                            </w:rPr>
                            <w:t>3</w:t>
                          </w:r>
                        </w:p>
                        <w:p w14:paraId="40F2E41F" w14:textId="61A67811" w:rsidR="00AE6A98" w:rsidRDefault="00AE6A98" w:rsidP="00375D82">
                          <w:r>
                            <w:t xml:space="preserve">Diameter- </w:t>
                          </w:r>
                          <w:r w:rsidR="00DD11C6">
                            <w:t>d&gt;4 mm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2408A02F" w14:textId="77777777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6C360D0D" w14:textId="77777777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3620D10A" w14:textId="77777777" w:rsidR="00375D82" w:rsidRDefault="00375D82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3740BCCA" w14:textId="77777777" w:rsidR="00375D82" w:rsidRDefault="00375D82" w:rsidP="00E512B4">
          <w:pPr>
            <w:keepNext/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  <w:p w14:paraId="406665B4" w14:textId="7EFFB0D6" w:rsidR="00C766F5" w:rsidRDefault="00E512B4" w:rsidP="00E512B4">
          <w:pPr>
            <w:pStyle w:val="Caption"/>
            <w:rPr>
              <w:rFonts w:asciiTheme="minorHAnsi" w:eastAsiaTheme="minorEastAsia" w:hAnsiTheme="minorHAnsi" w:cstheme="minorBidi"/>
              <w:lang w:eastAsia="en-GB"/>
            </w:rPr>
          </w:pPr>
          <w:r>
            <w:t xml:space="preserve">Figure </w:t>
          </w:r>
          <w:fldSimple w:instr=" SEQ Figure \* ARABIC ">
            <w:r w:rsidR="00DC5D9C">
              <w:rPr>
                <w:noProof/>
              </w:rPr>
              <w:t>3</w:t>
            </w:r>
          </w:fldSimple>
          <w:r>
            <w:t>- A model of a munition</w:t>
          </w:r>
        </w:p>
        <w:p w14:paraId="4E5E5962" w14:textId="466A9E13" w:rsidR="00375D82" w:rsidRDefault="00422B97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lang w:eastAsia="en-GB"/>
            </w:rPr>
            <w:t xml:space="preserve">There are 4 key parts to this system. The initiator, a </w:t>
          </w:r>
          <w:r w:rsidR="00E72BED">
            <w:rPr>
              <w:rFonts w:asciiTheme="minorHAnsi" w:eastAsiaTheme="minorEastAsia" w:hAnsiTheme="minorHAnsi" w:cstheme="minorBidi"/>
              <w:lang w:eastAsia="en-GB"/>
            </w:rPr>
            <w:t xml:space="preserve">length of safety </w:t>
          </w:r>
          <w:proofErr w:type="spellStart"/>
          <w:r w:rsidR="00E72BED">
            <w:rPr>
              <w:rFonts w:asciiTheme="minorHAnsi" w:eastAsiaTheme="minorEastAsia" w:hAnsiTheme="minorHAnsi" w:cstheme="minorBidi"/>
              <w:lang w:eastAsia="en-GB"/>
            </w:rPr>
            <w:t>fuze</w:t>
          </w:r>
          <w:proofErr w:type="spellEnd"/>
          <w:r w:rsidR="00432763">
            <w:rPr>
              <w:rFonts w:asciiTheme="minorHAnsi" w:eastAsiaTheme="minorEastAsia" w:hAnsiTheme="minorHAnsi" w:cstheme="minorBidi"/>
              <w:lang w:eastAsia="en-GB"/>
            </w:rPr>
            <w:t xml:space="preserve">. When lit this will burn down the length until it reaches the primary explosive, at which point the explosive will be initiated through the flame from the </w:t>
          </w:r>
          <w:proofErr w:type="spellStart"/>
          <w:r w:rsidR="00432763">
            <w:rPr>
              <w:rFonts w:asciiTheme="minorHAnsi" w:eastAsiaTheme="minorEastAsia" w:hAnsiTheme="minorHAnsi" w:cstheme="minorBidi"/>
              <w:lang w:eastAsia="en-GB"/>
            </w:rPr>
            <w:t>fuze</w:t>
          </w:r>
          <w:proofErr w:type="spellEnd"/>
          <w:r w:rsidR="00432763">
            <w:rPr>
              <w:rFonts w:asciiTheme="minorHAnsi" w:eastAsiaTheme="minorEastAsia" w:hAnsiTheme="minorHAnsi" w:cstheme="minorBidi"/>
              <w:lang w:eastAsia="en-GB"/>
            </w:rPr>
            <w:t xml:space="preserve">. </w:t>
          </w:r>
          <w:r w:rsidR="003A2D7D">
            <w:rPr>
              <w:rFonts w:asciiTheme="minorHAnsi" w:eastAsiaTheme="minorEastAsia" w:hAnsiTheme="minorHAnsi" w:cstheme="minorBidi"/>
              <w:lang w:eastAsia="en-GB"/>
            </w:rPr>
            <w:t xml:space="preserve">As mentioned, the </w:t>
          </w:r>
          <w:proofErr w:type="spellStart"/>
          <w:r w:rsidR="003A2D7D">
            <w:rPr>
              <w:rFonts w:asciiTheme="minorHAnsi" w:eastAsiaTheme="minorEastAsia" w:hAnsiTheme="minorHAnsi" w:cstheme="minorBidi"/>
              <w:lang w:eastAsia="en-GB"/>
            </w:rPr>
            <w:t>fuze</w:t>
          </w:r>
          <w:proofErr w:type="spellEnd"/>
          <w:r w:rsidR="003A2D7D">
            <w:rPr>
              <w:rFonts w:asciiTheme="minorHAnsi" w:eastAsiaTheme="minorEastAsia" w:hAnsiTheme="minorHAnsi" w:cstheme="minorBidi"/>
              <w:lang w:eastAsia="en-GB"/>
            </w:rPr>
            <w:t xml:space="preserve"> is followed by the primary explosive, the lead </w:t>
          </w:r>
          <w:proofErr w:type="spellStart"/>
          <w:r w:rsidR="003A2D7D">
            <w:rPr>
              <w:rFonts w:asciiTheme="minorHAnsi" w:eastAsiaTheme="minorEastAsia" w:hAnsiTheme="minorHAnsi" w:cstheme="minorBidi"/>
              <w:lang w:eastAsia="en-GB"/>
            </w:rPr>
            <w:t>azide</w:t>
          </w:r>
          <w:proofErr w:type="spellEnd"/>
          <w:r w:rsidR="003A2D7D">
            <w:rPr>
              <w:rFonts w:asciiTheme="minorHAnsi" w:eastAsiaTheme="minorEastAsia" w:hAnsiTheme="minorHAnsi" w:cstheme="minorBidi"/>
              <w:lang w:eastAsia="en-GB"/>
            </w:rPr>
            <w:t xml:space="preserve">. </w:t>
          </w:r>
          <w:r w:rsidR="00466A39">
            <w:rPr>
              <w:rFonts w:asciiTheme="minorHAnsi" w:eastAsiaTheme="minorEastAsia" w:hAnsiTheme="minorHAnsi" w:cstheme="minorBidi"/>
              <w:lang w:eastAsia="en-GB"/>
            </w:rPr>
            <w:t xml:space="preserve">For this to </w:t>
          </w:r>
          <w:r w:rsidR="00AC13AB">
            <w:rPr>
              <w:rFonts w:asciiTheme="minorHAnsi" w:eastAsiaTheme="minorEastAsia" w:hAnsiTheme="minorHAnsi" w:cstheme="minorBidi"/>
              <w:lang w:eastAsia="en-GB"/>
            </w:rPr>
            <w:t xml:space="preserve">successfully detonate, this needs to have a </w:t>
          </w:r>
          <w:r w:rsidR="005518D2">
            <w:rPr>
              <w:rFonts w:asciiTheme="minorHAnsi" w:eastAsiaTheme="minorEastAsia" w:hAnsiTheme="minorHAnsi" w:cstheme="minorBidi"/>
              <w:lang w:eastAsia="en-GB"/>
            </w:rPr>
            <w:t xml:space="preserve">critical diameter </w:t>
          </w:r>
          <w:r w:rsidR="00EA4E25">
            <w:rPr>
              <w:rFonts w:asciiTheme="minorHAnsi" w:eastAsiaTheme="minorEastAsia" w:hAnsiTheme="minorHAnsi" w:cstheme="minorBidi"/>
              <w:lang w:eastAsia="en-GB"/>
            </w:rPr>
            <w:t>potential as low as 0.02mm</w:t>
          </w:r>
          <w:r w:rsidR="00EE2139">
            <w:rPr>
              <w:rFonts w:asciiTheme="minorHAnsi" w:eastAsiaTheme="minorEastAsia" w:hAnsiTheme="minorHAnsi" w:cstheme="minorBidi"/>
              <w:lang w:eastAsia="en-GB"/>
            </w:rPr>
            <w:t>, as shown by Bowden and McLaren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20522294"/>
              <w:citation/>
            </w:sdtPr>
            <w:sdtContent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Bow55 \l 2057 </w:instrTex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[10]</w: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EE2139">
            <w:rPr>
              <w:rFonts w:asciiTheme="minorHAnsi" w:eastAsiaTheme="minorEastAsia" w:hAnsiTheme="minorHAnsi" w:cstheme="minorBidi"/>
              <w:lang w:eastAsia="en-GB"/>
            </w:rPr>
            <w:t xml:space="preserve">, </w:t>
          </w:r>
          <w:r w:rsidR="003E7962">
            <w:rPr>
              <w:rFonts w:asciiTheme="minorHAnsi" w:eastAsiaTheme="minorEastAsia" w:hAnsiTheme="minorHAnsi" w:cstheme="minorBidi"/>
              <w:lang w:eastAsia="en-GB"/>
            </w:rPr>
            <w:t>however,</w:t>
          </w:r>
          <w:r w:rsidR="00EE2139">
            <w:rPr>
              <w:rFonts w:asciiTheme="minorHAnsi" w:eastAsiaTheme="minorEastAsia" w:hAnsiTheme="minorHAnsi" w:cstheme="minorBidi"/>
              <w:lang w:eastAsia="en-GB"/>
            </w:rPr>
            <w:t xml:space="preserve"> </w:t>
          </w:r>
          <w:r w:rsidR="0028016A">
            <w:rPr>
              <w:rFonts w:asciiTheme="minorHAnsi" w:eastAsiaTheme="minorEastAsia" w:hAnsiTheme="minorHAnsi" w:cstheme="minorBidi"/>
              <w:lang w:eastAsia="en-GB"/>
            </w:rPr>
            <w:t>to ensure the reliability of the detonation</w:t>
          </w:r>
          <w:r w:rsidR="003E7962">
            <w:rPr>
              <w:rFonts w:asciiTheme="minorHAnsi" w:eastAsiaTheme="minorEastAsia" w:hAnsiTheme="minorHAnsi" w:cstheme="minorBidi"/>
              <w:lang w:eastAsia="en-GB"/>
            </w:rPr>
            <w:t xml:space="preserve"> a higher diameter should be used. Jung reported densities of </w:t>
          </w:r>
          <w:r w:rsidR="00DC1118">
            <w:rPr>
              <w:rFonts w:asciiTheme="minorHAnsi" w:eastAsiaTheme="minorEastAsia" w:hAnsiTheme="minorHAnsi" w:cstheme="minorBidi"/>
              <w:lang w:eastAsia="en-GB"/>
            </w:rPr>
            <w:t xml:space="preserve">41.80% TMD initiating, </w:t>
          </w:r>
          <w:r w:rsidR="00EA1C43">
            <w:rPr>
              <w:rFonts w:asciiTheme="minorHAnsi" w:eastAsiaTheme="minorEastAsia" w:hAnsiTheme="minorHAnsi" w:cstheme="minorBidi"/>
              <w:lang w:eastAsia="en-GB"/>
            </w:rPr>
            <w:t xml:space="preserve">at </w:t>
          </w:r>
          <w:r w:rsidR="002729F1">
            <w:rPr>
              <w:rFonts w:asciiTheme="minorHAnsi" w:eastAsiaTheme="minorEastAsia" w:hAnsiTheme="minorHAnsi" w:cstheme="minorBidi"/>
              <w:lang w:eastAsia="en-GB"/>
            </w:rPr>
            <w:t>1.97 g/cm</w:t>
          </w:r>
          <w:r w:rsidR="002729F1" w:rsidRPr="002729F1">
            <w:rPr>
              <w:rFonts w:asciiTheme="minorHAnsi" w:eastAsiaTheme="minorEastAsia" w:hAnsiTheme="minorHAnsi" w:cstheme="minorBidi"/>
              <w:vertAlign w:val="superscript"/>
              <w:lang w:eastAsia="en-GB"/>
            </w:rPr>
            <w:t>3</w:t>
          </w:r>
          <w:r w:rsidR="00150CAA">
            <w:rPr>
              <w:rFonts w:asciiTheme="minorHAnsi" w:eastAsiaTheme="minorEastAsia" w:hAnsiTheme="minorHAnsi" w:cstheme="minorBidi"/>
              <w:lang w:eastAsia="en-GB"/>
            </w:rPr>
            <w:t>, resulting in a velocity of 2.6km/s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-1190053786"/>
              <w:citation/>
            </w:sdtPr>
            <w:sdtContent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Jun06 \l 2057 </w:instrTex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[9]</w: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150CAA">
            <w:rPr>
              <w:rFonts w:asciiTheme="minorHAnsi" w:eastAsiaTheme="minorEastAsia" w:hAnsiTheme="minorHAnsi" w:cstheme="minorBidi"/>
              <w:lang w:eastAsia="en-GB"/>
            </w:rPr>
            <w:t xml:space="preserve">, however again to </w:t>
          </w:r>
          <w:r w:rsidR="0003478E">
            <w:rPr>
              <w:rFonts w:asciiTheme="minorHAnsi" w:eastAsiaTheme="minorEastAsia" w:hAnsiTheme="minorHAnsi" w:cstheme="minorBidi"/>
              <w:lang w:eastAsia="en-GB"/>
            </w:rPr>
            <w:t xml:space="preserve">ensure a stable detonation and the initiation of the secondary explosive, a higher density should be used, </w:t>
          </w:r>
          <w:r w:rsidR="00AF6323">
            <w:rPr>
              <w:rFonts w:asciiTheme="minorHAnsi" w:eastAsiaTheme="minorEastAsia" w:hAnsiTheme="minorHAnsi" w:cstheme="minorBidi"/>
              <w:lang w:eastAsia="en-GB"/>
            </w:rPr>
            <w:t>with LLNL reporting 3.8 g/cm</w:t>
          </w:r>
          <w:r w:rsidR="00AF6323" w:rsidRPr="00AF6323">
            <w:rPr>
              <w:rFonts w:asciiTheme="minorHAnsi" w:eastAsiaTheme="minorEastAsia" w:hAnsiTheme="minorHAnsi" w:cstheme="minorBidi"/>
              <w:vertAlign w:val="superscript"/>
              <w:lang w:eastAsia="en-GB"/>
            </w:rPr>
            <w:t>3</w:t>
          </w:r>
          <w:r w:rsidR="00AF6323">
            <w:rPr>
              <w:rFonts w:asciiTheme="minorHAnsi" w:eastAsiaTheme="minorEastAsia" w:hAnsiTheme="minorHAnsi" w:cstheme="minorBidi"/>
              <w:lang w:eastAsia="en-GB"/>
            </w:rPr>
            <w:t xml:space="preserve"> giving a stable velocity of </w:t>
          </w:r>
          <w:r w:rsidR="00116CF1">
            <w:rPr>
              <w:rFonts w:asciiTheme="minorHAnsi" w:eastAsiaTheme="minorEastAsia" w:hAnsiTheme="minorHAnsi" w:cstheme="minorBidi"/>
              <w:lang w:eastAsia="en-GB"/>
            </w:rPr>
            <w:t>5.5 km/s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-1966494053"/>
              <w:citation/>
            </w:sdtPr>
            <w:sdtContent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Dob85 \l 2057 </w:instrTex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[4]</w: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116CF1">
            <w:rPr>
              <w:rFonts w:asciiTheme="minorHAnsi" w:eastAsiaTheme="minorEastAsia" w:hAnsiTheme="minorHAnsi" w:cstheme="minorBidi"/>
              <w:lang w:eastAsia="en-GB"/>
            </w:rPr>
            <w:t xml:space="preserve">. The secondary explosive, HMX, has similar restrictions on the charge being used. </w:t>
          </w:r>
          <w:r w:rsidR="005950D5">
            <w:rPr>
              <w:rFonts w:asciiTheme="minorHAnsi" w:eastAsiaTheme="minorEastAsia" w:hAnsiTheme="minorHAnsi" w:cstheme="minorBidi"/>
              <w:lang w:eastAsia="en-GB"/>
            </w:rPr>
            <w:t xml:space="preserve">While HMX </w:t>
          </w:r>
          <w:r w:rsidR="005950D5">
            <w:rPr>
              <w:rFonts w:asciiTheme="minorHAnsi" w:eastAsiaTheme="minorEastAsia" w:hAnsiTheme="minorHAnsi" w:cstheme="minorBidi"/>
              <w:lang w:eastAsia="en-GB"/>
            </w:rPr>
            <w:lastRenderedPageBreak/>
            <w:t>based PBX formulations achieved</w:t>
          </w:r>
          <w:r w:rsidR="005236A3">
            <w:rPr>
              <w:rFonts w:asciiTheme="minorHAnsi" w:eastAsiaTheme="minorEastAsia" w:hAnsiTheme="minorHAnsi" w:cstheme="minorBidi"/>
              <w:lang w:eastAsia="en-GB"/>
            </w:rPr>
            <w:t xml:space="preserve"> critical diameters as low as 1.02 mm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-2047367499"/>
              <w:citation/>
            </w:sdtPr>
            <w:sdtContent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Dob85 \l 2057 </w:instrTex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[4]</w: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5236A3">
            <w:rPr>
              <w:rFonts w:asciiTheme="minorHAnsi" w:eastAsiaTheme="minorEastAsia" w:hAnsiTheme="minorHAnsi" w:cstheme="minorBidi"/>
              <w:lang w:eastAsia="en-GB"/>
            </w:rPr>
            <w:t>, the lowest confirmed HMX only diameter was 4mm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-1339925223"/>
              <w:citation/>
            </w:sdtPr>
            <w:sdtContent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Mor26 \l 2057 </w:instrTex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[11]</w:t>
              </w:r>
              <w:r w:rsidR="00190533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5236A3">
            <w:rPr>
              <w:rFonts w:asciiTheme="minorHAnsi" w:eastAsiaTheme="minorEastAsia" w:hAnsiTheme="minorHAnsi" w:cstheme="minorBidi"/>
              <w:lang w:eastAsia="en-GB"/>
            </w:rPr>
            <w:t xml:space="preserve">. </w:t>
          </w:r>
          <w:proofErr w:type="gramStart"/>
          <w:r w:rsidR="005236A3">
            <w:rPr>
              <w:rFonts w:asciiTheme="minorHAnsi" w:eastAsiaTheme="minorEastAsia" w:hAnsiTheme="minorHAnsi" w:cstheme="minorBidi"/>
              <w:lang w:eastAsia="en-GB"/>
            </w:rPr>
            <w:t>Similar to</w:t>
          </w:r>
          <w:proofErr w:type="gramEnd"/>
          <w:r w:rsidR="005236A3">
            <w:rPr>
              <w:rFonts w:asciiTheme="minorHAnsi" w:eastAsiaTheme="minorEastAsia" w:hAnsiTheme="minorHAnsi" w:cstheme="minorBidi"/>
              <w:lang w:eastAsia="en-GB"/>
            </w:rPr>
            <w:t xml:space="preserve"> the lead </w:t>
          </w:r>
          <w:proofErr w:type="spellStart"/>
          <w:r w:rsidR="005236A3">
            <w:rPr>
              <w:rFonts w:asciiTheme="minorHAnsi" w:eastAsiaTheme="minorEastAsia" w:hAnsiTheme="minorHAnsi" w:cstheme="minorBidi"/>
              <w:lang w:eastAsia="en-GB"/>
            </w:rPr>
            <w:t>azide</w:t>
          </w:r>
          <w:proofErr w:type="spellEnd"/>
          <w:r w:rsidR="005236A3">
            <w:rPr>
              <w:rFonts w:asciiTheme="minorHAnsi" w:eastAsiaTheme="minorEastAsia" w:hAnsiTheme="minorHAnsi" w:cstheme="minorBidi"/>
              <w:lang w:eastAsia="en-GB"/>
            </w:rPr>
            <w:t xml:space="preserve">, while this is possible to use, to ensure </w:t>
          </w:r>
          <w:r w:rsidR="00DA322B">
            <w:rPr>
              <w:rFonts w:asciiTheme="minorHAnsi" w:eastAsiaTheme="minorEastAsia" w:hAnsiTheme="minorHAnsi" w:cstheme="minorBidi"/>
              <w:lang w:eastAsia="en-GB"/>
            </w:rPr>
            <w:t xml:space="preserve">a stable detonation, a higher diameter is </w:t>
          </w:r>
          <w:r w:rsidR="00340E5A">
            <w:rPr>
              <w:rFonts w:asciiTheme="minorHAnsi" w:eastAsiaTheme="minorEastAsia" w:hAnsiTheme="minorHAnsi" w:cstheme="minorBidi"/>
              <w:lang w:eastAsia="en-GB"/>
            </w:rPr>
            <w:t xml:space="preserve">ideal. Densities as low as </w:t>
          </w:r>
          <w:r w:rsidR="00825632">
            <w:rPr>
              <w:rFonts w:asciiTheme="minorHAnsi" w:eastAsiaTheme="minorEastAsia" w:hAnsiTheme="minorHAnsi" w:cstheme="minorBidi"/>
              <w:lang w:eastAsia="en-GB"/>
            </w:rPr>
            <w:t>0.53 g/cm</w:t>
          </w:r>
          <w:r w:rsidR="00825632" w:rsidRPr="00825632">
            <w:rPr>
              <w:rFonts w:asciiTheme="minorHAnsi" w:eastAsiaTheme="minorEastAsia" w:hAnsiTheme="minorHAnsi" w:cstheme="minorBidi"/>
              <w:vertAlign w:val="superscript"/>
              <w:lang w:eastAsia="en-GB"/>
            </w:rPr>
            <w:t>3</w:t>
          </w:r>
          <w:r w:rsidR="00825632">
            <w:rPr>
              <w:rFonts w:asciiTheme="minorHAnsi" w:eastAsiaTheme="minorEastAsia" w:hAnsiTheme="minorHAnsi" w:cstheme="minorBidi"/>
              <w:lang w:eastAsia="en-GB"/>
            </w:rPr>
            <w:t xml:space="preserve"> initiated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162590090"/>
              <w:citation/>
            </w:sdtPr>
            <w:sdtContent>
              <w:r w:rsidR="005470C7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5470C7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Gar14 \l 2057 </w:instrText>
              </w:r>
              <w:r w:rsidR="005470C7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[6]</w:t>
              </w:r>
              <w:r w:rsidR="005470C7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825632">
            <w:rPr>
              <w:rFonts w:asciiTheme="minorHAnsi" w:eastAsiaTheme="minorEastAsia" w:hAnsiTheme="minorHAnsi" w:cstheme="minorBidi"/>
              <w:lang w:eastAsia="en-GB"/>
            </w:rPr>
            <w:t xml:space="preserve">, however </w:t>
          </w:r>
          <w:r w:rsidR="00612B2F">
            <w:rPr>
              <w:rFonts w:asciiTheme="minorHAnsi" w:eastAsiaTheme="minorEastAsia" w:hAnsiTheme="minorHAnsi" w:cstheme="minorBidi"/>
              <w:lang w:eastAsia="en-GB"/>
            </w:rPr>
            <w:t xml:space="preserve">for HMX there is no risk of dead pressing, and with this as the main charge of the munition, a density of as high as possible should be used, in this case </w:t>
          </w:r>
          <w:r w:rsidR="00423AC0">
            <w:rPr>
              <w:rFonts w:asciiTheme="minorHAnsi" w:eastAsiaTheme="minorEastAsia" w:hAnsiTheme="minorHAnsi" w:cstheme="minorBidi"/>
              <w:lang w:eastAsia="en-GB"/>
            </w:rPr>
            <w:t>1.89 g/cm</w:t>
          </w:r>
          <w:r w:rsidR="00423AC0" w:rsidRPr="00423AC0">
            <w:rPr>
              <w:rFonts w:asciiTheme="minorHAnsi" w:eastAsiaTheme="minorEastAsia" w:hAnsiTheme="minorHAnsi" w:cstheme="minorBidi"/>
              <w:vertAlign w:val="superscript"/>
              <w:lang w:eastAsia="en-GB"/>
            </w:rPr>
            <w:t>3</w:t>
          </w:r>
          <w:r w:rsidR="00423AC0">
            <w:rPr>
              <w:rFonts w:asciiTheme="minorHAnsi" w:eastAsiaTheme="minorEastAsia" w:hAnsiTheme="minorHAnsi" w:cstheme="minorBidi"/>
              <w:lang w:eastAsia="en-GB"/>
            </w:rPr>
            <w:t>, 99% of TMD</w:t>
          </w:r>
          <w:sdt>
            <w:sdtPr>
              <w:rPr>
                <w:rFonts w:asciiTheme="minorHAnsi" w:eastAsiaTheme="minorEastAsia" w:hAnsiTheme="minorHAnsi" w:cstheme="minorBidi"/>
                <w:lang w:eastAsia="en-GB"/>
              </w:rPr>
              <w:id w:val="849298647"/>
              <w:citation/>
            </w:sdtPr>
            <w:sdtContent>
              <w:r w:rsidR="009F659C">
                <w:rPr>
                  <w:rFonts w:asciiTheme="minorHAnsi" w:eastAsiaTheme="minorEastAsia" w:hAnsiTheme="minorHAnsi" w:cstheme="minorBidi"/>
                  <w:lang w:eastAsia="en-GB"/>
                </w:rPr>
                <w:fldChar w:fldCharType="begin"/>
              </w:r>
              <w:r w:rsidR="009F659C">
                <w:rPr>
                  <w:rFonts w:asciiTheme="minorHAnsi" w:eastAsiaTheme="minorEastAsia" w:hAnsiTheme="minorHAnsi" w:cstheme="minorBidi"/>
                  <w:lang w:eastAsia="en-GB"/>
                </w:rPr>
                <w:instrText xml:space="preserve"> CITATION Ste85 \l 2057 </w:instrText>
              </w:r>
              <w:r w:rsidR="009F659C">
                <w:rPr>
                  <w:rFonts w:asciiTheme="minorHAnsi" w:eastAsiaTheme="minorEastAsia" w:hAnsiTheme="minorHAnsi" w:cstheme="minorBidi"/>
                  <w:lang w:eastAsia="en-GB"/>
                </w:rPr>
                <w:fldChar w:fldCharType="separate"/>
              </w:r>
              <w:r w:rsid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 xml:space="preserve"> </w:t>
              </w:r>
              <w:r w:rsidR="00DC5D9C" w:rsidRPr="00DC5D9C">
                <w:rPr>
                  <w:rFonts w:asciiTheme="minorHAnsi" w:eastAsiaTheme="minorEastAsia" w:hAnsiTheme="minorHAnsi" w:cstheme="minorBidi"/>
                  <w:noProof/>
                  <w:lang w:eastAsia="en-GB"/>
                </w:rPr>
                <w:t>[16]</w:t>
              </w:r>
              <w:r w:rsidR="009F659C">
                <w:rPr>
                  <w:rFonts w:asciiTheme="minorHAnsi" w:eastAsiaTheme="minorEastAsia" w:hAnsiTheme="minorHAnsi" w:cstheme="minorBidi"/>
                  <w:lang w:eastAsia="en-GB"/>
                </w:rPr>
                <w:fldChar w:fldCharType="end"/>
              </w:r>
            </w:sdtContent>
          </w:sdt>
          <w:r w:rsidR="00423AC0">
            <w:rPr>
              <w:rFonts w:asciiTheme="minorHAnsi" w:eastAsiaTheme="minorEastAsia" w:hAnsiTheme="minorHAnsi" w:cstheme="minorBidi"/>
              <w:lang w:eastAsia="en-GB"/>
            </w:rPr>
            <w:t>. This enhances the effectiveness of the detonation, which should be maximized for a munition</w:t>
          </w:r>
          <w:r w:rsidR="0072487A">
            <w:rPr>
              <w:rFonts w:asciiTheme="minorHAnsi" w:eastAsiaTheme="minorEastAsia" w:hAnsiTheme="minorHAnsi" w:cstheme="minorBidi"/>
              <w:lang w:eastAsia="en-GB"/>
            </w:rPr>
            <w:t xml:space="preserve">, </w:t>
          </w:r>
          <w:proofErr w:type="gramStart"/>
          <w:r w:rsidR="0072487A">
            <w:rPr>
              <w:rFonts w:asciiTheme="minorHAnsi" w:eastAsiaTheme="minorEastAsia" w:hAnsiTheme="minorHAnsi" w:cstheme="minorBidi"/>
              <w:lang w:eastAsia="en-GB"/>
            </w:rPr>
            <w:t>as a result of</w:t>
          </w:r>
          <w:proofErr w:type="gramEnd"/>
          <w:r w:rsidR="0072487A">
            <w:rPr>
              <w:rFonts w:asciiTheme="minorHAnsi" w:eastAsiaTheme="minorEastAsia" w:hAnsiTheme="minorHAnsi" w:cstheme="minorBidi"/>
              <w:lang w:eastAsia="en-GB"/>
            </w:rPr>
            <w:t xml:space="preserve"> the significantly higher velocity of detonation of 9.1 km/s. All of this is being confined within a casing of steel, to maximise the confinement of the explosives, </w:t>
          </w:r>
          <w:r w:rsidR="00674F5A">
            <w:rPr>
              <w:rFonts w:asciiTheme="minorHAnsi" w:eastAsiaTheme="minorEastAsia" w:hAnsiTheme="minorHAnsi" w:cstheme="minorBidi"/>
              <w:lang w:eastAsia="en-GB"/>
            </w:rPr>
            <w:t>which ensures the diameters of the charge are high enough to detonate, and increases the velocity of detonation</w:t>
          </w:r>
          <w:r w:rsidR="00AE6A98">
            <w:rPr>
              <w:rFonts w:asciiTheme="minorHAnsi" w:eastAsiaTheme="minorEastAsia" w:hAnsiTheme="minorHAnsi" w:cstheme="minorBidi"/>
              <w:lang w:eastAsia="en-GB"/>
            </w:rPr>
            <w:t>.</w:t>
          </w:r>
        </w:p>
        <w:p w14:paraId="4C133AB4" w14:textId="18BFE0A9" w:rsidR="00DC5D9C" w:rsidRDefault="00DC5D9C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  <w:r>
            <w:rPr>
              <w:rFonts w:asciiTheme="minorHAnsi" w:eastAsiaTheme="minorEastAsia" w:hAnsiTheme="minorHAnsi" w:cstheme="minorBidi"/>
              <w:lang w:eastAsia="en-GB"/>
            </w:rPr>
            <w:br w:type="page"/>
          </w:r>
        </w:p>
        <w:sdt>
          <w:sdtPr>
            <w:id w:val="-2008588651"/>
            <w:docPartObj>
              <w:docPartGallery w:val="Bibliographies"/>
              <w:docPartUnique/>
            </w:docPartObj>
          </w:sdtPr>
          <w:sdtEndPr>
            <w:rPr>
              <w:rFonts w:ascii="Calibri" w:eastAsia="Calibri" w:hAnsi="Calibri" w:cs="Calibri"/>
              <w:color w:val="auto"/>
              <w:sz w:val="22"/>
              <w:szCs w:val="22"/>
            </w:rPr>
          </w:sdtEndPr>
          <w:sdtContent>
            <w:p w14:paraId="255878B1" w14:textId="1A6F8A93" w:rsidR="00DC5D9C" w:rsidRDefault="00DC5D9C">
              <w:pPr>
                <w:pStyle w:val="Heading1"/>
              </w:pPr>
              <w:r>
                <w:t>References</w:t>
              </w:r>
            </w:p>
            <w:sdt>
              <w:sdtPr>
                <w:id w:val="-573587230"/>
                <w:bibliography/>
              </w:sdtPr>
              <w:sdtContent>
                <w:p w14:paraId="46C02476" w14:textId="77777777" w:rsidR="00DC5D9C" w:rsidRDefault="00DC5D9C">
                  <w:pPr>
                    <w:rPr>
                      <w:rFonts w:asciiTheme="minorHAnsi" w:eastAsiaTheme="minorHAnsi" w:hAnsiTheme="minorHAnsi" w:cstheme="minorBidi"/>
                      <w:noProof/>
                      <w:kern w:val="2"/>
                      <w:sz w:val="24"/>
                      <w:szCs w:val="24"/>
                      <w14:ligatures w14:val="standardContextual"/>
                    </w:rPr>
                  </w:pPr>
                  <w:r>
                    <w:fldChar w:fldCharType="begin"/>
                  </w:r>
                  <w:r>
                    <w:instrText>BIBLIOGRAPHY</w:instrText>
                  </w:r>
                  <w:r>
                    <w:fldChar w:fldCharType="separate"/>
                  </w:r>
                </w:p>
                <w:tbl>
                  <w:tblPr>
                    <w:tblW w:w="5000" w:type="pct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433"/>
                    <w:gridCol w:w="8593"/>
                  </w:tblGrid>
                  <w:tr w:rsidR="00DC5D9C" w14:paraId="7C8033E1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384D615" w14:textId="686A07F5" w:rsidR="00DC5D9C" w:rsidRDefault="00DC5D9C">
                        <w:pPr>
                          <w:pStyle w:val="Bibliography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rPr>
                            <w:noProof/>
                          </w:rPr>
                          <w:t xml:space="preserve">[1]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0A15AC50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D. G. Collett,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Block 1 Lesson 1 OME Introduction, </w:t>
                        </w:r>
                        <w:r>
                          <w:rPr>
                            <w:noProof/>
                          </w:rPr>
                          <w:t xml:space="preserve">2025. </w:t>
                        </w:r>
                      </w:p>
                    </w:tc>
                  </w:tr>
                  <w:tr w:rsidR="00DC5D9C" w14:paraId="586E9E2A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5D532F21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[2]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5B43F082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D. G. Collett,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Block 1 Lesson 3 Deflagration, Detonation and the Explosives Train 2025, </w:t>
                        </w:r>
                        <w:r>
                          <w:rPr>
                            <w:noProof/>
                          </w:rPr>
                          <w:t xml:space="preserve">2025. </w:t>
                        </w:r>
                      </w:p>
                    </w:tc>
                  </w:tr>
                  <w:tr w:rsidR="00DC5D9C" w14:paraId="322B10DC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26B6A386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[3]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7AC2598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J. Akhavan, The Chemistry of Explosives, 4th ed., London: Royal Society of Chemistry, 2022. </w:t>
                        </w:r>
                      </w:p>
                    </w:tc>
                  </w:tr>
                  <w:tr w:rsidR="00DC5D9C" w14:paraId="58B84AA6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9329D31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[4]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65C52F66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B. M. C. P. C. Dobratz, LLNL Explosives Handbook: Properties of Chemical Explosives and Explosive Simulants, Livermore, California: Laurence Livermore National Laboratories, University of California, 1985. </w:t>
                        </w:r>
                      </w:p>
                    </w:tc>
                  </w:tr>
                  <w:tr w:rsidR="00DC5D9C" w14:paraId="3532F93D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114A00B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[5]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F4C8262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Ministry of Defence, “JSP 333 Service Textbook of Explosives,” Defence Equipment and Support, 2020.</w:t>
                        </w:r>
                      </w:p>
                    </w:tc>
                  </w:tr>
                  <w:tr w:rsidR="00DC5D9C" w14:paraId="194DB049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F907AF0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[6]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64C94AF6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F. Garcia, K. S. Vandersall and C. M. Tarver, “Shock initiation experiments with ignition and growth modeling on low density HMX,”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Journal of Physics: Conference Series, </w:t>
                        </w:r>
                        <w:r>
                          <w:rPr>
                            <w:noProof/>
                          </w:rPr>
                          <w:t xml:space="preserve">vol. 500, 2014. </w:t>
                        </w:r>
                      </w:p>
                    </w:tc>
                  </w:tr>
                  <w:tr w:rsidR="00DC5D9C" w14:paraId="2EE22017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5470B018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[7]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02205ED1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M. J. Burns, “Shock initiation of low density polymer bonded explosive LX-14: A study of two morphologies,”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Journal of Applied Physics, </w:t>
                        </w:r>
                        <w:r>
                          <w:rPr>
                            <w:noProof/>
                          </w:rPr>
                          <w:t xml:space="preserve">vol. 131, no. 145103, 2022. </w:t>
                        </w:r>
                      </w:p>
                    </w:tc>
                  </w:tr>
                  <w:tr w:rsidR="00DC5D9C" w14:paraId="1DD4B64B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3F5D39F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[8]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8C44D41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A. Minchinton, “On the Influence of Fundamental Detonics on Blasting Practice,” in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>11th International Symposium on Rock Fragmentation by Blasting</w:t>
                        </w:r>
                        <w:r>
                          <w:rPr>
                            <w:noProof/>
                          </w:rPr>
                          <w:t xml:space="preserve">, Sydney, Australia, 2015. </w:t>
                        </w:r>
                      </w:p>
                    </w:tc>
                  </w:tr>
                  <w:tr w:rsidR="00DC5D9C" w14:paraId="7D54E442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04622282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[9]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3D27EBD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P. C. Jung, “Initiation and Detonation in Lead Azide and Silver Azide at Sub Milimetre Geometries,” Texax Tech University, 2006.</w:t>
                        </w:r>
                      </w:p>
                    </w:tc>
                  </w:tr>
                  <w:tr w:rsidR="00DC5D9C" w14:paraId="13267194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CC5C2BF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[10]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09CCDC27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F. P. Bowden and A. C. McLaren, “Detonation in Azides When the Dimensions Are Comparable With The Length of the Reaction Zone,” in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>Second ONR Symposium on Detonation</w:t>
                        </w:r>
                        <w:r>
                          <w:rPr>
                            <w:noProof/>
                          </w:rPr>
                          <w:t xml:space="preserve">, Washington, 1955. </w:t>
                        </w:r>
                      </w:p>
                    </w:tc>
                  </w:tr>
                  <w:tr w:rsidR="00DC5D9C" w14:paraId="11401967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4DFF117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[11]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5E30CD48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J. Morand, P. Hébert, S. Kerampran and M. Arrigoni, “Characterizing the critical initiation conditions of HMX using laser-driven flyers,”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Internation Joural of Impact Engineering, </w:t>
                        </w:r>
                        <w:r>
                          <w:rPr>
                            <w:noProof/>
                          </w:rPr>
                          <w:t xml:space="preserve">vol. 208, 2026. </w:t>
                        </w:r>
                      </w:p>
                    </w:tc>
                  </w:tr>
                  <w:tr w:rsidR="00DC5D9C" w14:paraId="7EF2FAD8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631B3A84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[12]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26A0B957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H.-N. Presles, P. Vidal and B. Khasainov, “Experimental study of the detonation of technical grade Ammonium Nitrate,”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C. R. Mecanique 337, </w:t>
                        </w:r>
                        <w:r>
                          <w:rPr>
                            <w:noProof/>
                          </w:rPr>
                          <w:t xml:space="preserve">pp. 755-760, 2009. </w:t>
                        </w:r>
                      </w:p>
                    </w:tc>
                  </w:tr>
                  <w:tr w:rsidR="00DC5D9C" w14:paraId="233EE59B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A8E322B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[13]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C2785A5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Z.-X. Zhang, Rock Fracture and Blasting, 2016. </w:t>
                        </w:r>
                      </w:p>
                    </w:tc>
                  </w:tr>
                  <w:tr w:rsidR="00DC5D9C" w14:paraId="3E4365BD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EFB3CE8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[14]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75C62B4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R. Weinheimer, “Properties of Selected High Explosives,” in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>27th International Pyrotechnics Seminar</w:t>
                        </w:r>
                        <w:r>
                          <w:rPr>
                            <w:noProof/>
                          </w:rPr>
                          <w:t xml:space="preserve">, Grand Junction, Colorado, 2000. </w:t>
                        </w:r>
                      </w:p>
                    </w:tc>
                  </w:tr>
                  <w:tr w:rsidR="00DC5D9C" w14:paraId="3CA6217A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3AA2CF0A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[15]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12ED8223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P. M. Dickson and T. E. Field, “Explosives, Initiation and Propagation in Primary,”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Proceedings: Mathematical and Physical Sciences, </w:t>
                        </w:r>
                        <w:r>
                          <w:rPr>
                            <w:noProof/>
                          </w:rPr>
                          <w:t xml:space="preserve">vol. 441, no. 1912, pp. 359-375, 1993. </w:t>
                        </w:r>
                      </w:p>
                    </w:tc>
                  </w:tr>
                  <w:tr w:rsidR="00DC5D9C" w14:paraId="38B49390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C5F17F7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[16]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72745FB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D. J. Steinberg, “COMPARISON OF EXPERIMENTAL DATA ON DETONATION VELOCITY AND CHAPMAN-JOUGET PRESSURE VS INITIAL HE DENSITY WITH PREDICTIONS FROM REE'S MODEL </w:t>
                        </w:r>
                        <w:r>
                          <w:rPr>
                            <w:noProof/>
                          </w:rPr>
                          <w:lastRenderedPageBreak/>
                          <w:t xml:space="preserve">EQUATION OF STATE,” in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>8th International Symposiurn on Detonation</w:t>
                        </w:r>
                        <w:r>
                          <w:rPr>
                            <w:noProof/>
                          </w:rPr>
                          <w:t xml:space="preserve">, Albuquerque, New Mexico, 1985. </w:t>
                        </w:r>
                      </w:p>
                    </w:tc>
                  </w:tr>
                  <w:tr w:rsidR="00DC5D9C" w14:paraId="4B193CD6" w14:textId="77777777">
                    <w:trPr>
                      <w:divId w:val="1634291819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028DCC04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lastRenderedPageBreak/>
                          <w:t xml:space="preserve">[17]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14D85A9F" w14:textId="77777777" w:rsidR="00DC5D9C" w:rsidRDefault="00DC5D9C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D. Frem, “A mathematical model for estimating the Gurney velocity of chemical high explosives,”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FirePhysChem, </w:t>
                        </w:r>
                        <w:r>
                          <w:rPr>
                            <w:noProof/>
                          </w:rPr>
                          <w:t xml:space="preserve">vol. 3, no. 4, pp. 281-291, 2023. </w:t>
                        </w:r>
                      </w:p>
                    </w:tc>
                  </w:tr>
                </w:tbl>
                <w:p w14:paraId="223FBBA1" w14:textId="77777777" w:rsidR="00DC5D9C" w:rsidRDefault="00DC5D9C">
                  <w:pPr>
                    <w:divId w:val="1634291819"/>
                    <w:rPr>
                      <w:rFonts w:eastAsia="Times New Roman"/>
                      <w:noProof/>
                    </w:rPr>
                  </w:pPr>
                </w:p>
                <w:p w14:paraId="4E1AD3CD" w14:textId="4274EB31" w:rsidR="00DC5D9C" w:rsidRDefault="00DC5D9C">
                  <w:r>
                    <w:rPr>
                      <w:b/>
                      <w:bCs/>
                    </w:rPr>
                    <w:fldChar w:fldCharType="end"/>
                  </w:r>
                </w:p>
              </w:sdtContent>
            </w:sdt>
          </w:sdtContent>
        </w:sdt>
        <w:p w14:paraId="141A81FF" w14:textId="77777777" w:rsidR="00DC5D9C" w:rsidRPr="00CD7535" w:rsidRDefault="00DC5D9C" w:rsidP="00517429">
          <w:pPr>
            <w:spacing w:line="278" w:lineRule="auto"/>
            <w:rPr>
              <w:rFonts w:asciiTheme="minorHAnsi" w:eastAsiaTheme="minorEastAsia" w:hAnsiTheme="minorHAnsi" w:cstheme="minorBidi"/>
              <w:lang w:eastAsia="en-GB"/>
            </w:rPr>
          </w:pPr>
        </w:p>
      </w:sdtContent>
    </w:sdt>
    <w:sectPr w:rsidR="00DC5D9C" w:rsidRPr="00CD7535" w:rsidSect="00EB3C3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CAB82A" w14:textId="77777777" w:rsidR="00B56037" w:rsidRDefault="00B56037" w:rsidP="00ED6261">
      <w:pPr>
        <w:spacing w:after="0" w:line="240" w:lineRule="auto"/>
      </w:pPr>
      <w:r>
        <w:separator/>
      </w:r>
    </w:p>
  </w:endnote>
  <w:endnote w:type="continuationSeparator" w:id="0">
    <w:p w14:paraId="39297DE5" w14:textId="77777777" w:rsidR="00B56037" w:rsidRDefault="00B56037" w:rsidP="00ED62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CBF57C" w14:textId="77777777" w:rsidR="00B56037" w:rsidRDefault="00B56037" w:rsidP="00ED6261">
      <w:pPr>
        <w:spacing w:after="0" w:line="240" w:lineRule="auto"/>
      </w:pPr>
      <w:r>
        <w:separator/>
      </w:r>
    </w:p>
  </w:footnote>
  <w:footnote w:type="continuationSeparator" w:id="0">
    <w:p w14:paraId="023900FF" w14:textId="77777777" w:rsidR="00B56037" w:rsidRDefault="00B56037" w:rsidP="00ED62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803E04"/>
    <w:multiLevelType w:val="hybridMultilevel"/>
    <w:tmpl w:val="AFCCD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A63DD0"/>
    <w:multiLevelType w:val="hybridMultilevel"/>
    <w:tmpl w:val="32AA31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DA76433"/>
    <w:multiLevelType w:val="hybridMultilevel"/>
    <w:tmpl w:val="807A29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82269F"/>
    <w:multiLevelType w:val="hybridMultilevel"/>
    <w:tmpl w:val="CC14900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CF66E5"/>
    <w:multiLevelType w:val="hybridMultilevel"/>
    <w:tmpl w:val="B726A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FA6F3C"/>
    <w:multiLevelType w:val="hybridMultilevel"/>
    <w:tmpl w:val="CC14900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E02269"/>
    <w:multiLevelType w:val="hybridMultilevel"/>
    <w:tmpl w:val="CC149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4B30C6"/>
    <w:multiLevelType w:val="hybridMultilevel"/>
    <w:tmpl w:val="5816DB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86473D"/>
    <w:multiLevelType w:val="hybridMultilevel"/>
    <w:tmpl w:val="49FE0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70B4FC1"/>
    <w:multiLevelType w:val="hybridMultilevel"/>
    <w:tmpl w:val="AE3E1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156895"/>
    <w:multiLevelType w:val="hybridMultilevel"/>
    <w:tmpl w:val="D71AAAA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CA552CD"/>
    <w:multiLevelType w:val="hybridMultilevel"/>
    <w:tmpl w:val="1F9602A8"/>
    <w:lvl w:ilvl="0" w:tplc="2B06E3C2">
      <w:start w:val="1"/>
      <w:numFmt w:val="upperRoman"/>
      <w:lvlText w:val="%1."/>
      <w:lvlJc w:val="left"/>
      <w:pPr>
        <w:ind w:left="1080" w:hanging="720"/>
      </w:pPr>
      <w:rPr>
        <w:b/>
        <w:strike w:val="0"/>
        <w:dstrike w:val="0"/>
        <w:u w:val="none"/>
        <w:effect w:val="none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21B53C8"/>
    <w:multiLevelType w:val="hybridMultilevel"/>
    <w:tmpl w:val="B9208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7174898">
    <w:abstractNumId w:val="16"/>
  </w:num>
  <w:num w:numId="2" w16cid:durableId="1430806697">
    <w:abstractNumId w:val="1"/>
  </w:num>
  <w:num w:numId="3" w16cid:durableId="647517578">
    <w:abstractNumId w:val="6"/>
  </w:num>
  <w:num w:numId="4" w16cid:durableId="1321735406">
    <w:abstractNumId w:val="3"/>
  </w:num>
  <w:num w:numId="5" w16cid:durableId="1940940166">
    <w:abstractNumId w:val="10"/>
  </w:num>
  <w:num w:numId="6" w16cid:durableId="772474600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27933281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129394577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731267535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851524932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96877874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140032624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35557771">
    <w:abstractNumId w:val="0"/>
  </w:num>
  <w:num w:numId="14" w16cid:durableId="1170219332">
    <w:abstractNumId w:val="13"/>
  </w:num>
  <w:num w:numId="15" w16cid:durableId="1563785246">
    <w:abstractNumId w:val="11"/>
  </w:num>
  <w:num w:numId="16" w16cid:durableId="51849094">
    <w:abstractNumId w:val="14"/>
  </w:num>
  <w:num w:numId="17" w16cid:durableId="347608603">
    <w:abstractNumId w:val="9"/>
  </w:num>
  <w:num w:numId="18" w16cid:durableId="193405009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708"/>
    <w:rsid w:val="00002552"/>
    <w:rsid w:val="000037EB"/>
    <w:rsid w:val="00003A5E"/>
    <w:rsid w:val="00004FB5"/>
    <w:rsid w:val="000075AD"/>
    <w:rsid w:val="0001240C"/>
    <w:rsid w:val="00012F8C"/>
    <w:rsid w:val="00013517"/>
    <w:rsid w:val="000216AF"/>
    <w:rsid w:val="00023E52"/>
    <w:rsid w:val="00023F3E"/>
    <w:rsid w:val="00025E6C"/>
    <w:rsid w:val="00027723"/>
    <w:rsid w:val="000301D6"/>
    <w:rsid w:val="00033C0E"/>
    <w:rsid w:val="0003478E"/>
    <w:rsid w:val="00035395"/>
    <w:rsid w:val="00035520"/>
    <w:rsid w:val="0003758D"/>
    <w:rsid w:val="00037A68"/>
    <w:rsid w:val="00037F23"/>
    <w:rsid w:val="000400CA"/>
    <w:rsid w:val="0004028D"/>
    <w:rsid w:val="00041A79"/>
    <w:rsid w:val="000456DC"/>
    <w:rsid w:val="00047016"/>
    <w:rsid w:val="00047718"/>
    <w:rsid w:val="000541AF"/>
    <w:rsid w:val="000557CD"/>
    <w:rsid w:val="0006051C"/>
    <w:rsid w:val="00060C9D"/>
    <w:rsid w:val="000612C9"/>
    <w:rsid w:val="0006371F"/>
    <w:rsid w:val="00070D6E"/>
    <w:rsid w:val="00071EF8"/>
    <w:rsid w:val="0007340C"/>
    <w:rsid w:val="000755F2"/>
    <w:rsid w:val="00075DC5"/>
    <w:rsid w:val="000760F7"/>
    <w:rsid w:val="00080EC0"/>
    <w:rsid w:val="000812A8"/>
    <w:rsid w:val="00084D92"/>
    <w:rsid w:val="0008552E"/>
    <w:rsid w:val="0008568B"/>
    <w:rsid w:val="000861E0"/>
    <w:rsid w:val="00087B0D"/>
    <w:rsid w:val="000903C8"/>
    <w:rsid w:val="0009090D"/>
    <w:rsid w:val="00090C57"/>
    <w:rsid w:val="00090E1B"/>
    <w:rsid w:val="0009216F"/>
    <w:rsid w:val="00092488"/>
    <w:rsid w:val="000948B1"/>
    <w:rsid w:val="00096251"/>
    <w:rsid w:val="0009654F"/>
    <w:rsid w:val="000968E9"/>
    <w:rsid w:val="00096933"/>
    <w:rsid w:val="00096FA8"/>
    <w:rsid w:val="000A3FA8"/>
    <w:rsid w:val="000A63D4"/>
    <w:rsid w:val="000A6C2E"/>
    <w:rsid w:val="000B0AFE"/>
    <w:rsid w:val="000B0D8E"/>
    <w:rsid w:val="000B1405"/>
    <w:rsid w:val="000B2B65"/>
    <w:rsid w:val="000B42ED"/>
    <w:rsid w:val="000C11D7"/>
    <w:rsid w:val="000C2242"/>
    <w:rsid w:val="000C22B1"/>
    <w:rsid w:val="000C264B"/>
    <w:rsid w:val="000C645E"/>
    <w:rsid w:val="000C649A"/>
    <w:rsid w:val="000C748D"/>
    <w:rsid w:val="000C7D54"/>
    <w:rsid w:val="000D179C"/>
    <w:rsid w:val="000D2878"/>
    <w:rsid w:val="000D2C81"/>
    <w:rsid w:val="000D3B41"/>
    <w:rsid w:val="000D4FEE"/>
    <w:rsid w:val="000D6707"/>
    <w:rsid w:val="000D6A2D"/>
    <w:rsid w:val="000D744E"/>
    <w:rsid w:val="000E098B"/>
    <w:rsid w:val="000E20B8"/>
    <w:rsid w:val="000E265E"/>
    <w:rsid w:val="000E2A73"/>
    <w:rsid w:val="000E2E27"/>
    <w:rsid w:val="000E3383"/>
    <w:rsid w:val="000E7096"/>
    <w:rsid w:val="000F19C0"/>
    <w:rsid w:val="000F24FA"/>
    <w:rsid w:val="000F577B"/>
    <w:rsid w:val="000F5F37"/>
    <w:rsid w:val="000F608E"/>
    <w:rsid w:val="00100F16"/>
    <w:rsid w:val="00101AE3"/>
    <w:rsid w:val="0010560E"/>
    <w:rsid w:val="00106754"/>
    <w:rsid w:val="00107A22"/>
    <w:rsid w:val="00112BE2"/>
    <w:rsid w:val="00116503"/>
    <w:rsid w:val="001169A1"/>
    <w:rsid w:val="00116CF1"/>
    <w:rsid w:val="00116FD8"/>
    <w:rsid w:val="00120467"/>
    <w:rsid w:val="00120E3F"/>
    <w:rsid w:val="00123A20"/>
    <w:rsid w:val="00123E0A"/>
    <w:rsid w:val="0012557B"/>
    <w:rsid w:val="00126AC4"/>
    <w:rsid w:val="00130B0E"/>
    <w:rsid w:val="001311B1"/>
    <w:rsid w:val="00131704"/>
    <w:rsid w:val="00132786"/>
    <w:rsid w:val="00132B8A"/>
    <w:rsid w:val="001334B2"/>
    <w:rsid w:val="001334CA"/>
    <w:rsid w:val="00133656"/>
    <w:rsid w:val="00134C44"/>
    <w:rsid w:val="0014276D"/>
    <w:rsid w:val="001479BB"/>
    <w:rsid w:val="00150CAA"/>
    <w:rsid w:val="00151CA9"/>
    <w:rsid w:val="001521E9"/>
    <w:rsid w:val="001527A8"/>
    <w:rsid w:val="00152EAA"/>
    <w:rsid w:val="001532C8"/>
    <w:rsid w:val="00153C3C"/>
    <w:rsid w:val="001543AC"/>
    <w:rsid w:val="00155800"/>
    <w:rsid w:val="001561BE"/>
    <w:rsid w:val="00156813"/>
    <w:rsid w:val="00160DE0"/>
    <w:rsid w:val="00161235"/>
    <w:rsid w:val="001617D7"/>
    <w:rsid w:val="00163C2F"/>
    <w:rsid w:val="00164388"/>
    <w:rsid w:val="00164C47"/>
    <w:rsid w:val="00171519"/>
    <w:rsid w:val="00172752"/>
    <w:rsid w:val="00174434"/>
    <w:rsid w:val="00174926"/>
    <w:rsid w:val="00174FC8"/>
    <w:rsid w:val="00181CDF"/>
    <w:rsid w:val="0018254E"/>
    <w:rsid w:val="00183505"/>
    <w:rsid w:val="00184350"/>
    <w:rsid w:val="0018580E"/>
    <w:rsid w:val="00186235"/>
    <w:rsid w:val="00186755"/>
    <w:rsid w:val="0019018E"/>
    <w:rsid w:val="00190533"/>
    <w:rsid w:val="0019203C"/>
    <w:rsid w:val="001925E1"/>
    <w:rsid w:val="001938A7"/>
    <w:rsid w:val="00193E3B"/>
    <w:rsid w:val="00194196"/>
    <w:rsid w:val="00194F42"/>
    <w:rsid w:val="00195D85"/>
    <w:rsid w:val="00196293"/>
    <w:rsid w:val="001966C2"/>
    <w:rsid w:val="00197882"/>
    <w:rsid w:val="001A0CC3"/>
    <w:rsid w:val="001A1732"/>
    <w:rsid w:val="001A31F9"/>
    <w:rsid w:val="001A4E09"/>
    <w:rsid w:val="001B07DE"/>
    <w:rsid w:val="001B16CE"/>
    <w:rsid w:val="001B1C28"/>
    <w:rsid w:val="001B470F"/>
    <w:rsid w:val="001B79D2"/>
    <w:rsid w:val="001C2F2A"/>
    <w:rsid w:val="001C628E"/>
    <w:rsid w:val="001C6D98"/>
    <w:rsid w:val="001C6FA5"/>
    <w:rsid w:val="001C74FB"/>
    <w:rsid w:val="001D2EE3"/>
    <w:rsid w:val="001D3019"/>
    <w:rsid w:val="001D34CC"/>
    <w:rsid w:val="001D5265"/>
    <w:rsid w:val="001D5AA0"/>
    <w:rsid w:val="001D7969"/>
    <w:rsid w:val="001D7B74"/>
    <w:rsid w:val="001D7F1D"/>
    <w:rsid w:val="001E16F6"/>
    <w:rsid w:val="001E1AF5"/>
    <w:rsid w:val="001E3B46"/>
    <w:rsid w:val="001E48F0"/>
    <w:rsid w:val="001E6312"/>
    <w:rsid w:val="001E6675"/>
    <w:rsid w:val="001F11EB"/>
    <w:rsid w:val="001F1880"/>
    <w:rsid w:val="001F2211"/>
    <w:rsid w:val="001F3BF5"/>
    <w:rsid w:val="001F44AD"/>
    <w:rsid w:val="001F675E"/>
    <w:rsid w:val="00200194"/>
    <w:rsid w:val="0020185B"/>
    <w:rsid w:val="0020224F"/>
    <w:rsid w:val="00202472"/>
    <w:rsid w:val="0020488F"/>
    <w:rsid w:val="00204C7D"/>
    <w:rsid w:val="00205650"/>
    <w:rsid w:val="00210AE0"/>
    <w:rsid w:val="0021132A"/>
    <w:rsid w:val="00213CC7"/>
    <w:rsid w:val="00214F41"/>
    <w:rsid w:val="00215B84"/>
    <w:rsid w:val="00224033"/>
    <w:rsid w:val="0022492B"/>
    <w:rsid w:val="00224A76"/>
    <w:rsid w:val="0022700C"/>
    <w:rsid w:val="00231F14"/>
    <w:rsid w:val="0023271C"/>
    <w:rsid w:val="002328C8"/>
    <w:rsid w:val="0023403B"/>
    <w:rsid w:val="002341D4"/>
    <w:rsid w:val="00234D74"/>
    <w:rsid w:val="0023688A"/>
    <w:rsid w:val="0023702C"/>
    <w:rsid w:val="00240174"/>
    <w:rsid w:val="002410A5"/>
    <w:rsid w:val="0024110A"/>
    <w:rsid w:val="002423BB"/>
    <w:rsid w:val="00244C14"/>
    <w:rsid w:val="00247CDD"/>
    <w:rsid w:val="002500F8"/>
    <w:rsid w:val="002504A4"/>
    <w:rsid w:val="002522DF"/>
    <w:rsid w:val="00253E21"/>
    <w:rsid w:val="00253FCD"/>
    <w:rsid w:val="00254065"/>
    <w:rsid w:val="0025528D"/>
    <w:rsid w:val="0025747F"/>
    <w:rsid w:val="00260E01"/>
    <w:rsid w:val="00261194"/>
    <w:rsid w:val="00261B71"/>
    <w:rsid w:val="00264822"/>
    <w:rsid w:val="00265652"/>
    <w:rsid w:val="00265765"/>
    <w:rsid w:val="002706F2"/>
    <w:rsid w:val="002729F1"/>
    <w:rsid w:val="00272D14"/>
    <w:rsid w:val="00273E79"/>
    <w:rsid w:val="0028016A"/>
    <w:rsid w:val="002815C7"/>
    <w:rsid w:val="00286EF5"/>
    <w:rsid w:val="00292F92"/>
    <w:rsid w:val="002A0A80"/>
    <w:rsid w:val="002A3C77"/>
    <w:rsid w:val="002A4AA2"/>
    <w:rsid w:val="002A4E15"/>
    <w:rsid w:val="002A5EDF"/>
    <w:rsid w:val="002A6DE5"/>
    <w:rsid w:val="002A710E"/>
    <w:rsid w:val="002A7A1A"/>
    <w:rsid w:val="002B10A3"/>
    <w:rsid w:val="002B2253"/>
    <w:rsid w:val="002B2B58"/>
    <w:rsid w:val="002B3083"/>
    <w:rsid w:val="002B3199"/>
    <w:rsid w:val="002B44FC"/>
    <w:rsid w:val="002C0D38"/>
    <w:rsid w:val="002C1642"/>
    <w:rsid w:val="002C21C4"/>
    <w:rsid w:val="002C3378"/>
    <w:rsid w:val="002C3ED0"/>
    <w:rsid w:val="002C6C17"/>
    <w:rsid w:val="002C6D81"/>
    <w:rsid w:val="002C7724"/>
    <w:rsid w:val="002D22A8"/>
    <w:rsid w:val="002D480B"/>
    <w:rsid w:val="002D4D57"/>
    <w:rsid w:val="002E1148"/>
    <w:rsid w:val="002E206F"/>
    <w:rsid w:val="002E3493"/>
    <w:rsid w:val="002E3B92"/>
    <w:rsid w:val="002E3F43"/>
    <w:rsid w:val="002E52A4"/>
    <w:rsid w:val="002E6D7A"/>
    <w:rsid w:val="002E7098"/>
    <w:rsid w:val="002F1530"/>
    <w:rsid w:val="002F2E12"/>
    <w:rsid w:val="002F396B"/>
    <w:rsid w:val="002F6DCC"/>
    <w:rsid w:val="00300B85"/>
    <w:rsid w:val="00302326"/>
    <w:rsid w:val="00302623"/>
    <w:rsid w:val="003030A6"/>
    <w:rsid w:val="0030314C"/>
    <w:rsid w:val="00304B26"/>
    <w:rsid w:val="003059F7"/>
    <w:rsid w:val="003066D0"/>
    <w:rsid w:val="00307B4A"/>
    <w:rsid w:val="00311797"/>
    <w:rsid w:val="00311A0C"/>
    <w:rsid w:val="00314069"/>
    <w:rsid w:val="00317614"/>
    <w:rsid w:val="003221D5"/>
    <w:rsid w:val="00322E57"/>
    <w:rsid w:val="00325B74"/>
    <w:rsid w:val="00330949"/>
    <w:rsid w:val="003331F0"/>
    <w:rsid w:val="003345E4"/>
    <w:rsid w:val="003350D0"/>
    <w:rsid w:val="003353F5"/>
    <w:rsid w:val="00335F7B"/>
    <w:rsid w:val="00336935"/>
    <w:rsid w:val="00336A1E"/>
    <w:rsid w:val="0033746B"/>
    <w:rsid w:val="00337911"/>
    <w:rsid w:val="00337EC6"/>
    <w:rsid w:val="00340E5A"/>
    <w:rsid w:val="00342B3D"/>
    <w:rsid w:val="003432EE"/>
    <w:rsid w:val="003436D8"/>
    <w:rsid w:val="00344015"/>
    <w:rsid w:val="0034435C"/>
    <w:rsid w:val="00344F79"/>
    <w:rsid w:val="003463B5"/>
    <w:rsid w:val="0034758D"/>
    <w:rsid w:val="00347AA2"/>
    <w:rsid w:val="00350486"/>
    <w:rsid w:val="00352707"/>
    <w:rsid w:val="00353F55"/>
    <w:rsid w:val="00354332"/>
    <w:rsid w:val="00354B3D"/>
    <w:rsid w:val="00354F6B"/>
    <w:rsid w:val="003621CD"/>
    <w:rsid w:val="00362ED1"/>
    <w:rsid w:val="00363646"/>
    <w:rsid w:val="0036761A"/>
    <w:rsid w:val="00367DF0"/>
    <w:rsid w:val="0037354E"/>
    <w:rsid w:val="00375D82"/>
    <w:rsid w:val="00377406"/>
    <w:rsid w:val="003774B0"/>
    <w:rsid w:val="0037797C"/>
    <w:rsid w:val="003863AD"/>
    <w:rsid w:val="00387BDC"/>
    <w:rsid w:val="003937A5"/>
    <w:rsid w:val="00395767"/>
    <w:rsid w:val="003960F2"/>
    <w:rsid w:val="00396845"/>
    <w:rsid w:val="00396D4D"/>
    <w:rsid w:val="00397344"/>
    <w:rsid w:val="0039775D"/>
    <w:rsid w:val="00397CA5"/>
    <w:rsid w:val="003A0FB3"/>
    <w:rsid w:val="003A15DC"/>
    <w:rsid w:val="003A1BF3"/>
    <w:rsid w:val="003A2029"/>
    <w:rsid w:val="003A2D7D"/>
    <w:rsid w:val="003A4883"/>
    <w:rsid w:val="003A53EE"/>
    <w:rsid w:val="003A62E3"/>
    <w:rsid w:val="003B28E9"/>
    <w:rsid w:val="003B3FFB"/>
    <w:rsid w:val="003B52A4"/>
    <w:rsid w:val="003B7D1F"/>
    <w:rsid w:val="003C0705"/>
    <w:rsid w:val="003C1612"/>
    <w:rsid w:val="003C176B"/>
    <w:rsid w:val="003C219A"/>
    <w:rsid w:val="003C27DC"/>
    <w:rsid w:val="003C2A99"/>
    <w:rsid w:val="003C463A"/>
    <w:rsid w:val="003C7D00"/>
    <w:rsid w:val="003C7DE2"/>
    <w:rsid w:val="003C7F62"/>
    <w:rsid w:val="003D06BE"/>
    <w:rsid w:val="003D0891"/>
    <w:rsid w:val="003D1699"/>
    <w:rsid w:val="003D1706"/>
    <w:rsid w:val="003D41A3"/>
    <w:rsid w:val="003D6323"/>
    <w:rsid w:val="003D7D5E"/>
    <w:rsid w:val="003D7D65"/>
    <w:rsid w:val="003E04DD"/>
    <w:rsid w:val="003E0E85"/>
    <w:rsid w:val="003E18ED"/>
    <w:rsid w:val="003E36A1"/>
    <w:rsid w:val="003E5D3C"/>
    <w:rsid w:val="003E6F35"/>
    <w:rsid w:val="003E7962"/>
    <w:rsid w:val="003F179E"/>
    <w:rsid w:val="003F51B9"/>
    <w:rsid w:val="003F6B3A"/>
    <w:rsid w:val="003F7121"/>
    <w:rsid w:val="003F7568"/>
    <w:rsid w:val="003F796F"/>
    <w:rsid w:val="00402E9B"/>
    <w:rsid w:val="004037E7"/>
    <w:rsid w:val="004041F4"/>
    <w:rsid w:val="00406145"/>
    <w:rsid w:val="00413D60"/>
    <w:rsid w:val="00413DB0"/>
    <w:rsid w:val="004168CB"/>
    <w:rsid w:val="004171ED"/>
    <w:rsid w:val="00420AFC"/>
    <w:rsid w:val="00422B97"/>
    <w:rsid w:val="00423A6C"/>
    <w:rsid w:val="00423AC0"/>
    <w:rsid w:val="00423C5B"/>
    <w:rsid w:val="00425502"/>
    <w:rsid w:val="004263A3"/>
    <w:rsid w:val="00426D9C"/>
    <w:rsid w:val="0043040D"/>
    <w:rsid w:val="00431DA3"/>
    <w:rsid w:val="0043246F"/>
    <w:rsid w:val="00432763"/>
    <w:rsid w:val="0043589D"/>
    <w:rsid w:val="004375C5"/>
    <w:rsid w:val="004419DB"/>
    <w:rsid w:val="00445452"/>
    <w:rsid w:val="004458F6"/>
    <w:rsid w:val="004459D7"/>
    <w:rsid w:val="00445BA0"/>
    <w:rsid w:val="004471FB"/>
    <w:rsid w:val="00453F6D"/>
    <w:rsid w:val="004551F1"/>
    <w:rsid w:val="00461513"/>
    <w:rsid w:val="00462F35"/>
    <w:rsid w:val="00464241"/>
    <w:rsid w:val="004659EA"/>
    <w:rsid w:val="00465E9B"/>
    <w:rsid w:val="00466A39"/>
    <w:rsid w:val="004703DA"/>
    <w:rsid w:val="0047151F"/>
    <w:rsid w:val="0047272C"/>
    <w:rsid w:val="00476D51"/>
    <w:rsid w:val="00481B6B"/>
    <w:rsid w:val="00482676"/>
    <w:rsid w:val="00482FF6"/>
    <w:rsid w:val="00483A37"/>
    <w:rsid w:val="004842E0"/>
    <w:rsid w:val="004850B2"/>
    <w:rsid w:val="00485EFE"/>
    <w:rsid w:val="00487129"/>
    <w:rsid w:val="0049057C"/>
    <w:rsid w:val="004908DC"/>
    <w:rsid w:val="004921DF"/>
    <w:rsid w:val="00496D55"/>
    <w:rsid w:val="00497C43"/>
    <w:rsid w:val="004A14F0"/>
    <w:rsid w:val="004A4AC2"/>
    <w:rsid w:val="004A50BD"/>
    <w:rsid w:val="004A6104"/>
    <w:rsid w:val="004B5DC4"/>
    <w:rsid w:val="004B6A73"/>
    <w:rsid w:val="004B79EE"/>
    <w:rsid w:val="004C4689"/>
    <w:rsid w:val="004C5167"/>
    <w:rsid w:val="004C5F1B"/>
    <w:rsid w:val="004C799C"/>
    <w:rsid w:val="004D0333"/>
    <w:rsid w:val="004D0979"/>
    <w:rsid w:val="004D2DFB"/>
    <w:rsid w:val="004D6325"/>
    <w:rsid w:val="004D7A2F"/>
    <w:rsid w:val="004E2C2A"/>
    <w:rsid w:val="004E3B63"/>
    <w:rsid w:val="004E7408"/>
    <w:rsid w:val="004F5C2B"/>
    <w:rsid w:val="004F78A8"/>
    <w:rsid w:val="00501CA3"/>
    <w:rsid w:val="00501CD6"/>
    <w:rsid w:val="005056CE"/>
    <w:rsid w:val="0050660D"/>
    <w:rsid w:val="00506B29"/>
    <w:rsid w:val="005077CE"/>
    <w:rsid w:val="00510B0F"/>
    <w:rsid w:val="0051307B"/>
    <w:rsid w:val="005154FD"/>
    <w:rsid w:val="005156F8"/>
    <w:rsid w:val="005162A0"/>
    <w:rsid w:val="005166D9"/>
    <w:rsid w:val="00516EEF"/>
    <w:rsid w:val="00517429"/>
    <w:rsid w:val="00520127"/>
    <w:rsid w:val="00520A1D"/>
    <w:rsid w:val="0052327B"/>
    <w:rsid w:val="005236A3"/>
    <w:rsid w:val="005263C5"/>
    <w:rsid w:val="00527611"/>
    <w:rsid w:val="005313B6"/>
    <w:rsid w:val="005335F1"/>
    <w:rsid w:val="005339CE"/>
    <w:rsid w:val="00533B0C"/>
    <w:rsid w:val="0053519E"/>
    <w:rsid w:val="00540442"/>
    <w:rsid w:val="005420C9"/>
    <w:rsid w:val="005431F9"/>
    <w:rsid w:val="00543308"/>
    <w:rsid w:val="00544CDF"/>
    <w:rsid w:val="00545AC3"/>
    <w:rsid w:val="00545C62"/>
    <w:rsid w:val="005470C7"/>
    <w:rsid w:val="00547CF6"/>
    <w:rsid w:val="005518D2"/>
    <w:rsid w:val="00553E79"/>
    <w:rsid w:val="0055416F"/>
    <w:rsid w:val="00554D58"/>
    <w:rsid w:val="00554F9A"/>
    <w:rsid w:val="005550CA"/>
    <w:rsid w:val="00556566"/>
    <w:rsid w:val="00556FE4"/>
    <w:rsid w:val="005621B9"/>
    <w:rsid w:val="00563B01"/>
    <w:rsid w:val="0056533E"/>
    <w:rsid w:val="00565380"/>
    <w:rsid w:val="00572294"/>
    <w:rsid w:val="005734C1"/>
    <w:rsid w:val="005747F9"/>
    <w:rsid w:val="005810C3"/>
    <w:rsid w:val="00582144"/>
    <w:rsid w:val="00585E88"/>
    <w:rsid w:val="0058634D"/>
    <w:rsid w:val="0058757C"/>
    <w:rsid w:val="00590ADC"/>
    <w:rsid w:val="005921ED"/>
    <w:rsid w:val="005927D6"/>
    <w:rsid w:val="00592B6E"/>
    <w:rsid w:val="005933F0"/>
    <w:rsid w:val="00593410"/>
    <w:rsid w:val="0059369D"/>
    <w:rsid w:val="00594B68"/>
    <w:rsid w:val="005950D5"/>
    <w:rsid w:val="005972A4"/>
    <w:rsid w:val="005A0BE7"/>
    <w:rsid w:val="005A1989"/>
    <w:rsid w:val="005A2EEE"/>
    <w:rsid w:val="005A3ABD"/>
    <w:rsid w:val="005A5416"/>
    <w:rsid w:val="005B016E"/>
    <w:rsid w:val="005B1795"/>
    <w:rsid w:val="005B2D97"/>
    <w:rsid w:val="005B5A21"/>
    <w:rsid w:val="005C0A61"/>
    <w:rsid w:val="005C3D96"/>
    <w:rsid w:val="005C3F35"/>
    <w:rsid w:val="005C5CDB"/>
    <w:rsid w:val="005C6258"/>
    <w:rsid w:val="005D27E3"/>
    <w:rsid w:val="005D59BD"/>
    <w:rsid w:val="005D5B6D"/>
    <w:rsid w:val="005D6500"/>
    <w:rsid w:val="005D77AB"/>
    <w:rsid w:val="005E0152"/>
    <w:rsid w:val="005E0476"/>
    <w:rsid w:val="005E08C1"/>
    <w:rsid w:val="005E0FCC"/>
    <w:rsid w:val="005E1B65"/>
    <w:rsid w:val="005E27B9"/>
    <w:rsid w:val="005E480F"/>
    <w:rsid w:val="005E4FE3"/>
    <w:rsid w:val="005E72CA"/>
    <w:rsid w:val="005E7640"/>
    <w:rsid w:val="005E7930"/>
    <w:rsid w:val="005F0652"/>
    <w:rsid w:val="005F1A8D"/>
    <w:rsid w:val="005F5533"/>
    <w:rsid w:val="005F7239"/>
    <w:rsid w:val="005F77C8"/>
    <w:rsid w:val="00605652"/>
    <w:rsid w:val="00610B69"/>
    <w:rsid w:val="006111CB"/>
    <w:rsid w:val="00611DB0"/>
    <w:rsid w:val="00611EEB"/>
    <w:rsid w:val="00611F1E"/>
    <w:rsid w:val="00612B2F"/>
    <w:rsid w:val="006169FD"/>
    <w:rsid w:val="00616B3B"/>
    <w:rsid w:val="00623E8D"/>
    <w:rsid w:val="006308FC"/>
    <w:rsid w:val="006320AE"/>
    <w:rsid w:val="00632D49"/>
    <w:rsid w:val="00634185"/>
    <w:rsid w:val="006344B0"/>
    <w:rsid w:val="00635CD5"/>
    <w:rsid w:val="006452ED"/>
    <w:rsid w:val="00645576"/>
    <w:rsid w:val="0065238D"/>
    <w:rsid w:val="006524C0"/>
    <w:rsid w:val="006543E2"/>
    <w:rsid w:val="0065489C"/>
    <w:rsid w:val="00655E9F"/>
    <w:rsid w:val="0066007A"/>
    <w:rsid w:val="006624E4"/>
    <w:rsid w:val="00662E58"/>
    <w:rsid w:val="006645B6"/>
    <w:rsid w:val="00670E50"/>
    <w:rsid w:val="00671096"/>
    <w:rsid w:val="00671BC8"/>
    <w:rsid w:val="00672E9F"/>
    <w:rsid w:val="00673A08"/>
    <w:rsid w:val="00673DAB"/>
    <w:rsid w:val="00674F5A"/>
    <w:rsid w:val="0067775D"/>
    <w:rsid w:val="00681207"/>
    <w:rsid w:val="00682014"/>
    <w:rsid w:val="00682D43"/>
    <w:rsid w:val="00684C45"/>
    <w:rsid w:val="00686026"/>
    <w:rsid w:val="00690B88"/>
    <w:rsid w:val="00691BFE"/>
    <w:rsid w:val="00692B64"/>
    <w:rsid w:val="00693C9D"/>
    <w:rsid w:val="00693D22"/>
    <w:rsid w:val="00695EE4"/>
    <w:rsid w:val="0069726E"/>
    <w:rsid w:val="006A03E9"/>
    <w:rsid w:val="006A0DF3"/>
    <w:rsid w:val="006A18EB"/>
    <w:rsid w:val="006A1F0E"/>
    <w:rsid w:val="006A2406"/>
    <w:rsid w:val="006A2633"/>
    <w:rsid w:val="006A414D"/>
    <w:rsid w:val="006A4B63"/>
    <w:rsid w:val="006A4F9E"/>
    <w:rsid w:val="006A558B"/>
    <w:rsid w:val="006A72AA"/>
    <w:rsid w:val="006C0862"/>
    <w:rsid w:val="006C103E"/>
    <w:rsid w:val="006C3721"/>
    <w:rsid w:val="006C4A0F"/>
    <w:rsid w:val="006C62AF"/>
    <w:rsid w:val="006C659E"/>
    <w:rsid w:val="006D0C8B"/>
    <w:rsid w:val="006D22EF"/>
    <w:rsid w:val="006D54B2"/>
    <w:rsid w:val="006D5921"/>
    <w:rsid w:val="006D68BC"/>
    <w:rsid w:val="006D68C5"/>
    <w:rsid w:val="006E0229"/>
    <w:rsid w:val="006E130E"/>
    <w:rsid w:val="006E40F8"/>
    <w:rsid w:val="006E7D67"/>
    <w:rsid w:val="006F17D5"/>
    <w:rsid w:val="006F21A5"/>
    <w:rsid w:val="006F27C4"/>
    <w:rsid w:val="006F51B9"/>
    <w:rsid w:val="006F5FA6"/>
    <w:rsid w:val="006F664B"/>
    <w:rsid w:val="006F6B7F"/>
    <w:rsid w:val="006F7BAF"/>
    <w:rsid w:val="00701D87"/>
    <w:rsid w:val="00702A6A"/>
    <w:rsid w:val="00702B9C"/>
    <w:rsid w:val="00703F33"/>
    <w:rsid w:val="00705206"/>
    <w:rsid w:val="00706BE9"/>
    <w:rsid w:val="00711E88"/>
    <w:rsid w:val="00715034"/>
    <w:rsid w:val="007172BF"/>
    <w:rsid w:val="00722415"/>
    <w:rsid w:val="00722E24"/>
    <w:rsid w:val="0072487A"/>
    <w:rsid w:val="00725001"/>
    <w:rsid w:val="0072569B"/>
    <w:rsid w:val="00730331"/>
    <w:rsid w:val="00730EC9"/>
    <w:rsid w:val="0073100E"/>
    <w:rsid w:val="00731510"/>
    <w:rsid w:val="00731A17"/>
    <w:rsid w:val="00734423"/>
    <w:rsid w:val="0073748B"/>
    <w:rsid w:val="00741510"/>
    <w:rsid w:val="007419BF"/>
    <w:rsid w:val="007446EA"/>
    <w:rsid w:val="0074550C"/>
    <w:rsid w:val="00745621"/>
    <w:rsid w:val="00746241"/>
    <w:rsid w:val="00747CC5"/>
    <w:rsid w:val="0075019A"/>
    <w:rsid w:val="00756A4D"/>
    <w:rsid w:val="007570C9"/>
    <w:rsid w:val="00760DE0"/>
    <w:rsid w:val="00761963"/>
    <w:rsid w:val="00762464"/>
    <w:rsid w:val="00767D0E"/>
    <w:rsid w:val="00772034"/>
    <w:rsid w:val="007748AD"/>
    <w:rsid w:val="007750AE"/>
    <w:rsid w:val="00777798"/>
    <w:rsid w:val="007803CE"/>
    <w:rsid w:val="00780844"/>
    <w:rsid w:val="007812AC"/>
    <w:rsid w:val="0078154E"/>
    <w:rsid w:val="007827A4"/>
    <w:rsid w:val="00786CB3"/>
    <w:rsid w:val="00786DCA"/>
    <w:rsid w:val="00790D15"/>
    <w:rsid w:val="00793610"/>
    <w:rsid w:val="007947A1"/>
    <w:rsid w:val="00795986"/>
    <w:rsid w:val="007962FD"/>
    <w:rsid w:val="00796B72"/>
    <w:rsid w:val="00797C8B"/>
    <w:rsid w:val="007A0573"/>
    <w:rsid w:val="007A0F8C"/>
    <w:rsid w:val="007A30A3"/>
    <w:rsid w:val="007A33C4"/>
    <w:rsid w:val="007A5D5A"/>
    <w:rsid w:val="007A7623"/>
    <w:rsid w:val="007B33F7"/>
    <w:rsid w:val="007B41A3"/>
    <w:rsid w:val="007B54DE"/>
    <w:rsid w:val="007B618B"/>
    <w:rsid w:val="007B7EAB"/>
    <w:rsid w:val="007C028F"/>
    <w:rsid w:val="007C1BAF"/>
    <w:rsid w:val="007C216A"/>
    <w:rsid w:val="007C2728"/>
    <w:rsid w:val="007C272E"/>
    <w:rsid w:val="007C4365"/>
    <w:rsid w:val="007C529F"/>
    <w:rsid w:val="007C6E90"/>
    <w:rsid w:val="007C7FF1"/>
    <w:rsid w:val="007D0081"/>
    <w:rsid w:val="007D0A38"/>
    <w:rsid w:val="007D5411"/>
    <w:rsid w:val="007D5B5B"/>
    <w:rsid w:val="007D6AE3"/>
    <w:rsid w:val="007D7478"/>
    <w:rsid w:val="007E1107"/>
    <w:rsid w:val="007E12CE"/>
    <w:rsid w:val="007E22A5"/>
    <w:rsid w:val="007E2503"/>
    <w:rsid w:val="007F0180"/>
    <w:rsid w:val="007F38D2"/>
    <w:rsid w:val="007F4534"/>
    <w:rsid w:val="007F6AE6"/>
    <w:rsid w:val="007F707F"/>
    <w:rsid w:val="00800850"/>
    <w:rsid w:val="00801E37"/>
    <w:rsid w:val="00803B55"/>
    <w:rsid w:val="00804452"/>
    <w:rsid w:val="008044CA"/>
    <w:rsid w:val="00805068"/>
    <w:rsid w:val="00805160"/>
    <w:rsid w:val="00805F01"/>
    <w:rsid w:val="0081135B"/>
    <w:rsid w:val="008116C7"/>
    <w:rsid w:val="00811962"/>
    <w:rsid w:val="008138FB"/>
    <w:rsid w:val="00817A91"/>
    <w:rsid w:val="00817F91"/>
    <w:rsid w:val="0082202B"/>
    <w:rsid w:val="00822A7E"/>
    <w:rsid w:val="00823891"/>
    <w:rsid w:val="00824A18"/>
    <w:rsid w:val="00825632"/>
    <w:rsid w:val="00826758"/>
    <w:rsid w:val="00826BA6"/>
    <w:rsid w:val="00827442"/>
    <w:rsid w:val="00830972"/>
    <w:rsid w:val="00831B2D"/>
    <w:rsid w:val="008328A7"/>
    <w:rsid w:val="00832E56"/>
    <w:rsid w:val="0083734B"/>
    <w:rsid w:val="00837595"/>
    <w:rsid w:val="00844228"/>
    <w:rsid w:val="00845D45"/>
    <w:rsid w:val="008466AE"/>
    <w:rsid w:val="00846B2A"/>
    <w:rsid w:val="008473DE"/>
    <w:rsid w:val="00850E61"/>
    <w:rsid w:val="00852ECD"/>
    <w:rsid w:val="008541E7"/>
    <w:rsid w:val="00854C93"/>
    <w:rsid w:val="00855AC3"/>
    <w:rsid w:val="00861101"/>
    <w:rsid w:val="0086386A"/>
    <w:rsid w:val="00866225"/>
    <w:rsid w:val="00866A6D"/>
    <w:rsid w:val="00870A90"/>
    <w:rsid w:val="008747AA"/>
    <w:rsid w:val="00875E4B"/>
    <w:rsid w:val="008767BF"/>
    <w:rsid w:val="00876D99"/>
    <w:rsid w:val="008847A3"/>
    <w:rsid w:val="00886958"/>
    <w:rsid w:val="0088733C"/>
    <w:rsid w:val="008876DD"/>
    <w:rsid w:val="00887A3F"/>
    <w:rsid w:val="00890357"/>
    <w:rsid w:val="00891A69"/>
    <w:rsid w:val="008932F5"/>
    <w:rsid w:val="00894869"/>
    <w:rsid w:val="00894AE7"/>
    <w:rsid w:val="008951D5"/>
    <w:rsid w:val="008A0653"/>
    <w:rsid w:val="008A5858"/>
    <w:rsid w:val="008A6494"/>
    <w:rsid w:val="008B0D86"/>
    <w:rsid w:val="008B3257"/>
    <w:rsid w:val="008B3600"/>
    <w:rsid w:val="008B4531"/>
    <w:rsid w:val="008B5A51"/>
    <w:rsid w:val="008C0625"/>
    <w:rsid w:val="008C0698"/>
    <w:rsid w:val="008C3B46"/>
    <w:rsid w:val="008C7081"/>
    <w:rsid w:val="008C7A1B"/>
    <w:rsid w:val="008D1F17"/>
    <w:rsid w:val="008D5BBF"/>
    <w:rsid w:val="008D5FE5"/>
    <w:rsid w:val="008D6365"/>
    <w:rsid w:val="008D6FB2"/>
    <w:rsid w:val="008D6FBB"/>
    <w:rsid w:val="008D73AD"/>
    <w:rsid w:val="008E0047"/>
    <w:rsid w:val="008E0DDC"/>
    <w:rsid w:val="008E1B46"/>
    <w:rsid w:val="008E259B"/>
    <w:rsid w:val="008E4700"/>
    <w:rsid w:val="008E520D"/>
    <w:rsid w:val="008F0B61"/>
    <w:rsid w:val="008F34BF"/>
    <w:rsid w:val="008F392F"/>
    <w:rsid w:val="008F3E0A"/>
    <w:rsid w:val="008F4ADA"/>
    <w:rsid w:val="008F4CAA"/>
    <w:rsid w:val="008F5B4B"/>
    <w:rsid w:val="008F75E0"/>
    <w:rsid w:val="00900240"/>
    <w:rsid w:val="00900D57"/>
    <w:rsid w:val="00901D01"/>
    <w:rsid w:val="00903037"/>
    <w:rsid w:val="00903299"/>
    <w:rsid w:val="00903E4B"/>
    <w:rsid w:val="00905641"/>
    <w:rsid w:val="0090718C"/>
    <w:rsid w:val="009079A0"/>
    <w:rsid w:val="00912220"/>
    <w:rsid w:val="0091493C"/>
    <w:rsid w:val="0091562C"/>
    <w:rsid w:val="0091688C"/>
    <w:rsid w:val="009169AF"/>
    <w:rsid w:val="00917DDC"/>
    <w:rsid w:val="00920001"/>
    <w:rsid w:val="00920DB4"/>
    <w:rsid w:val="0092245D"/>
    <w:rsid w:val="009225AF"/>
    <w:rsid w:val="00922AFC"/>
    <w:rsid w:val="00923D86"/>
    <w:rsid w:val="009241E0"/>
    <w:rsid w:val="00925F54"/>
    <w:rsid w:val="009320C1"/>
    <w:rsid w:val="00935A1F"/>
    <w:rsid w:val="0093702A"/>
    <w:rsid w:val="00937090"/>
    <w:rsid w:val="009370D5"/>
    <w:rsid w:val="00940856"/>
    <w:rsid w:val="00940A3C"/>
    <w:rsid w:val="00943448"/>
    <w:rsid w:val="00945EEF"/>
    <w:rsid w:val="00947795"/>
    <w:rsid w:val="0094789A"/>
    <w:rsid w:val="00954020"/>
    <w:rsid w:val="00954A5E"/>
    <w:rsid w:val="00957047"/>
    <w:rsid w:val="009635A5"/>
    <w:rsid w:val="00964EE3"/>
    <w:rsid w:val="00967C59"/>
    <w:rsid w:val="00967FFE"/>
    <w:rsid w:val="009706CA"/>
    <w:rsid w:val="009729D3"/>
    <w:rsid w:val="0097635D"/>
    <w:rsid w:val="00976827"/>
    <w:rsid w:val="00976A59"/>
    <w:rsid w:val="00976E9C"/>
    <w:rsid w:val="00977523"/>
    <w:rsid w:val="0098181C"/>
    <w:rsid w:val="00982024"/>
    <w:rsid w:val="0098272C"/>
    <w:rsid w:val="0098355E"/>
    <w:rsid w:val="00985CE5"/>
    <w:rsid w:val="00986475"/>
    <w:rsid w:val="009868C8"/>
    <w:rsid w:val="00993B35"/>
    <w:rsid w:val="009968DE"/>
    <w:rsid w:val="00996D3C"/>
    <w:rsid w:val="009A023B"/>
    <w:rsid w:val="009A04D7"/>
    <w:rsid w:val="009A136C"/>
    <w:rsid w:val="009A139B"/>
    <w:rsid w:val="009A1AAB"/>
    <w:rsid w:val="009A36DD"/>
    <w:rsid w:val="009A5F56"/>
    <w:rsid w:val="009A7DE4"/>
    <w:rsid w:val="009B0A42"/>
    <w:rsid w:val="009B0C2C"/>
    <w:rsid w:val="009B0D9B"/>
    <w:rsid w:val="009B1A2F"/>
    <w:rsid w:val="009B3804"/>
    <w:rsid w:val="009B3E3A"/>
    <w:rsid w:val="009B5082"/>
    <w:rsid w:val="009B59BB"/>
    <w:rsid w:val="009C0603"/>
    <w:rsid w:val="009C2154"/>
    <w:rsid w:val="009C2767"/>
    <w:rsid w:val="009C29AC"/>
    <w:rsid w:val="009C4886"/>
    <w:rsid w:val="009C5FE4"/>
    <w:rsid w:val="009C6A33"/>
    <w:rsid w:val="009D210A"/>
    <w:rsid w:val="009D30E1"/>
    <w:rsid w:val="009D435A"/>
    <w:rsid w:val="009D6923"/>
    <w:rsid w:val="009D7928"/>
    <w:rsid w:val="009E2C4E"/>
    <w:rsid w:val="009E31E4"/>
    <w:rsid w:val="009E6B1C"/>
    <w:rsid w:val="009E7548"/>
    <w:rsid w:val="009F2076"/>
    <w:rsid w:val="009F3B7D"/>
    <w:rsid w:val="009F3CA3"/>
    <w:rsid w:val="009F418F"/>
    <w:rsid w:val="009F659C"/>
    <w:rsid w:val="009F767C"/>
    <w:rsid w:val="00A0210B"/>
    <w:rsid w:val="00A02216"/>
    <w:rsid w:val="00A031DC"/>
    <w:rsid w:val="00A05556"/>
    <w:rsid w:val="00A05876"/>
    <w:rsid w:val="00A068D5"/>
    <w:rsid w:val="00A070C9"/>
    <w:rsid w:val="00A078E0"/>
    <w:rsid w:val="00A14FD6"/>
    <w:rsid w:val="00A155D8"/>
    <w:rsid w:val="00A15B69"/>
    <w:rsid w:val="00A16FB3"/>
    <w:rsid w:val="00A1738A"/>
    <w:rsid w:val="00A17FFB"/>
    <w:rsid w:val="00A2302B"/>
    <w:rsid w:val="00A23217"/>
    <w:rsid w:val="00A23DDD"/>
    <w:rsid w:val="00A23F87"/>
    <w:rsid w:val="00A2778D"/>
    <w:rsid w:val="00A308D2"/>
    <w:rsid w:val="00A312D8"/>
    <w:rsid w:val="00A3199E"/>
    <w:rsid w:val="00A344F1"/>
    <w:rsid w:val="00A345FC"/>
    <w:rsid w:val="00A34B91"/>
    <w:rsid w:val="00A35A24"/>
    <w:rsid w:val="00A3605A"/>
    <w:rsid w:val="00A36AA6"/>
    <w:rsid w:val="00A375B1"/>
    <w:rsid w:val="00A40400"/>
    <w:rsid w:val="00A40907"/>
    <w:rsid w:val="00A441C5"/>
    <w:rsid w:val="00A44527"/>
    <w:rsid w:val="00A528D1"/>
    <w:rsid w:val="00A5297A"/>
    <w:rsid w:val="00A52C6C"/>
    <w:rsid w:val="00A54387"/>
    <w:rsid w:val="00A55D7E"/>
    <w:rsid w:val="00A5681B"/>
    <w:rsid w:val="00A56B07"/>
    <w:rsid w:val="00A6043B"/>
    <w:rsid w:val="00A6126D"/>
    <w:rsid w:val="00A61D6F"/>
    <w:rsid w:val="00A658C6"/>
    <w:rsid w:val="00A7027B"/>
    <w:rsid w:val="00A72228"/>
    <w:rsid w:val="00A72AF8"/>
    <w:rsid w:val="00A73685"/>
    <w:rsid w:val="00A74045"/>
    <w:rsid w:val="00A74047"/>
    <w:rsid w:val="00A757BC"/>
    <w:rsid w:val="00A77F23"/>
    <w:rsid w:val="00A8208A"/>
    <w:rsid w:val="00A82182"/>
    <w:rsid w:val="00A8275B"/>
    <w:rsid w:val="00A86EDC"/>
    <w:rsid w:val="00A87A79"/>
    <w:rsid w:val="00A9137B"/>
    <w:rsid w:val="00A91E57"/>
    <w:rsid w:val="00A93338"/>
    <w:rsid w:val="00A95A4D"/>
    <w:rsid w:val="00A95EE7"/>
    <w:rsid w:val="00A968FE"/>
    <w:rsid w:val="00A97845"/>
    <w:rsid w:val="00A979BD"/>
    <w:rsid w:val="00AA0F2C"/>
    <w:rsid w:val="00AB06DC"/>
    <w:rsid w:val="00AB0E7D"/>
    <w:rsid w:val="00AB130F"/>
    <w:rsid w:val="00AB4121"/>
    <w:rsid w:val="00AB41C4"/>
    <w:rsid w:val="00AB654F"/>
    <w:rsid w:val="00AC13A6"/>
    <w:rsid w:val="00AC13AB"/>
    <w:rsid w:val="00AC17BD"/>
    <w:rsid w:val="00AC2A43"/>
    <w:rsid w:val="00AC3586"/>
    <w:rsid w:val="00AC6DF8"/>
    <w:rsid w:val="00AD04E1"/>
    <w:rsid w:val="00AD2EFB"/>
    <w:rsid w:val="00AD41E9"/>
    <w:rsid w:val="00AD438D"/>
    <w:rsid w:val="00AD4400"/>
    <w:rsid w:val="00AD6681"/>
    <w:rsid w:val="00AD7E8C"/>
    <w:rsid w:val="00AE278A"/>
    <w:rsid w:val="00AE36E2"/>
    <w:rsid w:val="00AE400F"/>
    <w:rsid w:val="00AE44EC"/>
    <w:rsid w:val="00AE466B"/>
    <w:rsid w:val="00AE54F4"/>
    <w:rsid w:val="00AE5D77"/>
    <w:rsid w:val="00AE67AD"/>
    <w:rsid w:val="00AE6A98"/>
    <w:rsid w:val="00AF06A8"/>
    <w:rsid w:val="00AF19BF"/>
    <w:rsid w:val="00AF27CD"/>
    <w:rsid w:val="00AF4F38"/>
    <w:rsid w:val="00AF50F4"/>
    <w:rsid w:val="00AF6323"/>
    <w:rsid w:val="00AF6581"/>
    <w:rsid w:val="00AF6BAB"/>
    <w:rsid w:val="00AF705E"/>
    <w:rsid w:val="00AF744F"/>
    <w:rsid w:val="00B01EC3"/>
    <w:rsid w:val="00B0211D"/>
    <w:rsid w:val="00B050C4"/>
    <w:rsid w:val="00B0575B"/>
    <w:rsid w:val="00B05CFA"/>
    <w:rsid w:val="00B07F19"/>
    <w:rsid w:val="00B10105"/>
    <w:rsid w:val="00B11A15"/>
    <w:rsid w:val="00B12447"/>
    <w:rsid w:val="00B12C14"/>
    <w:rsid w:val="00B12D90"/>
    <w:rsid w:val="00B12EAB"/>
    <w:rsid w:val="00B13319"/>
    <w:rsid w:val="00B133B6"/>
    <w:rsid w:val="00B139AC"/>
    <w:rsid w:val="00B17A16"/>
    <w:rsid w:val="00B215B2"/>
    <w:rsid w:val="00B21E16"/>
    <w:rsid w:val="00B22066"/>
    <w:rsid w:val="00B229A8"/>
    <w:rsid w:val="00B269F1"/>
    <w:rsid w:val="00B30BAB"/>
    <w:rsid w:val="00B315C2"/>
    <w:rsid w:val="00B33D69"/>
    <w:rsid w:val="00B342DA"/>
    <w:rsid w:val="00B35D9D"/>
    <w:rsid w:val="00B35EFD"/>
    <w:rsid w:val="00B364CC"/>
    <w:rsid w:val="00B366CC"/>
    <w:rsid w:val="00B37543"/>
    <w:rsid w:val="00B4165D"/>
    <w:rsid w:val="00B45380"/>
    <w:rsid w:val="00B45CD0"/>
    <w:rsid w:val="00B46429"/>
    <w:rsid w:val="00B51DE5"/>
    <w:rsid w:val="00B534DF"/>
    <w:rsid w:val="00B53B55"/>
    <w:rsid w:val="00B5408B"/>
    <w:rsid w:val="00B5430F"/>
    <w:rsid w:val="00B555A5"/>
    <w:rsid w:val="00B55E1A"/>
    <w:rsid w:val="00B56037"/>
    <w:rsid w:val="00B56C06"/>
    <w:rsid w:val="00B56F98"/>
    <w:rsid w:val="00B613EC"/>
    <w:rsid w:val="00B62B0D"/>
    <w:rsid w:val="00B63940"/>
    <w:rsid w:val="00B63DFB"/>
    <w:rsid w:val="00B6502B"/>
    <w:rsid w:val="00B65173"/>
    <w:rsid w:val="00B67E00"/>
    <w:rsid w:val="00B72341"/>
    <w:rsid w:val="00B72AE4"/>
    <w:rsid w:val="00B7674D"/>
    <w:rsid w:val="00B809AD"/>
    <w:rsid w:val="00B85322"/>
    <w:rsid w:val="00B85869"/>
    <w:rsid w:val="00B85F6A"/>
    <w:rsid w:val="00B90F09"/>
    <w:rsid w:val="00B9236F"/>
    <w:rsid w:val="00B92AE7"/>
    <w:rsid w:val="00B94828"/>
    <w:rsid w:val="00B9560C"/>
    <w:rsid w:val="00B97CA8"/>
    <w:rsid w:val="00BA0EA5"/>
    <w:rsid w:val="00BA21D5"/>
    <w:rsid w:val="00BA57F3"/>
    <w:rsid w:val="00BA7856"/>
    <w:rsid w:val="00BA7927"/>
    <w:rsid w:val="00BB223F"/>
    <w:rsid w:val="00BB22A2"/>
    <w:rsid w:val="00BB297E"/>
    <w:rsid w:val="00BB2AA2"/>
    <w:rsid w:val="00BB3C82"/>
    <w:rsid w:val="00BB44DD"/>
    <w:rsid w:val="00BC202B"/>
    <w:rsid w:val="00BC338B"/>
    <w:rsid w:val="00BC4F74"/>
    <w:rsid w:val="00BC5A8B"/>
    <w:rsid w:val="00BD05C4"/>
    <w:rsid w:val="00BD0910"/>
    <w:rsid w:val="00BD1261"/>
    <w:rsid w:val="00BD1896"/>
    <w:rsid w:val="00BD379C"/>
    <w:rsid w:val="00BD7BAD"/>
    <w:rsid w:val="00BD7DD7"/>
    <w:rsid w:val="00BE1C66"/>
    <w:rsid w:val="00BE389C"/>
    <w:rsid w:val="00BE4569"/>
    <w:rsid w:val="00BE6FEA"/>
    <w:rsid w:val="00BF0B6D"/>
    <w:rsid w:val="00BF3197"/>
    <w:rsid w:val="00BF3742"/>
    <w:rsid w:val="00BF3E63"/>
    <w:rsid w:val="00BF7C86"/>
    <w:rsid w:val="00C005B7"/>
    <w:rsid w:val="00C009FC"/>
    <w:rsid w:val="00C023A3"/>
    <w:rsid w:val="00C0429D"/>
    <w:rsid w:val="00C05707"/>
    <w:rsid w:val="00C10CB7"/>
    <w:rsid w:val="00C1326F"/>
    <w:rsid w:val="00C13775"/>
    <w:rsid w:val="00C16349"/>
    <w:rsid w:val="00C16479"/>
    <w:rsid w:val="00C20CE6"/>
    <w:rsid w:val="00C21EB6"/>
    <w:rsid w:val="00C241B3"/>
    <w:rsid w:val="00C247DE"/>
    <w:rsid w:val="00C262D5"/>
    <w:rsid w:val="00C26B84"/>
    <w:rsid w:val="00C26B9D"/>
    <w:rsid w:val="00C27647"/>
    <w:rsid w:val="00C27C51"/>
    <w:rsid w:val="00C30B59"/>
    <w:rsid w:val="00C339FA"/>
    <w:rsid w:val="00C33FDB"/>
    <w:rsid w:val="00C34611"/>
    <w:rsid w:val="00C3550A"/>
    <w:rsid w:val="00C365AE"/>
    <w:rsid w:val="00C418CA"/>
    <w:rsid w:val="00C431B1"/>
    <w:rsid w:val="00C4327B"/>
    <w:rsid w:val="00C43CFF"/>
    <w:rsid w:val="00C43DFE"/>
    <w:rsid w:val="00C4721B"/>
    <w:rsid w:val="00C47E84"/>
    <w:rsid w:val="00C50C6D"/>
    <w:rsid w:val="00C50F4B"/>
    <w:rsid w:val="00C52CEE"/>
    <w:rsid w:val="00C5317D"/>
    <w:rsid w:val="00C567EA"/>
    <w:rsid w:val="00C57029"/>
    <w:rsid w:val="00C61737"/>
    <w:rsid w:val="00C63360"/>
    <w:rsid w:val="00C64CE3"/>
    <w:rsid w:val="00C65FB2"/>
    <w:rsid w:val="00C66973"/>
    <w:rsid w:val="00C70229"/>
    <w:rsid w:val="00C73D49"/>
    <w:rsid w:val="00C74B17"/>
    <w:rsid w:val="00C75EA1"/>
    <w:rsid w:val="00C76068"/>
    <w:rsid w:val="00C764CF"/>
    <w:rsid w:val="00C766F5"/>
    <w:rsid w:val="00C7694A"/>
    <w:rsid w:val="00C80948"/>
    <w:rsid w:val="00C8184E"/>
    <w:rsid w:val="00C87143"/>
    <w:rsid w:val="00C91BE5"/>
    <w:rsid w:val="00C9418C"/>
    <w:rsid w:val="00C95C6E"/>
    <w:rsid w:val="00C95F78"/>
    <w:rsid w:val="00CA2C3A"/>
    <w:rsid w:val="00CA4886"/>
    <w:rsid w:val="00CA6F32"/>
    <w:rsid w:val="00CA72EC"/>
    <w:rsid w:val="00CA7657"/>
    <w:rsid w:val="00CB0EDA"/>
    <w:rsid w:val="00CB398B"/>
    <w:rsid w:val="00CB3EF0"/>
    <w:rsid w:val="00CB4088"/>
    <w:rsid w:val="00CB4AB7"/>
    <w:rsid w:val="00CB4C80"/>
    <w:rsid w:val="00CB61BE"/>
    <w:rsid w:val="00CB63B0"/>
    <w:rsid w:val="00CB6F82"/>
    <w:rsid w:val="00CC2CD7"/>
    <w:rsid w:val="00CC482C"/>
    <w:rsid w:val="00CD125B"/>
    <w:rsid w:val="00CD1B13"/>
    <w:rsid w:val="00CD25FE"/>
    <w:rsid w:val="00CD27CE"/>
    <w:rsid w:val="00CD4375"/>
    <w:rsid w:val="00CD5C6B"/>
    <w:rsid w:val="00CD7535"/>
    <w:rsid w:val="00CD7710"/>
    <w:rsid w:val="00CD78F4"/>
    <w:rsid w:val="00CE09C0"/>
    <w:rsid w:val="00CE5ABA"/>
    <w:rsid w:val="00CE5F4D"/>
    <w:rsid w:val="00CE6B4E"/>
    <w:rsid w:val="00CF122B"/>
    <w:rsid w:val="00CF1AF8"/>
    <w:rsid w:val="00CF1BDE"/>
    <w:rsid w:val="00CF54CF"/>
    <w:rsid w:val="00CF73D6"/>
    <w:rsid w:val="00D01844"/>
    <w:rsid w:val="00D04C80"/>
    <w:rsid w:val="00D058BF"/>
    <w:rsid w:val="00D0604F"/>
    <w:rsid w:val="00D100DE"/>
    <w:rsid w:val="00D107AC"/>
    <w:rsid w:val="00D112D0"/>
    <w:rsid w:val="00D11306"/>
    <w:rsid w:val="00D13621"/>
    <w:rsid w:val="00D13B91"/>
    <w:rsid w:val="00D15C42"/>
    <w:rsid w:val="00D22214"/>
    <w:rsid w:val="00D22582"/>
    <w:rsid w:val="00D248A2"/>
    <w:rsid w:val="00D24A57"/>
    <w:rsid w:val="00D2667F"/>
    <w:rsid w:val="00D27085"/>
    <w:rsid w:val="00D27EEE"/>
    <w:rsid w:val="00D32783"/>
    <w:rsid w:val="00D32DAD"/>
    <w:rsid w:val="00D33304"/>
    <w:rsid w:val="00D34E30"/>
    <w:rsid w:val="00D35C4C"/>
    <w:rsid w:val="00D37EEF"/>
    <w:rsid w:val="00D40E8E"/>
    <w:rsid w:val="00D41949"/>
    <w:rsid w:val="00D42773"/>
    <w:rsid w:val="00D42DBA"/>
    <w:rsid w:val="00D4392A"/>
    <w:rsid w:val="00D44673"/>
    <w:rsid w:val="00D46643"/>
    <w:rsid w:val="00D46835"/>
    <w:rsid w:val="00D4700C"/>
    <w:rsid w:val="00D50291"/>
    <w:rsid w:val="00D50649"/>
    <w:rsid w:val="00D51DED"/>
    <w:rsid w:val="00D52C75"/>
    <w:rsid w:val="00D54EAF"/>
    <w:rsid w:val="00D54FC9"/>
    <w:rsid w:val="00D55FB6"/>
    <w:rsid w:val="00D56F1C"/>
    <w:rsid w:val="00D60DC9"/>
    <w:rsid w:val="00D64049"/>
    <w:rsid w:val="00D669B2"/>
    <w:rsid w:val="00D67866"/>
    <w:rsid w:val="00D679A5"/>
    <w:rsid w:val="00D67C5E"/>
    <w:rsid w:val="00D75ED1"/>
    <w:rsid w:val="00D76420"/>
    <w:rsid w:val="00D76505"/>
    <w:rsid w:val="00D82708"/>
    <w:rsid w:val="00D832FB"/>
    <w:rsid w:val="00D87DC0"/>
    <w:rsid w:val="00D90A19"/>
    <w:rsid w:val="00D91283"/>
    <w:rsid w:val="00D929B8"/>
    <w:rsid w:val="00D948E6"/>
    <w:rsid w:val="00D950B0"/>
    <w:rsid w:val="00D951D2"/>
    <w:rsid w:val="00D96DE7"/>
    <w:rsid w:val="00D97864"/>
    <w:rsid w:val="00D97C69"/>
    <w:rsid w:val="00DA0482"/>
    <w:rsid w:val="00DA04DD"/>
    <w:rsid w:val="00DA10A1"/>
    <w:rsid w:val="00DA2914"/>
    <w:rsid w:val="00DA322B"/>
    <w:rsid w:val="00DA42E2"/>
    <w:rsid w:val="00DA447C"/>
    <w:rsid w:val="00DA61E2"/>
    <w:rsid w:val="00DA6C31"/>
    <w:rsid w:val="00DA78EC"/>
    <w:rsid w:val="00DB1AA6"/>
    <w:rsid w:val="00DB22F5"/>
    <w:rsid w:val="00DB3898"/>
    <w:rsid w:val="00DB456B"/>
    <w:rsid w:val="00DB4E35"/>
    <w:rsid w:val="00DB72A4"/>
    <w:rsid w:val="00DC0A0D"/>
    <w:rsid w:val="00DC0CEE"/>
    <w:rsid w:val="00DC1118"/>
    <w:rsid w:val="00DC170E"/>
    <w:rsid w:val="00DC35F5"/>
    <w:rsid w:val="00DC514D"/>
    <w:rsid w:val="00DC5D9C"/>
    <w:rsid w:val="00DC6291"/>
    <w:rsid w:val="00DC7142"/>
    <w:rsid w:val="00DD11C6"/>
    <w:rsid w:val="00DD147E"/>
    <w:rsid w:val="00DD2E59"/>
    <w:rsid w:val="00DD492D"/>
    <w:rsid w:val="00DD4F28"/>
    <w:rsid w:val="00DD58BD"/>
    <w:rsid w:val="00DD784D"/>
    <w:rsid w:val="00DD7C49"/>
    <w:rsid w:val="00DE05D2"/>
    <w:rsid w:val="00DE2818"/>
    <w:rsid w:val="00DE29E0"/>
    <w:rsid w:val="00DE2C57"/>
    <w:rsid w:val="00DE3FE4"/>
    <w:rsid w:val="00DE4281"/>
    <w:rsid w:val="00DE5790"/>
    <w:rsid w:val="00DE6BBF"/>
    <w:rsid w:val="00DE6CDB"/>
    <w:rsid w:val="00DE6DE8"/>
    <w:rsid w:val="00DF04EA"/>
    <w:rsid w:val="00DF3728"/>
    <w:rsid w:val="00DF597B"/>
    <w:rsid w:val="00E01763"/>
    <w:rsid w:val="00E029C7"/>
    <w:rsid w:val="00E02A43"/>
    <w:rsid w:val="00E0523B"/>
    <w:rsid w:val="00E06053"/>
    <w:rsid w:val="00E064D8"/>
    <w:rsid w:val="00E07065"/>
    <w:rsid w:val="00E073E9"/>
    <w:rsid w:val="00E112A6"/>
    <w:rsid w:val="00E11DD9"/>
    <w:rsid w:val="00E12A02"/>
    <w:rsid w:val="00E14B21"/>
    <w:rsid w:val="00E15C48"/>
    <w:rsid w:val="00E160E6"/>
    <w:rsid w:val="00E204F8"/>
    <w:rsid w:val="00E2081E"/>
    <w:rsid w:val="00E20A0D"/>
    <w:rsid w:val="00E24CBF"/>
    <w:rsid w:val="00E274AE"/>
    <w:rsid w:val="00E31E8F"/>
    <w:rsid w:val="00E32638"/>
    <w:rsid w:val="00E347A9"/>
    <w:rsid w:val="00E34BC1"/>
    <w:rsid w:val="00E359C2"/>
    <w:rsid w:val="00E4065C"/>
    <w:rsid w:val="00E40CED"/>
    <w:rsid w:val="00E47830"/>
    <w:rsid w:val="00E47F77"/>
    <w:rsid w:val="00E512B4"/>
    <w:rsid w:val="00E521AB"/>
    <w:rsid w:val="00E521D5"/>
    <w:rsid w:val="00E566EE"/>
    <w:rsid w:val="00E56A3D"/>
    <w:rsid w:val="00E56D5C"/>
    <w:rsid w:val="00E57DE8"/>
    <w:rsid w:val="00E605C4"/>
    <w:rsid w:val="00E615BE"/>
    <w:rsid w:val="00E622CE"/>
    <w:rsid w:val="00E62439"/>
    <w:rsid w:val="00E63380"/>
    <w:rsid w:val="00E64352"/>
    <w:rsid w:val="00E65528"/>
    <w:rsid w:val="00E703F4"/>
    <w:rsid w:val="00E72BED"/>
    <w:rsid w:val="00E73D34"/>
    <w:rsid w:val="00E74DEC"/>
    <w:rsid w:val="00E757D2"/>
    <w:rsid w:val="00E76CEC"/>
    <w:rsid w:val="00E80A07"/>
    <w:rsid w:val="00E856DF"/>
    <w:rsid w:val="00E85B28"/>
    <w:rsid w:val="00E869C5"/>
    <w:rsid w:val="00E92EA9"/>
    <w:rsid w:val="00E93BF5"/>
    <w:rsid w:val="00E93FE1"/>
    <w:rsid w:val="00E95268"/>
    <w:rsid w:val="00E95C3A"/>
    <w:rsid w:val="00E96122"/>
    <w:rsid w:val="00E97626"/>
    <w:rsid w:val="00EA1C43"/>
    <w:rsid w:val="00EA4E25"/>
    <w:rsid w:val="00EA6C95"/>
    <w:rsid w:val="00EB032E"/>
    <w:rsid w:val="00EB17DE"/>
    <w:rsid w:val="00EB2CCB"/>
    <w:rsid w:val="00EB3C3F"/>
    <w:rsid w:val="00EB3F4F"/>
    <w:rsid w:val="00EB55E5"/>
    <w:rsid w:val="00EB5C15"/>
    <w:rsid w:val="00EB5D08"/>
    <w:rsid w:val="00EB5E4B"/>
    <w:rsid w:val="00EB6A00"/>
    <w:rsid w:val="00EB6B09"/>
    <w:rsid w:val="00EB7041"/>
    <w:rsid w:val="00EC1635"/>
    <w:rsid w:val="00EC237B"/>
    <w:rsid w:val="00EC2721"/>
    <w:rsid w:val="00EC44A4"/>
    <w:rsid w:val="00EC4E16"/>
    <w:rsid w:val="00EC5AD1"/>
    <w:rsid w:val="00EC7C36"/>
    <w:rsid w:val="00ED0E1F"/>
    <w:rsid w:val="00ED5AF5"/>
    <w:rsid w:val="00ED6261"/>
    <w:rsid w:val="00EE166C"/>
    <w:rsid w:val="00EE1FBB"/>
    <w:rsid w:val="00EE2139"/>
    <w:rsid w:val="00EE27A8"/>
    <w:rsid w:val="00EE2F7B"/>
    <w:rsid w:val="00EE3131"/>
    <w:rsid w:val="00EE6479"/>
    <w:rsid w:val="00EE6543"/>
    <w:rsid w:val="00EE6D17"/>
    <w:rsid w:val="00EF0013"/>
    <w:rsid w:val="00EF0744"/>
    <w:rsid w:val="00EF4437"/>
    <w:rsid w:val="00EF52E9"/>
    <w:rsid w:val="00EF647D"/>
    <w:rsid w:val="00EF6485"/>
    <w:rsid w:val="00EF6D1F"/>
    <w:rsid w:val="00EF71EA"/>
    <w:rsid w:val="00EF7355"/>
    <w:rsid w:val="00EF75B4"/>
    <w:rsid w:val="00F00122"/>
    <w:rsid w:val="00F02526"/>
    <w:rsid w:val="00F05584"/>
    <w:rsid w:val="00F05673"/>
    <w:rsid w:val="00F06B53"/>
    <w:rsid w:val="00F06B9E"/>
    <w:rsid w:val="00F0710D"/>
    <w:rsid w:val="00F07A23"/>
    <w:rsid w:val="00F07ACA"/>
    <w:rsid w:val="00F102AD"/>
    <w:rsid w:val="00F1639B"/>
    <w:rsid w:val="00F20B1A"/>
    <w:rsid w:val="00F20C10"/>
    <w:rsid w:val="00F210CD"/>
    <w:rsid w:val="00F21D25"/>
    <w:rsid w:val="00F22452"/>
    <w:rsid w:val="00F22EA2"/>
    <w:rsid w:val="00F2486A"/>
    <w:rsid w:val="00F26D06"/>
    <w:rsid w:val="00F30CEB"/>
    <w:rsid w:val="00F3136E"/>
    <w:rsid w:val="00F31E3C"/>
    <w:rsid w:val="00F33B2A"/>
    <w:rsid w:val="00F34383"/>
    <w:rsid w:val="00F35B48"/>
    <w:rsid w:val="00F367C3"/>
    <w:rsid w:val="00F42CC3"/>
    <w:rsid w:val="00F42CE3"/>
    <w:rsid w:val="00F437CF"/>
    <w:rsid w:val="00F43985"/>
    <w:rsid w:val="00F44407"/>
    <w:rsid w:val="00F47358"/>
    <w:rsid w:val="00F47FBA"/>
    <w:rsid w:val="00F52558"/>
    <w:rsid w:val="00F52D74"/>
    <w:rsid w:val="00F52E3C"/>
    <w:rsid w:val="00F5314B"/>
    <w:rsid w:val="00F53B21"/>
    <w:rsid w:val="00F53C55"/>
    <w:rsid w:val="00F5584C"/>
    <w:rsid w:val="00F65178"/>
    <w:rsid w:val="00F66B04"/>
    <w:rsid w:val="00F700FE"/>
    <w:rsid w:val="00F70B2D"/>
    <w:rsid w:val="00F7110F"/>
    <w:rsid w:val="00F776A5"/>
    <w:rsid w:val="00F77D0D"/>
    <w:rsid w:val="00F77EDA"/>
    <w:rsid w:val="00F80D5F"/>
    <w:rsid w:val="00F8156D"/>
    <w:rsid w:val="00F858C5"/>
    <w:rsid w:val="00F87021"/>
    <w:rsid w:val="00F940FD"/>
    <w:rsid w:val="00F9532D"/>
    <w:rsid w:val="00F971C4"/>
    <w:rsid w:val="00FA003B"/>
    <w:rsid w:val="00FA07E3"/>
    <w:rsid w:val="00FA1732"/>
    <w:rsid w:val="00FA1989"/>
    <w:rsid w:val="00FB7BC0"/>
    <w:rsid w:val="00FC0313"/>
    <w:rsid w:val="00FC0ED4"/>
    <w:rsid w:val="00FC14B0"/>
    <w:rsid w:val="00FC3220"/>
    <w:rsid w:val="00FC3404"/>
    <w:rsid w:val="00FC36AC"/>
    <w:rsid w:val="00FC60A2"/>
    <w:rsid w:val="00FC6243"/>
    <w:rsid w:val="00FC631C"/>
    <w:rsid w:val="00FC63EB"/>
    <w:rsid w:val="00FD0F61"/>
    <w:rsid w:val="00FD2068"/>
    <w:rsid w:val="00FD2137"/>
    <w:rsid w:val="00FD3BD0"/>
    <w:rsid w:val="00FD3E29"/>
    <w:rsid w:val="00FD424C"/>
    <w:rsid w:val="00FD58B6"/>
    <w:rsid w:val="00FE198F"/>
    <w:rsid w:val="00FE1C11"/>
    <w:rsid w:val="00FE1F47"/>
    <w:rsid w:val="00FE2B0F"/>
    <w:rsid w:val="00FE44D1"/>
    <w:rsid w:val="00FE518A"/>
    <w:rsid w:val="00FE6956"/>
    <w:rsid w:val="00FF0F9D"/>
    <w:rsid w:val="00FF1871"/>
    <w:rsid w:val="00FF30A8"/>
    <w:rsid w:val="00FF5044"/>
    <w:rsid w:val="00FF531F"/>
    <w:rsid w:val="00FF5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DA7E1E"/>
  <w15:chartTrackingRefBased/>
  <w15:docId w15:val="{0EC95C33-2808-4384-A20D-52E65D2DD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D82708"/>
    <w:pPr>
      <w:spacing w:line="259" w:lineRule="auto"/>
    </w:pPr>
    <w:rPr>
      <w:rFonts w:ascii="Calibri" w:eastAsia="Calibri" w:hAnsi="Calibri" w:cs="Calibri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27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27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27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27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27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27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27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27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27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27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827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827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27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27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27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27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27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27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27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27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27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27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27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27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27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27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27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27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270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B3C3F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B3C3F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B3C3F"/>
    <w:pPr>
      <w:spacing w:before="240" w:after="0"/>
      <w:outlineLvl w:val="9"/>
    </w:pPr>
    <w:rPr>
      <w:sz w:val="32"/>
      <w:szCs w:val="32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EB3C3F"/>
    <w:pPr>
      <w:spacing w:after="100"/>
      <w:ind w:left="220"/>
    </w:pPr>
    <w:rPr>
      <w:rFonts w:asciiTheme="minorHAnsi" w:eastAsiaTheme="minorEastAsia" w:hAnsiTheme="minorHAnsi"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EB3C3F"/>
    <w:pPr>
      <w:spacing w:after="100"/>
    </w:pPr>
    <w:rPr>
      <w:rFonts w:asciiTheme="minorHAnsi" w:eastAsiaTheme="minorEastAsia" w:hAnsiTheme="minorHAnsi" w:cs="Times New Roman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EB3C3F"/>
    <w:pPr>
      <w:spacing w:after="100"/>
      <w:ind w:left="440"/>
    </w:pPr>
    <w:rPr>
      <w:rFonts w:asciiTheme="minorHAnsi" w:eastAsiaTheme="minorEastAsia" w:hAnsiTheme="minorHAnsi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EB3C3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866A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66A6D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866A6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C70229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C26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C264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C264B"/>
    <w:rPr>
      <w:rFonts w:ascii="Calibri" w:eastAsia="Calibri" w:hAnsi="Calibri" w:cs="Calibri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264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264B"/>
    <w:rPr>
      <w:rFonts w:ascii="Calibri" w:eastAsia="Calibri" w:hAnsi="Calibri" w:cs="Calibri"/>
      <w:b/>
      <w:bCs/>
      <w:kern w:val="0"/>
      <w:sz w:val="20"/>
      <w:szCs w:val="2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AF06A8"/>
    <w:rPr>
      <w:color w:val="96607D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D626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D6261"/>
    <w:rPr>
      <w:rFonts w:ascii="Calibri" w:eastAsia="Calibri" w:hAnsi="Calibri" w:cs="Calibri"/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ED6261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6A558B"/>
    <w:rPr>
      <w:i/>
      <w:iCs/>
    </w:rPr>
  </w:style>
  <w:style w:type="paragraph" w:styleId="Header">
    <w:name w:val="header"/>
    <w:basedOn w:val="Normal"/>
    <w:link w:val="HeaderChar"/>
    <w:uiPriority w:val="99"/>
    <w:semiHidden/>
    <w:unhideWhenUsed/>
    <w:rsid w:val="00023E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23E52"/>
    <w:rPr>
      <w:rFonts w:ascii="Calibri" w:eastAsia="Calibri" w:hAnsi="Calibri" w:cs="Calibri"/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semiHidden/>
    <w:unhideWhenUsed/>
    <w:rsid w:val="00023E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23E52"/>
    <w:rPr>
      <w:rFonts w:ascii="Calibri" w:eastAsia="Calibri" w:hAnsi="Calibri" w:cs="Calibri"/>
      <w:kern w:val="0"/>
      <w:sz w:val="22"/>
      <w:szCs w:val="2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DC5D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8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76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2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7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8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0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3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1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05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5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2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0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3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8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4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5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6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8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6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8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44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1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6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7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4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9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1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2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80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4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7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3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5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5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3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3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95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6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13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0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7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0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3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8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8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1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6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5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9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2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1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6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1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9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3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2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9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8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0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8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0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5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6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2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8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5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8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9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0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0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7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0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0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8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8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The Impact of Density of the Velocity of Detonation of HMX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Sheet1!$A$2:$A$32</c:f>
              <c:numCache>
                <c:formatCode>General</c:formatCode>
                <c:ptCount val="31"/>
                <c:pt idx="0">
                  <c:v>0.53300000000000003</c:v>
                </c:pt>
                <c:pt idx="1">
                  <c:v>0.56100000000000005</c:v>
                </c:pt>
                <c:pt idx="2">
                  <c:v>0.75</c:v>
                </c:pt>
                <c:pt idx="3">
                  <c:v>1</c:v>
                </c:pt>
                <c:pt idx="4">
                  <c:v>1.1000000000000001</c:v>
                </c:pt>
                <c:pt idx="5">
                  <c:v>1.1479999999999999</c:v>
                </c:pt>
                <c:pt idx="6">
                  <c:v>1.1890000000000001</c:v>
                </c:pt>
                <c:pt idx="7">
                  <c:v>1.2</c:v>
                </c:pt>
                <c:pt idx="8">
                  <c:v>1.2</c:v>
                </c:pt>
                <c:pt idx="9">
                  <c:v>1.3</c:v>
                </c:pt>
                <c:pt idx="10">
                  <c:v>1.3</c:v>
                </c:pt>
                <c:pt idx="11">
                  <c:v>1.3879999999999999</c:v>
                </c:pt>
                <c:pt idx="12">
                  <c:v>1.4</c:v>
                </c:pt>
                <c:pt idx="13">
                  <c:v>1.4</c:v>
                </c:pt>
                <c:pt idx="14">
                  <c:v>1.5</c:v>
                </c:pt>
                <c:pt idx="15">
                  <c:v>1.5289999999999999</c:v>
                </c:pt>
                <c:pt idx="16">
                  <c:v>1.59</c:v>
                </c:pt>
                <c:pt idx="17">
                  <c:v>1.6</c:v>
                </c:pt>
                <c:pt idx="18">
                  <c:v>1.6020000000000001</c:v>
                </c:pt>
                <c:pt idx="19">
                  <c:v>1.613</c:v>
                </c:pt>
                <c:pt idx="20">
                  <c:v>1.613</c:v>
                </c:pt>
                <c:pt idx="21">
                  <c:v>1.6240000000000001</c:v>
                </c:pt>
                <c:pt idx="22">
                  <c:v>1.6519999999999999</c:v>
                </c:pt>
                <c:pt idx="23">
                  <c:v>1.6930000000000001</c:v>
                </c:pt>
                <c:pt idx="24">
                  <c:v>1.6950000000000001</c:v>
                </c:pt>
                <c:pt idx="25">
                  <c:v>1.7629999999999999</c:v>
                </c:pt>
                <c:pt idx="26">
                  <c:v>1.8320000000000001</c:v>
                </c:pt>
                <c:pt idx="27">
                  <c:v>1.8380000000000001</c:v>
                </c:pt>
                <c:pt idx="28">
                  <c:v>1.847</c:v>
                </c:pt>
                <c:pt idx="29">
                  <c:v>1.875</c:v>
                </c:pt>
                <c:pt idx="30">
                  <c:v>1.891</c:v>
                </c:pt>
              </c:numCache>
            </c:numRef>
          </c:xVal>
          <c:yVal>
            <c:numRef>
              <c:f>Sheet1!$B$2:$B$32</c:f>
              <c:numCache>
                <c:formatCode>General</c:formatCode>
                <c:ptCount val="31"/>
                <c:pt idx="0">
                  <c:v>3.92</c:v>
                </c:pt>
                <c:pt idx="1">
                  <c:v>3.98</c:v>
                </c:pt>
                <c:pt idx="2">
                  <c:v>4.88</c:v>
                </c:pt>
                <c:pt idx="3">
                  <c:v>5.8</c:v>
                </c:pt>
                <c:pt idx="4">
                  <c:v>6.21</c:v>
                </c:pt>
                <c:pt idx="5">
                  <c:v>6.42</c:v>
                </c:pt>
                <c:pt idx="6">
                  <c:v>6.6740000000000004</c:v>
                </c:pt>
                <c:pt idx="7">
                  <c:v>6.58</c:v>
                </c:pt>
                <c:pt idx="8">
                  <c:v>6.51</c:v>
                </c:pt>
                <c:pt idx="9">
                  <c:v>6.93</c:v>
                </c:pt>
                <c:pt idx="10">
                  <c:v>6.99</c:v>
                </c:pt>
                <c:pt idx="11">
                  <c:v>7.21</c:v>
                </c:pt>
                <c:pt idx="12">
                  <c:v>7.2</c:v>
                </c:pt>
                <c:pt idx="13">
                  <c:v>7.3</c:v>
                </c:pt>
                <c:pt idx="14">
                  <c:v>7.53</c:v>
                </c:pt>
                <c:pt idx="15">
                  <c:v>7.68</c:v>
                </c:pt>
                <c:pt idx="16">
                  <c:v>7.85</c:v>
                </c:pt>
                <c:pt idx="17">
                  <c:v>7.91</c:v>
                </c:pt>
                <c:pt idx="18">
                  <c:v>8.01</c:v>
                </c:pt>
                <c:pt idx="19">
                  <c:v>8.02</c:v>
                </c:pt>
                <c:pt idx="20">
                  <c:v>8.01</c:v>
                </c:pt>
                <c:pt idx="21">
                  <c:v>8.08</c:v>
                </c:pt>
                <c:pt idx="22">
                  <c:v>8.1</c:v>
                </c:pt>
                <c:pt idx="23">
                  <c:v>8.42</c:v>
                </c:pt>
                <c:pt idx="24">
                  <c:v>8.26</c:v>
                </c:pt>
                <c:pt idx="25">
                  <c:v>8.58</c:v>
                </c:pt>
                <c:pt idx="26">
                  <c:v>8.74</c:v>
                </c:pt>
                <c:pt idx="27">
                  <c:v>8.85</c:v>
                </c:pt>
                <c:pt idx="28">
                  <c:v>8.85</c:v>
                </c:pt>
                <c:pt idx="29">
                  <c:v>8.8800000000000008</c:v>
                </c:pt>
                <c:pt idx="30">
                  <c:v>9.11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58B-47AD-802C-DB7D15F72CB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46860992"/>
        <c:axId val="1946863872"/>
      </c:scatterChart>
      <c:valAx>
        <c:axId val="1946860992"/>
        <c:scaling>
          <c:orientation val="minMax"/>
          <c:min val="0.5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Density</a:t>
                </a:r>
                <a:r>
                  <a:rPr lang="en-GB" baseline="0"/>
                  <a:t> of HMX, g/cm</a:t>
                </a:r>
                <a:r>
                  <a:rPr lang="en-GB" baseline="30000"/>
                  <a:t>3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6863872"/>
        <c:crosses val="autoZero"/>
        <c:crossBetween val="midCat"/>
        <c:majorUnit val="0.1"/>
      </c:valAx>
      <c:valAx>
        <c:axId val="1946863872"/>
        <c:scaling>
          <c:orientation val="minMax"/>
          <c:min val="3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</a:t>
                </a:r>
                <a:r>
                  <a:rPr lang="en-GB" baseline="0"/>
                  <a:t> of Detonation, Km/s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68609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F2B4CB7139D416D92E87B881D210A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B688D1-B5FD-4083-A0AD-2E24BCA10B65}"/>
      </w:docPartPr>
      <w:docPartBody>
        <w:p w:rsidR="002C0051" w:rsidRDefault="002C0051" w:rsidP="002C0051">
          <w:pPr>
            <w:pStyle w:val="9F2B4CB7139D416D92E87B881D210A50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70AA97D8789B4389898F14A1CA2296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19363E-E064-4025-AF31-79752FCC5938}"/>
      </w:docPartPr>
      <w:docPartBody>
        <w:p w:rsidR="002C0051" w:rsidRDefault="002C0051" w:rsidP="002C0051">
          <w:pPr>
            <w:pStyle w:val="70AA97D8789B4389898F14A1CA2296F9"/>
          </w:pPr>
          <w:r>
            <w:rPr>
              <w:color w:val="0F4761" w:themeColor="accent1" w:themeShade="BF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34D"/>
    <w:rsid w:val="000B0AFE"/>
    <w:rsid w:val="002C0051"/>
    <w:rsid w:val="0031708C"/>
    <w:rsid w:val="0032282A"/>
    <w:rsid w:val="003D41A3"/>
    <w:rsid w:val="00406145"/>
    <w:rsid w:val="004B79EE"/>
    <w:rsid w:val="00506B29"/>
    <w:rsid w:val="005F3B59"/>
    <w:rsid w:val="0066730B"/>
    <w:rsid w:val="00805068"/>
    <w:rsid w:val="00A345FC"/>
    <w:rsid w:val="00AB4121"/>
    <w:rsid w:val="00AC2AC0"/>
    <w:rsid w:val="00AC3586"/>
    <w:rsid w:val="00B224A4"/>
    <w:rsid w:val="00B859A1"/>
    <w:rsid w:val="00C10CB7"/>
    <w:rsid w:val="00D40C4A"/>
    <w:rsid w:val="00E95268"/>
    <w:rsid w:val="00F2231C"/>
    <w:rsid w:val="00F92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2282A"/>
    <w:rPr>
      <w:color w:val="666666"/>
    </w:rPr>
  </w:style>
  <w:style w:type="paragraph" w:customStyle="1" w:styleId="9F2B4CB7139D416D92E87B881D210A50">
    <w:name w:val="9F2B4CB7139D416D92E87B881D210A50"/>
    <w:rsid w:val="002C0051"/>
  </w:style>
  <w:style w:type="paragraph" w:customStyle="1" w:styleId="70AA97D8789B4389898F14A1CA2296F9">
    <w:name w:val="70AA97D8789B4389898F14A1CA2296F9"/>
    <w:rsid w:val="002C00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Jun06</b:Tag>
    <b:SourceType>Report</b:SourceType>
    <b:Guid>{2FFCA5BB-5A5D-4A49-AA2F-95F47541FB30}</b:Guid>
    <b:Title>Initiation and Detonation in Lead Azide and Silver Azide at Sub Milimetre Geometries</b:Title>
    <b:Year>2006</b:Year>
    <b:Publisher>Texax Tech University</b:Publisher>
    <b:Author>
      <b:Author>
        <b:NameList>
          <b:Person>
            <b:Last>Jung</b:Last>
            <b:First>Peter</b:First>
            <b:Middle>C.</b:Middle>
          </b:Person>
        </b:NameList>
      </b:Author>
    </b:Author>
    <b:RefOrder>9</b:RefOrder>
  </b:Source>
  <b:Source>
    <b:Tag>Bow55</b:Tag>
    <b:SourceType>ConferenceProceedings</b:SourceType>
    <b:Guid>{A5141F15-8023-4199-B719-9A4D79A47C67}</b:Guid>
    <b:Author>
      <b:Author>
        <b:NameList>
          <b:Person>
            <b:Last>Bowden</b:Last>
            <b:First>F.</b:First>
            <b:Middle>P.</b:Middle>
          </b:Person>
          <b:Person>
            <b:Last>McLaren</b:Last>
            <b:First>A.</b:First>
            <b:Middle>C.</b:Middle>
          </b:Person>
        </b:NameList>
      </b:Author>
    </b:Author>
    <b:Title>Detonation in Azides When the Dimensions Are Comparable With The Length of the Reaction Zone</b:Title>
    <b:Year>1955</b:Year>
    <b:City>Washington</b:City>
    <b:ConferenceName>Second ONR Symposium on Detonation</b:ConferenceName>
    <b:RefOrder>10</b:RefOrder>
  </b:Source>
  <b:Source>
    <b:Tag>Dob85</b:Tag>
    <b:SourceType>Book</b:SourceType>
    <b:Guid>{B4E2C22B-0030-48C1-9012-B6028F4B72B4}</b:Guid>
    <b:Title>LLNL Explosives Handbook: Properties of Chemical Explosives and Explosive Simulants</b:Title>
    <b:Year>1985</b:Year>
    <b:City>Livermore, California</b:City>
    <b:Author>
      <b:Author>
        <b:NameList>
          <b:Person>
            <b:Last>Dobratz</b:Last>
            <b:First>B.</b:First>
            <b:Middle>M.: Crawford, P. C.</b:Middle>
          </b:Person>
        </b:NameList>
      </b:Author>
    </b:Author>
    <b:Publisher>Laurence Livermore National Laboratories, University of California</b:Publisher>
    <b:RefOrder>4</b:RefOrder>
  </b:Source>
  <b:Source>
    <b:Tag>Jac22</b:Tag>
    <b:SourceType>Book</b:SourceType>
    <b:Guid>{A4890B7B-F0D7-43C6-9777-85B03DB317A8}</b:Guid>
    <b:Title>The Chemistry of Explosives</b:Title>
    <b:Year>2022</b:Year>
    <b:Publisher>Royal Society of Chemistry</b:Publisher>
    <b:City>London</b:City>
    <b:StandardNumber>9781839166181</b:StandardNumber>
    <b:Medium>Ebook</b:Medium>
    <b:YearAccessed>2025</b:YearAccessed>
    <b:MonthAccessed>january</b:MonthAccessed>
    <b:Author>
      <b:Author>
        <b:NameList>
          <b:Person>
            <b:Last>Akhavan</b:Last>
            <b:First>Jacqueline</b:First>
          </b:Person>
        </b:NameList>
      </b:Author>
    </b:Author>
    <b:Edition>4th</b:Edition>
    <b:RefOrder>3</b:RefOrder>
  </b:Source>
  <b:Source>
    <b:Tag>Dic93</b:Tag>
    <b:SourceType>JournalArticle</b:SourceType>
    <b:Guid>{5B2D4F64-7833-4FDC-B7E4-C270EEC40A88}</b:Guid>
    <b:Author>
      <b:Author>
        <b:NameList>
          <b:Person>
            <b:Last>Dickson</b:Last>
            <b:First>P.</b:First>
            <b:Middle>M.</b:Middle>
          </b:Person>
          <b:Person>
            <b:Last>Field</b:Last>
            <b:First>T.</b:First>
            <b:Middle>E.</b:Middle>
          </b:Person>
        </b:NameList>
      </b:Author>
    </b:Author>
    <b:Title>Explosives, Initiation and Propagation in Primary</b:Title>
    <b:Year>1993</b:Year>
    <b:JournalName>Proceedings: Mathematical and Physical Sciences</b:JournalName>
    <b:Pages>359-375</b:Pages>
    <b:Volume>441</b:Volume>
    <b:Issue>1912</b:Issue>
    <b:RefOrder>15</b:RefOrder>
  </b:Source>
  <b:Source>
    <b:Tag>Wei00</b:Tag>
    <b:SourceType>ConferenceProceedings</b:SourceType>
    <b:Guid>{E8085A50-BCC1-4E3D-9E20-39CC7261F973}</b:Guid>
    <b:Title>Properties of Selected High Explosives</b:Title>
    <b:Year>2000</b:Year>
    <b:Author>
      <b:Author>
        <b:NameList>
          <b:Person>
            <b:Last>Weinheimer</b:Last>
            <b:First>Robert</b:First>
          </b:Person>
        </b:NameList>
      </b:Author>
    </b:Author>
    <b:ConferenceName>27th International Pyrotechnics Seminar</b:ConferenceName>
    <b:City>Grand Junction, Colorado</b:City>
    <b:RefOrder>14</b:RefOrder>
  </b:Source>
  <b:Source>
    <b:Tag>Ste85</b:Tag>
    <b:SourceType>ConferenceProceedings</b:SourceType>
    <b:Guid>{F349DEC0-47BE-4696-991A-23DCF3B179C7}</b:Guid>
    <b:Author>
      <b:Author>
        <b:NameList>
          <b:Person>
            <b:Last>Steinberg</b:Last>
            <b:First>D.</b:First>
            <b:Middle>J.</b:Middle>
          </b:Person>
        </b:NameList>
      </b:Author>
    </b:Author>
    <b:Title>COMPARISON OF EXPERIMENTAL DATA ON DETONATION VELOCITY AND CHAPMAN-JOUGET PRESSURE VS INITIAL HE DENSITY WITH  PREDICTIONS FROM REE'S MODEL EQUATION OF STATE</b:Title>
    <b:Year>1985</b:Year>
    <b:ConferenceName>8th International Symposiurn on Detonation</b:ConferenceName>
    <b:City>Albuquerque, New Mexico</b:City>
    <b:RefOrder>16</b:RefOrder>
  </b:Source>
  <b:Source>
    <b:Tag>Gar14</b:Tag>
    <b:SourceType>JournalArticle</b:SourceType>
    <b:Guid>{3A9F958D-CEE4-4747-AE1B-63C5397F17FC}</b:Guid>
    <b:Title>Shock initiation experiments with ignition and growth modeling on low density HMX</b:Title>
    <b:Year>2014</b:Year>
    <b:Author>
      <b:Author>
        <b:NameList>
          <b:Person>
            <b:Last>Garcia</b:Last>
            <b:First>Frank</b:First>
          </b:Person>
          <b:Person>
            <b:Last>Vandersall</b:Last>
            <b:First>Kevin</b:First>
            <b:Middle>S.</b:Middle>
          </b:Person>
          <b:Person>
            <b:Last>Tarver</b:Last>
            <b:First>Craig</b:First>
            <b:Middle>M.</b:Middle>
          </b:Person>
        </b:NameList>
      </b:Author>
    </b:Author>
    <b:JournalName>Journal of Physics: Conference Series</b:JournalName>
    <b:Volume>500</b:Volume>
    <b:RefOrder>6</b:RefOrder>
  </b:Source>
  <b:Source>
    <b:Tag>Col25</b:Tag>
    <b:SourceType>Misc</b:SourceType>
    <b:Guid>{9C713332-0631-4F73-82A3-2A3AC1C3D6C8}</b:Guid>
    <b:Title>Block 1 Lesson 1 OME Introduction</b:Title>
    <b:Year>2025</b:Year>
    <b:Author>
      <b:Author>
        <b:NameList>
          <b:Person>
            <b:Last>Collett</b:Last>
            <b:First>Dr.</b:First>
            <b:Middle>Gareth</b:Middle>
          </b:Person>
        </b:NameList>
      </b:Author>
    </b:Author>
    <b:Month>10</b:Month>
    <b:Day>7</b:Day>
    <b:RefOrder>1</b:RefOrder>
  </b:Source>
  <b:Source>
    <b:Tag>Min15</b:Tag>
    <b:SourceType>ConferenceProceedings</b:SourceType>
    <b:Guid>{AAC24B18-0273-41BB-BEC3-DB5CD4C425C2}</b:Guid>
    <b:Author>
      <b:Author>
        <b:NameList>
          <b:Person>
            <b:Last>Minchinton</b:Last>
            <b:First>Alan</b:First>
          </b:Person>
        </b:NameList>
      </b:Author>
    </b:Author>
    <b:Title>On the Influence of Fundamental Detonics on Blasting Practice</b:Title>
    <b:Year>2015</b:Year>
    <b:City>Sydney, Australia</b:City>
    <b:ConferenceName>11th International Symposium on Rock Fragmentation by Blasting</b:ConferenceName>
    <b:RefOrder>8</b:RefOrder>
  </b:Source>
  <b:Source>
    <b:Tag>Fre23</b:Tag>
    <b:SourceType>JournalArticle</b:SourceType>
    <b:Guid>{E1FCA669-69C5-4766-B5EA-F5C28DBE9AC4}</b:Guid>
    <b:Title>A mathematical model for estimating the Gurney velocity of chemical high explosives</b:Title>
    <b:Year>2023</b:Year>
    <b:Author>
      <b:Author>
        <b:NameList>
          <b:Person>
            <b:Last>Frem</b:Last>
            <b:First>Dany</b:First>
          </b:Person>
        </b:NameList>
      </b:Author>
    </b:Author>
    <b:JournalName>FirePhysChem</b:JournalName>
    <b:Pages>281-291</b:Pages>
    <b:Volume>3</b:Volume>
    <b:Issue>4</b:Issue>
    <b:RefOrder>17</b:RefOrder>
  </b:Source>
  <b:Source>
    <b:Tag>Col251</b:Tag>
    <b:SourceType>Misc</b:SourceType>
    <b:Guid>{E3B17A21-117B-49AA-A030-DC52F77BDBB8}</b:Guid>
    <b:Author>
      <b:Author>
        <b:NameList>
          <b:Person>
            <b:Last>Collett</b:Last>
            <b:First>Dr.</b:First>
            <b:Middle>Gareth</b:Middle>
          </b:Person>
        </b:NameList>
      </b:Author>
    </b:Author>
    <b:Title>Block 1 Lesson 3 Deflagration, Detonation and the Explosives Train 2025</b:Title>
    <b:Year>2025</b:Year>
    <b:RefOrder>2</b:RefOrder>
  </b:Source>
  <b:Source>
    <b:Tag>Pre09</b:Tag>
    <b:SourceType>JournalArticle</b:SourceType>
    <b:Guid>{7C436B4C-2D7F-4517-8130-C7B16BD5AAE9}</b:Guid>
    <b:Author>
      <b:Author>
        <b:NameList>
          <b:Person>
            <b:Last>Presles</b:Last>
            <b:First>Henri-Noël</b:First>
          </b:Person>
          <b:Person>
            <b:Last>Vidal</b:Last>
            <b:First>Pierre</b:First>
          </b:Person>
          <b:Person>
            <b:Last>Khasainov</b:Last>
            <b:First>Boris</b:First>
          </b:Person>
        </b:NameList>
      </b:Author>
    </b:Author>
    <b:Title>Experimental study of the detonation of technical grade Ammonium Nitrate</b:Title>
    <b:JournalName>C. R. Mecanique 337</b:JournalName>
    <b:Year>2009</b:Year>
    <b:Pages>755-760</b:Pages>
    <b:RefOrder>12</b:RefOrder>
  </b:Source>
  <b:Source>
    <b:Tag>Zha16</b:Tag>
    <b:SourceType>Book</b:SourceType>
    <b:Guid>{87184729-9F2E-48EC-8E05-FD2066C55DD1}</b:Guid>
    <b:Title>Rock Fracture and Blasting</b:Title>
    <b:Year>2016</b:Year>
    <b:Author>
      <b:Author>
        <b:NameList>
          <b:Person>
            <b:Last>Zhang</b:Last>
            <b:First>Zong-Xian</b:First>
          </b:Person>
        </b:NameList>
      </b:Author>
    </b:Author>
    <b:RefOrder>13</b:RefOrder>
  </b:Source>
  <b:Source>
    <b:Tag>Mor26</b:Tag>
    <b:SourceType>JournalArticle</b:SourceType>
    <b:Guid>{DC988AC8-62E6-4DA4-89DE-F3ECA9E7BDF2}</b:Guid>
    <b:Author>
      <b:Author>
        <b:NameList>
          <b:Person>
            <b:Last>Morand</b:Last>
            <b:First>J.</b:First>
          </b:Person>
          <b:Person>
            <b:Last>Hébert</b:Last>
            <b:First>P.</b:First>
          </b:Person>
          <b:Person>
            <b:Last>Kerampran</b:Last>
            <b:First>S.</b:First>
          </b:Person>
          <b:Person>
            <b:Last>Arrigoni</b:Last>
            <b:First>M.</b:First>
          </b:Person>
        </b:NameList>
      </b:Author>
    </b:Author>
    <b:Title>Characterizing the critical initiation conditions of HMX using laser-driven flyers</b:Title>
    <b:Year>2026</b:Year>
    <b:JournalName>Internation Joural of Impact Engineering</b:JournalName>
    <b:Volume>208</b:Volume>
    <b:RefOrder>11</b:RefOrder>
  </b:Source>
  <b:Source>
    <b:Tag>Min20</b:Tag>
    <b:SourceType>Report</b:SourceType>
    <b:Guid>{30111BCF-5E1C-4EE2-BB14-43F4491F652A}</b:Guid>
    <b:Title>JSP 333 Service Textbook of Explosives</b:Title>
    <b:Year>2020</b:Year>
    <b:Publisher>Defence Equipment and Support</b:Publisher>
    <b:Author>
      <b:Author>
        <b:Corporate>Ministry of Defence</b:Corporate>
      </b:Author>
    </b:Author>
    <b:RefOrder>5</b:RefOrder>
  </b:Source>
  <b:Source>
    <b:Tag>Bur22</b:Tag>
    <b:SourceType>JournalArticle</b:SourceType>
    <b:Guid>{F6C9AB58-0B34-479C-AF45-94625D0CFA92}</b:Guid>
    <b:Author>
      <b:Author>
        <b:NameList>
          <b:Person>
            <b:Last>Burns</b:Last>
            <b:First>Malcolm</b:First>
            <b:Middle>John</b:Middle>
          </b:Person>
        </b:NameList>
      </b:Author>
    </b:Author>
    <b:Title>Shock initiation of low density polymer bonded explosive LX-14: A study of two morphologies</b:Title>
    <b:JournalName>Journal of Applied Physics</b:JournalName>
    <b:Year>2022</b:Year>
    <b:Volume>131</b:Volume>
    <b:Issue>145103</b:Issue>
    <b:RefOrder>7</b:RefOrder>
  </b:Source>
</b:Sources>
</file>

<file path=customXml/itemProps1.xml><?xml version="1.0" encoding="utf-8"?>
<ds:datastoreItem xmlns:ds="http://schemas.openxmlformats.org/officeDocument/2006/customXml" ds:itemID="{EEB356EB-49BB-4659-8113-F5971D6696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14533</TotalTime>
  <Pages>9</Pages>
  <Words>2929</Words>
  <Characters>14854</Characters>
  <Application>Microsoft Office Word</Application>
  <DocSecurity>0</DocSecurity>
  <Lines>265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Understanding the importance of critical diameter and critical density in the detonation process</vt:lpstr>
    </vt:vector>
  </TitlesOfParts>
  <Company/>
  <LinksUpToDate>false</LinksUpToDate>
  <CharactersWithSpaces>17730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the Importance of Critical Diameter and Critical Density in the Detonation Process</dc:title>
  <dc:subject>Cameron Lane- OME Apprentice</dc:subject>
  <dc:creator>Cameron Lane</dc:creator>
  <cp:keywords/>
  <dc:description/>
  <cp:lastModifiedBy>Cameron Lane</cp:lastModifiedBy>
  <cp:revision>439</cp:revision>
  <dcterms:created xsi:type="dcterms:W3CDTF">2025-07-11T14:24:00Z</dcterms:created>
  <dcterms:modified xsi:type="dcterms:W3CDTF">2025-12-19T14:10:00Z</dcterms:modified>
</cp:coreProperties>
</file>