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987DE" w14:textId="77777777" w:rsidR="00164D95" w:rsidRDefault="00164D95" w:rsidP="00164D95">
      <w:pPr>
        <w:pStyle w:val="NormalWeb"/>
        <w:spacing w:before="0" w:beforeAutospacing="0" w:after="0" w:afterAutospacing="0"/>
        <w:ind w:left="-180" w:right="-334"/>
      </w:pPr>
    </w:p>
    <w:p w14:paraId="3FCE2DC2" w14:textId="77777777" w:rsidR="00164D95" w:rsidRDefault="00164D95" w:rsidP="00164D95">
      <w:pPr>
        <w:pStyle w:val="NormalWeb"/>
        <w:spacing w:before="0" w:beforeAutospacing="0" w:after="0" w:afterAutospacing="0"/>
        <w:ind w:left="-180" w:right="-334"/>
      </w:pPr>
      <w:r>
        <w:drawing>
          <wp:inline distT="0" distB="0" distL="0" distR="0" wp14:anchorId="0E72F8E3" wp14:editId="6BC2DFE6">
            <wp:extent cx="2374900" cy="9398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900" cy="939800"/>
                    </a:xfrm>
                    <a:prstGeom prst="rect">
                      <a:avLst/>
                    </a:prstGeom>
                    <a:noFill/>
                    <a:ln>
                      <a:noFill/>
                    </a:ln>
                  </pic:spPr>
                </pic:pic>
              </a:graphicData>
            </a:graphic>
          </wp:inline>
        </w:drawing>
      </w:r>
    </w:p>
    <w:p w14:paraId="63BE4AB5" w14:textId="77777777" w:rsidR="00164D95" w:rsidRDefault="00164D95" w:rsidP="00164D95">
      <w:pPr>
        <w:pStyle w:val="NormalWeb"/>
        <w:spacing w:before="0" w:beforeAutospacing="0" w:after="0" w:afterAutospacing="0"/>
        <w:ind w:left="-180" w:right="-334"/>
      </w:pPr>
    </w:p>
    <w:p w14:paraId="1644FCCA" w14:textId="77777777" w:rsidR="00164D95" w:rsidRDefault="00164D95" w:rsidP="00164D95">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6FA28E99" w14:textId="77777777" w:rsidR="00164D95" w:rsidRDefault="00164D95" w:rsidP="00164D9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4A456CC8" w14:textId="77777777" w:rsidR="00164D95" w:rsidRDefault="00164D95" w:rsidP="00164D95">
      <w:pPr>
        <w:rPr>
          <w:rFonts w:ascii="Arial" w:hAnsi="Arial" w:cs="Arial"/>
          <w:sz w:val="28"/>
          <w:szCs w:val="28"/>
          <w:lang w:val="cy-GB"/>
        </w:rPr>
      </w:pPr>
    </w:p>
    <w:p w14:paraId="646B0F64" w14:textId="77777777" w:rsidR="00164D95" w:rsidRDefault="00164D95" w:rsidP="00164D95">
      <w:pPr>
        <w:jc w:val="center"/>
        <w:rPr>
          <w:rFonts w:ascii="Arial" w:hAnsi="Arial" w:cs="Arial"/>
          <w:sz w:val="20"/>
          <w:szCs w:val="20"/>
          <w:lang w:val="cy-GB"/>
        </w:rPr>
      </w:pPr>
      <w:r>
        <w:rPr>
          <w:rFonts w:ascii="Arial" w:hAnsi="Arial" w:cs="Arial"/>
          <w:sz w:val="20"/>
          <w:szCs w:val="20"/>
          <w:lang w:val="cy-GB"/>
        </w:rPr>
        <w:t>[Please insert this coversheet as the first page of the assignment you are submitting]</w:t>
      </w:r>
    </w:p>
    <w:p w14:paraId="7A3A6E41" w14:textId="77777777" w:rsidR="00164D95" w:rsidRDefault="00164D95" w:rsidP="00164D95">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164D95" w14:paraId="757D35AD" w14:textId="77777777" w:rsidTr="00E11810">
        <w:trPr>
          <w:trHeight w:val="724"/>
        </w:trPr>
        <w:tc>
          <w:tcPr>
            <w:tcW w:w="8856" w:type="dxa"/>
            <w:gridSpan w:val="4"/>
          </w:tcPr>
          <w:p w14:paraId="2EA4A847"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p w14:paraId="7DD87E96"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Student Name:  Douglas A F Ewart</w:t>
            </w:r>
          </w:p>
        </w:tc>
      </w:tr>
      <w:tr w:rsidR="00164D95" w14:paraId="1E7C6471" w14:textId="77777777" w:rsidTr="00E11810">
        <w:trPr>
          <w:cantSplit/>
          <w:trHeight w:val="693"/>
        </w:trPr>
        <w:tc>
          <w:tcPr>
            <w:tcW w:w="4788" w:type="dxa"/>
          </w:tcPr>
          <w:p w14:paraId="5F813158" w14:textId="77777777" w:rsidR="00164D95" w:rsidRDefault="00164D95" w:rsidP="00E11810">
            <w:pPr>
              <w:pStyle w:val="NormalWeb"/>
              <w:spacing w:before="0" w:beforeAutospacing="0" w:after="0" w:afterAutospacing="0"/>
              <w:ind w:right="34"/>
              <w:rPr>
                <w:rFonts w:ascii="Arial" w:hAnsi="Arial" w:cs="Arial"/>
                <w:sz w:val="22"/>
                <w:szCs w:val="22"/>
              </w:rPr>
            </w:pPr>
          </w:p>
          <w:p w14:paraId="7A4EF4C7"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Module code: CYCS7021</w:t>
            </w:r>
          </w:p>
          <w:p w14:paraId="42116124" w14:textId="77777777" w:rsidR="00164D95" w:rsidRDefault="00164D95" w:rsidP="00E11810">
            <w:pPr>
              <w:pStyle w:val="NormalWeb"/>
              <w:spacing w:before="0" w:beforeAutospacing="0" w:after="0" w:afterAutospacing="0"/>
              <w:ind w:right="34"/>
              <w:rPr>
                <w:rFonts w:ascii="Arial" w:hAnsi="Arial" w:cs="Arial"/>
                <w:sz w:val="22"/>
                <w:szCs w:val="22"/>
              </w:rPr>
            </w:pPr>
          </w:p>
        </w:tc>
        <w:tc>
          <w:tcPr>
            <w:tcW w:w="2266" w:type="dxa"/>
            <w:gridSpan w:val="2"/>
            <w:vMerge w:val="restart"/>
          </w:tcPr>
          <w:p w14:paraId="2FC87CD1"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Student University Number:</w:t>
            </w:r>
          </w:p>
          <w:p w14:paraId="3969367E"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1502444</w:t>
            </w:r>
          </w:p>
        </w:tc>
        <w:tc>
          <w:tcPr>
            <w:tcW w:w="1802" w:type="dxa"/>
            <w:vMerge w:val="restart"/>
          </w:tcPr>
          <w:p w14:paraId="145C4E14"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342C01A0"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Yes/No</w:t>
            </w:r>
          </w:p>
          <w:p w14:paraId="17471EFC"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164D95" w14:paraId="2A6E5B4C" w14:textId="77777777" w:rsidTr="00E11810">
        <w:trPr>
          <w:cantSplit/>
          <w:trHeight w:val="630"/>
        </w:trPr>
        <w:tc>
          <w:tcPr>
            <w:tcW w:w="4788" w:type="dxa"/>
          </w:tcPr>
          <w:p w14:paraId="2526140D" w14:textId="77777777" w:rsidR="00164D95" w:rsidRDefault="00164D95" w:rsidP="00E11810">
            <w:pPr>
              <w:pStyle w:val="NormalWeb"/>
              <w:spacing w:before="0" w:beforeAutospacing="0" w:after="0" w:afterAutospacing="0"/>
              <w:ind w:right="34"/>
              <w:rPr>
                <w:rFonts w:ascii="Arial" w:hAnsi="Arial" w:cs="Arial"/>
                <w:sz w:val="22"/>
                <w:szCs w:val="22"/>
              </w:rPr>
            </w:pPr>
          </w:p>
          <w:p w14:paraId="40DBF7C3"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Module title: The Celtic Arthur and the Matter of Britain</w:t>
            </w:r>
          </w:p>
        </w:tc>
        <w:tc>
          <w:tcPr>
            <w:tcW w:w="2266" w:type="dxa"/>
            <w:gridSpan w:val="2"/>
            <w:vMerge/>
          </w:tcPr>
          <w:p w14:paraId="51BCC0CA" w14:textId="77777777" w:rsidR="00164D95" w:rsidRDefault="00164D95" w:rsidP="00E11810">
            <w:pPr>
              <w:pStyle w:val="NormalWeb"/>
              <w:spacing w:before="0" w:beforeAutospacing="0" w:after="0" w:afterAutospacing="0"/>
              <w:ind w:right="34"/>
              <w:rPr>
                <w:rFonts w:ascii="Arial" w:hAnsi="Arial" w:cs="Arial"/>
                <w:sz w:val="22"/>
                <w:szCs w:val="22"/>
              </w:rPr>
            </w:pPr>
          </w:p>
        </w:tc>
        <w:tc>
          <w:tcPr>
            <w:tcW w:w="1802" w:type="dxa"/>
            <w:vMerge/>
          </w:tcPr>
          <w:p w14:paraId="513CF420" w14:textId="77777777" w:rsidR="00164D95" w:rsidRDefault="00164D95" w:rsidP="00E11810">
            <w:pPr>
              <w:pStyle w:val="NormalWeb"/>
              <w:spacing w:before="0" w:beforeAutospacing="0" w:after="0" w:afterAutospacing="0"/>
              <w:ind w:right="34"/>
              <w:rPr>
                <w:rFonts w:ascii="Arial" w:hAnsi="Arial" w:cs="Arial"/>
                <w:sz w:val="22"/>
                <w:szCs w:val="22"/>
              </w:rPr>
            </w:pPr>
          </w:p>
        </w:tc>
      </w:tr>
      <w:tr w:rsidR="00164D95" w:rsidRPr="006B39DB" w14:paraId="05C13330" w14:textId="77777777" w:rsidTr="00E11810">
        <w:trPr>
          <w:trHeight w:val="630"/>
        </w:trPr>
        <w:tc>
          <w:tcPr>
            <w:tcW w:w="8856" w:type="dxa"/>
            <w:gridSpan w:val="4"/>
          </w:tcPr>
          <w:p w14:paraId="66B14D1F" w14:textId="77777777" w:rsidR="00164D95" w:rsidRDefault="00164D95" w:rsidP="00E11810">
            <w:pPr>
              <w:pStyle w:val="NormalWeb"/>
              <w:spacing w:before="0" w:beforeAutospacing="0" w:after="0" w:afterAutospacing="0"/>
              <w:ind w:right="34"/>
              <w:rPr>
                <w:rFonts w:ascii="Arial" w:hAnsi="Arial" w:cs="Arial"/>
                <w:sz w:val="22"/>
                <w:szCs w:val="22"/>
              </w:rPr>
            </w:pPr>
          </w:p>
          <w:p w14:paraId="3AE88849" w14:textId="7AF9BE32" w:rsidR="00164D95" w:rsidRPr="00312EEC" w:rsidRDefault="00164D95" w:rsidP="00E11810">
            <w:pPr>
              <w:pStyle w:val="NormalWeb"/>
              <w:spacing w:before="0" w:beforeAutospacing="0" w:after="0" w:afterAutospacing="0"/>
              <w:ind w:right="34"/>
              <w:rPr>
                <w:rFonts w:ascii="Arial" w:hAnsi="Arial" w:cs="Arial"/>
                <w:sz w:val="22"/>
                <w:szCs w:val="22"/>
                <w:lang w:val="nb-NO"/>
              </w:rPr>
            </w:pPr>
            <w:r w:rsidRPr="00312EEC">
              <w:rPr>
                <w:rFonts w:ascii="Arial" w:hAnsi="Arial" w:cs="Arial"/>
                <w:sz w:val="22"/>
                <w:szCs w:val="22"/>
                <w:lang w:val="nb-NO"/>
              </w:rPr>
              <w:t>Module tutor: Dr Rhys Kaminsk</w:t>
            </w:r>
            <w:r w:rsidR="00115BD7">
              <w:rPr>
                <w:rFonts w:ascii="Arial" w:hAnsi="Arial" w:cs="Arial"/>
                <w:sz w:val="22"/>
                <w:szCs w:val="22"/>
                <w:lang w:val="nb-NO"/>
              </w:rPr>
              <w:t>i</w:t>
            </w:r>
            <w:r>
              <w:rPr>
                <w:rFonts w:ascii="Arial" w:hAnsi="Arial" w:cs="Arial"/>
                <w:sz w:val="22"/>
                <w:szCs w:val="22"/>
                <w:lang w:val="nb-NO"/>
              </w:rPr>
              <w:t>-Jones</w:t>
            </w:r>
          </w:p>
        </w:tc>
      </w:tr>
      <w:tr w:rsidR="00164D95" w:rsidRPr="006B39DB" w14:paraId="586689A0" w14:textId="77777777" w:rsidTr="00E11810">
        <w:trPr>
          <w:trHeight w:val="630"/>
        </w:trPr>
        <w:tc>
          <w:tcPr>
            <w:tcW w:w="8856" w:type="dxa"/>
            <w:gridSpan w:val="4"/>
          </w:tcPr>
          <w:p w14:paraId="5FD563AB" w14:textId="77777777" w:rsidR="00164D95" w:rsidRPr="00312EEC" w:rsidRDefault="00164D95" w:rsidP="00E11810">
            <w:pPr>
              <w:pStyle w:val="NormalWeb"/>
              <w:spacing w:before="0" w:beforeAutospacing="0" w:after="0" w:afterAutospacing="0"/>
              <w:ind w:right="34"/>
              <w:rPr>
                <w:rFonts w:ascii="Arial" w:hAnsi="Arial" w:cs="Arial"/>
                <w:sz w:val="22"/>
                <w:szCs w:val="22"/>
                <w:lang w:val="nb-NO"/>
              </w:rPr>
            </w:pPr>
          </w:p>
          <w:p w14:paraId="185D8FE9" w14:textId="77777777" w:rsidR="00164D95" w:rsidRPr="00312EEC" w:rsidRDefault="00164D95" w:rsidP="00E11810">
            <w:pPr>
              <w:pStyle w:val="NormalWeb"/>
              <w:spacing w:before="0" w:beforeAutospacing="0" w:after="0" w:afterAutospacing="0"/>
              <w:ind w:right="34"/>
              <w:rPr>
                <w:rFonts w:ascii="Arial" w:hAnsi="Arial" w:cs="Arial"/>
                <w:sz w:val="22"/>
                <w:szCs w:val="22"/>
                <w:lang w:val="nb-NO"/>
              </w:rPr>
            </w:pPr>
          </w:p>
        </w:tc>
      </w:tr>
      <w:tr w:rsidR="00164D95" w14:paraId="784BF500" w14:textId="77777777" w:rsidTr="00E11810">
        <w:trPr>
          <w:trHeight w:val="630"/>
        </w:trPr>
        <w:tc>
          <w:tcPr>
            <w:tcW w:w="8856" w:type="dxa"/>
            <w:gridSpan w:val="4"/>
          </w:tcPr>
          <w:p w14:paraId="70BAB0DD" w14:textId="77777777" w:rsidR="00164D95" w:rsidRPr="00312EEC" w:rsidRDefault="00164D95" w:rsidP="00E11810">
            <w:pPr>
              <w:pStyle w:val="NormalWeb"/>
              <w:spacing w:before="0" w:beforeAutospacing="0" w:after="0" w:afterAutospacing="0"/>
              <w:ind w:right="34"/>
              <w:rPr>
                <w:rFonts w:ascii="Arial" w:hAnsi="Arial" w:cs="Arial"/>
                <w:sz w:val="22"/>
                <w:szCs w:val="22"/>
                <w:lang w:val="nb-NO"/>
              </w:rPr>
            </w:pPr>
          </w:p>
          <w:p w14:paraId="45200426"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 14/01/2019</w:t>
            </w:r>
          </w:p>
        </w:tc>
      </w:tr>
      <w:tr w:rsidR="00164D95" w14:paraId="322B796D" w14:textId="77777777" w:rsidTr="00E11810">
        <w:trPr>
          <w:trHeight w:val="978"/>
        </w:trPr>
        <w:tc>
          <w:tcPr>
            <w:tcW w:w="8856" w:type="dxa"/>
            <w:gridSpan w:val="4"/>
            <w:shd w:val="clear" w:color="auto" w:fill="D9D9D9"/>
          </w:tcPr>
          <w:p w14:paraId="150300FB" w14:textId="77777777" w:rsidR="00164D95" w:rsidRDefault="00164D95" w:rsidP="00E11810">
            <w:pPr>
              <w:pStyle w:val="NormalWeb"/>
              <w:spacing w:before="0" w:beforeAutospacing="0" w:after="0" w:afterAutospacing="0"/>
              <w:ind w:right="34"/>
              <w:rPr>
                <w:rFonts w:ascii="Arial" w:hAnsi="Arial" w:cs="Arial"/>
                <w:sz w:val="22"/>
                <w:szCs w:val="22"/>
              </w:rPr>
            </w:pPr>
          </w:p>
          <w:p w14:paraId="2F4959F4"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2C0CA508" w14:textId="77777777" w:rsidR="00164D95" w:rsidRDefault="00164D95" w:rsidP="00E11810">
            <w:pPr>
              <w:pStyle w:val="NormalWeb"/>
              <w:spacing w:before="0" w:beforeAutospacing="0" w:after="0" w:afterAutospacing="0"/>
              <w:ind w:right="34"/>
              <w:rPr>
                <w:rFonts w:ascii="Arial" w:hAnsi="Arial" w:cs="Arial"/>
                <w:sz w:val="22"/>
                <w:szCs w:val="22"/>
              </w:rPr>
            </w:pPr>
          </w:p>
          <w:p w14:paraId="7C23F101" w14:textId="77777777" w:rsidR="00164D95" w:rsidRDefault="00164D95" w:rsidP="00E11810">
            <w:pPr>
              <w:pStyle w:val="NormalWeb"/>
              <w:spacing w:before="0" w:beforeAutospacing="0" w:after="0" w:afterAutospacing="0"/>
              <w:ind w:right="34"/>
              <w:rPr>
                <w:rFonts w:ascii="Arial" w:hAnsi="Arial" w:cs="Arial"/>
                <w:sz w:val="22"/>
                <w:szCs w:val="22"/>
              </w:rPr>
            </w:pPr>
            <w:r>
              <w:rPr>
                <w:rFonts w:ascii="Arial" w:hAnsi="Arial" w:cs="Arial"/>
                <w:sz w:val="22"/>
                <w:szCs w:val="22"/>
              </w:rPr>
              <w:t>Name …D A F Ewart…………………………………………………………</w:t>
            </w:r>
          </w:p>
          <w:p w14:paraId="09E1B00C" w14:textId="77777777" w:rsidR="00164D95" w:rsidRDefault="00164D95" w:rsidP="00E11810">
            <w:pPr>
              <w:pStyle w:val="NormalWeb"/>
              <w:spacing w:before="0" w:beforeAutospacing="0" w:after="0" w:afterAutospacing="0"/>
              <w:ind w:right="34"/>
              <w:rPr>
                <w:rFonts w:ascii="Arial" w:hAnsi="Arial" w:cs="Arial"/>
                <w:sz w:val="22"/>
                <w:szCs w:val="22"/>
              </w:rPr>
            </w:pPr>
          </w:p>
        </w:tc>
      </w:tr>
      <w:tr w:rsidR="00164D95" w14:paraId="04B597C6" w14:textId="77777777" w:rsidTr="00E11810">
        <w:trPr>
          <w:trHeight w:val="3972"/>
        </w:trPr>
        <w:tc>
          <w:tcPr>
            <w:tcW w:w="8856" w:type="dxa"/>
            <w:gridSpan w:val="4"/>
          </w:tcPr>
          <w:p w14:paraId="48DE25DC" w14:textId="77777777" w:rsidR="00164D95" w:rsidRDefault="00164D95" w:rsidP="00E11810">
            <w:pPr>
              <w:rPr>
                <w:rFonts w:ascii="Arial" w:hAnsi="Arial" w:cs="Arial"/>
                <w:b/>
              </w:rPr>
            </w:pPr>
          </w:p>
          <w:p w14:paraId="0D5F4BE8" w14:textId="77777777" w:rsidR="00164D95" w:rsidRDefault="00164D95" w:rsidP="00E11810">
            <w:pPr>
              <w:rPr>
                <w:rFonts w:ascii="Arial" w:hAnsi="Arial" w:cs="Arial"/>
              </w:rPr>
            </w:pPr>
            <w:r>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64D95" w14:paraId="097CE7EB" w14:textId="77777777" w:rsidTr="00E11810">
              <w:tc>
                <w:tcPr>
                  <w:tcW w:w="6970" w:type="dxa"/>
                </w:tcPr>
                <w:p w14:paraId="1BEFB4BD" w14:textId="77777777" w:rsidR="00164D95" w:rsidRDefault="00164D95" w:rsidP="00E11810">
                  <w:pPr>
                    <w:rPr>
                      <w:rFonts w:ascii="Arial" w:hAnsi="Arial" w:cs="Arial"/>
                      <w:sz w:val="22"/>
                      <w:szCs w:val="22"/>
                    </w:rPr>
                  </w:pPr>
                </w:p>
                <w:p w14:paraId="55F565A4" w14:textId="77777777" w:rsidR="00164D95" w:rsidRDefault="00164D95" w:rsidP="00E11810">
                  <w:pPr>
                    <w:rPr>
                      <w:rFonts w:ascii="Arial" w:hAnsi="Arial" w:cs="Arial"/>
                      <w:sz w:val="22"/>
                      <w:szCs w:val="22"/>
                    </w:rPr>
                  </w:pPr>
                  <w:r>
                    <w:rPr>
                      <w:rFonts w:ascii="Arial" w:hAnsi="Arial" w:cs="Arial"/>
                      <w:sz w:val="22"/>
                      <w:szCs w:val="22"/>
                    </w:rPr>
                    <w:t>1</w:t>
                  </w:r>
                  <w:r>
                    <w:rPr>
                      <w:rFonts w:ascii="Arial" w:hAnsi="Arial" w:cs="Arial"/>
                      <w:sz w:val="22"/>
                      <w:szCs w:val="22"/>
                      <w:vertAlign w:val="superscript"/>
                    </w:rPr>
                    <w:t>st</w:t>
                  </w:r>
                  <w:r>
                    <w:rPr>
                      <w:rFonts w:ascii="Arial" w:hAnsi="Arial" w:cs="Arial"/>
                      <w:sz w:val="22"/>
                      <w:szCs w:val="22"/>
                    </w:rPr>
                    <w:t xml:space="preserve"> Marker’s Provisional mark</w:t>
                  </w:r>
                </w:p>
              </w:tc>
              <w:tc>
                <w:tcPr>
                  <w:tcW w:w="1660" w:type="dxa"/>
                </w:tcPr>
                <w:p w14:paraId="42491A25" w14:textId="77777777" w:rsidR="00164D95" w:rsidRDefault="00164D95" w:rsidP="00E11810">
                  <w:pPr>
                    <w:rPr>
                      <w:rFonts w:ascii="Arial" w:hAnsi="Arial" w:cs="Arial"/>
                      <w:sz w:val="20"/>
                      <w:szCs w:val="20"/>
                    </w:rPr>
                  </w:pPr>
                </w:p>
              </w:tc>
            </w:tr>
            <w:tr w:rsidR="00164D95" w14:paraId="2658CC66" w14:textId="77777777" w:rsidTr="00E11810">
              <w:tc>
                <w:tcPr>
                  <w:tcW w:w="6970" w:type="dxa"/>
                </w:tcPr>
                <w:p w14:paraId="17D9DA1F" w14:textId="77777777" w:rsidR="00164D95" w:rsidRDefault="00164D95" w:rsidP="00E11810">
                  <w:pPr>
                    <w:rPr>
                      <w:rFonts w:ascii="Arial" w:hAnsi="Arial" w:cs="Arial"/>
                      <w:sz w:val="22"/>
                      <w:szCs w:val="22"/>
                    </w:rPr>
                  </w:pPr>
                </w:p>
                <w:p w14:paraId="1B919023" w14:textId="77777777" w:rsidR="00164D95" w:rsidRDefault="00164D95" w:rsidP="00E11810">
                  <w:pPr>
                    <w:rPr>
                      <w:rFonts w:ascii="Arial" w:hAnsi="Arial" w:cs="Arial"/>
                      <w:sz w:val="22"/>
                      <w:szCs w:val="22"/>
                    </w:rPr>
                  </w:pPr>
                  <w:r>
                    <w:rPr>
                      <w:rFonts w:ascii="Arial" w:hAnsi="Arial" w:cs="Arial"/>
                      <w:sz w:val="22"/>
                      <w:szCs w:val="22"/>
                    </w:rPr>
                    <w:t>2</w:t>
                  </w:r>
                  <w:r>
                    <w:rPr>
                      <w:rFonts w:ascii="Arial" w:hAnsi="Arial" w:cs="Arial"/>
                      <w:sz w:val="22"/>
                      <w:szCs w:val="22"/>
                      <w:vertAlign w:val="superscript"/>
                    </w:rPr>
                    <w:t>nd</w:t>
                  </w:r>
                  <w:r>
                    <w:rPr>
                      <w:rFonts w:ascii="Arial" w:hAnsi="Arial" w:cs="Arial"/>
                      <w:sz w:val="22"/>
                      <w:szCs w:val="22"/>
                    </w:rPr>
                    <w:t xml:space="preserve"> Marker’s/Moderator’s provisional mark</w:t>
                  </w:r>
                </w:p>
              </w:tc>
              <w:tc>
                <w:tcPr>
                  <w:tcW w:w="1660" w:type="dxa"/>
                </w:tcPr>
                <w:p w14:paraId="3A533D05" w14:textId="77777777" w:rsidR="00164D95" w:rsidRDefault="00164D95" w:rsidP="00E11810">
                  <w:pPr>
                    <w:rPr>
                      <w:rFonts w:ascii="Arial" w:hAnsi="Arial" w:cs="Arial"/>
                      <w:sz w:val="20"/>
                      <w:szCs w:val="20"/>
                    </w:rPr>
                  </w:pPr>
                </w:p>
              </w:tc>
            </w:tr>
            <w:tr w:rsidR="00164D95" w14:paraId="6BCA2FF9" w14:textId="77777777" w:rsidTr="00E11810">
              <w:tc>
                <w:tcPr>
                  <w:tcW w:w="6970" w:type="dxa"/>
                </w:tcPr>
                <w:p w14:paraId="37A627E4" w14:textId="77777777" w:rsidR="00164D95" w:rsidRDefault="00164D95" w:rsidP="00E11810">
                  <w:pPr>
                    <w:rPr>
                      <w:rFonts w:ascii="Arial" w:hAnsi="Arial" w:cs="Arial"/>
                      <w:sz w:val="22"/>
                      <w:szCs w:val="22"/>
                    </w:rPr>
                  </w:pPr>
                </w:p>
                <w:p w14:paraId="7C553090" w14:textId="77777777" w:rsidR="00164D95" w:rsidRDefault="00164D95" w:rsidP="00E11810">
                  <w:pPr>
                    <w:rPr>
                      <w:rFonts w:ascii="Arial" w:hAnsi="Arial" w:cs="Arial"/>
                      <w:sz w:val="22"/>
                      <w:szCs w:val="22"/>
                    </w:rPr>
                  </w:pPr>
                  <w:r>
                    <w:rPr>
                      <w:rFonts w:ascii="Arial" w:hAnsi="Arial" w:cs="Arial"/>
                      <w:sz w:val="22"/>
                      <w:szCs w:val="22"/>
                    </w:rPr>
                    <w:t>Agreed Internal Mark</w:t>
                  </w:r>
                </w:p>
              </w:tc>
              <w:tc>
                <w:tcPr>
                  <w:tcW w:w="1660" w:type="dxa"/>
                </w:tcPr>
                <w:p w14:paraId="6B35033D" w14:textId="77777777" w:rsidR="00164D95" w:rsidRDefault="00164D95" w:rsidP="00E11810">
                  <w:pPr>
                    <w:rPr>
                      <w:rFonts w:ascii="Arial" w:hAnsi="Arial" w:cs="Arial"/>
                      <w:sz w:val="20"/>
                      <w:szCs w:val="20"/>
                    </w:rPr>
                  </w:pPr>
                </w:p>
              </w:tc>
            </w:tr>
            <w:tr w:rsidR="00164D95" w14:paraId="52840AA1" w14:textId="77777777" w:rsidTr="00E11810">
              <w:tc>
                <w:tcPr>
                  <w:tcW w:w="6970" w:type="dxa"/>
                </w:tcPr>
                <w:p w14:paraId="469F4430" w14:textId="77777777" w:rsidR="00164D95" w:rsidRDefault="00164D95" w:rsidP="00E11810">
                  <w:pPr>
                    <w:rPr>
                      <w:rFonts w:ascii="Arial" w:hAnsi="Arial" w:cs="Arial"/>
                      <w:sz w:val="22"/>
                      <w:szCs w:val="22"/>
                    </w:rPr>
                  </w:pPr>
                </w:p>
                <w:p w14:paraId="6707D275" w14:textId="77777777" w:rsidR="00164D95" w:rsidRDefault="00164D95" w:rsidP="00E11810">
                  <w:pPr>
                    <w:rPr>
                      <w:rFonts w:ascii="Arial" w:hAnsi="Arial" w:cs="Arial"/>
                      <w:sz w:val="22"/>
                      <w:szCs w:val="22"/>
                    </w:rPr>
                  </w:pPr>
                  <w:r>
                    <w:rPr>
                      <w:rFonts w:ascii="Arial" w:hAnsi="Arial" w:cs="Arial"/>
                      <w:sz w:val="22"/>
                      <w:szCs w:val="22"/>
                    </w:rPr>
                    <w:t>External Examiner mark (if relevant)</w:t>
                  </w:r>
                </w:p>
              </w:tc>
              <w:tc>
                <w:tcPr>
                  <w:tcW w:w="1660" w:type="dxa"/>
                </w:tcPr>
                <w:p w14:paraId="3221B75C" w14:textId="77777777" w:rsidR="00164D95" w:rsidRDefault="00164D95" w:rsidP="00E11810">
                  <w:pPr>
                    <w:rPr>
                      <w:rFonts w:ascii="Arial" w:hAnsi="Arial" w:cs="Arial"/>
                      <w:sz w:val="20"/>
                      <w:szCs w:val="20"/>
                    </w:rPr>
                  </w:pPr>
                </w:p>
              </w:tc>
            </w:tr>
            <w:tr w:rsidR="00164D95" w14:paraId="43C6B38B" w14:textId="77777777" w:rsidTr="00E11810">
              <w:tc>
                <w:tcPr>
                  <w:tcW w:w="6970" w:type="dxa"/>
                </w:tcPr>
                <w:p w14:paraId="2E98A3E5" w14:textId="77777777" w:rsidR="00164D95" w:rsidRDefault="00164D95" w:rsidP="00E11810">
                  <w:pPr>
                    <w:rPr>
                      <w:rFonts w:ascii="Arial" w:hAnsi="Arial" w:cs="Arial"/>
                      <w:sz w:val="22"/>
                      <w:szCs w:val="22"/>
                    </w:rPr>
                  </w:pPr>
                </w:p>
                <w:p w14:paraId="30D46720" w14:textId="77777777" w:rsidR="00164D95" w:rsidRDefault="00164D95" w:rsidP="00E11810">
                  <w:pPr>
                    <w:rPr>
                      <w:rFonts w:ascii="Arial" w:hAnsi="Arial" w:cs="Arial"/>
                      <w:b/>
                      <w:sz w:val="22"/>
                      <w:szCs w:val="22"/>
                    </w:rPr>
                  </w:pPr>
                  <w:r>
                    <w:rPr>
                      <w:rFonts w:ascii="Arial" w:hAnsi="Arial" w:cs="Arial"/>
                      <w:b/>
                      <w:sz w:val="22"/>
                      <w:szCs w:val="22"/>
                    </w:rPr>
                    <w:t>Final Mark</w:t>
                  </w:r>
                </w:p>
                <w:p w14:paraId="5F8515C8" w14:textId="77777777" w:rsidR="00164D95" w:rsidRDefault="00164D95" w:rsidP="00E11810">
                  <w:pPr>
                    <w:rPr>
                      <w:rFonts w:ascii="Arial" w:hAnsi="Arial" w:cs="Arial"/>
                      <w:sz w:val="22"/>
                      <w:szCs w:val="22"/>
                    </w:rPr>
                  </w:pPr>
                </w:p>
              </w:tc>
              <w:tc>
                <w:tcPr>
                  <w:tcW w:w="1660" w:type="dxa"/>
                </w:tcPr>
                <w:p w14:paraId="0FA18DB9" w14:textId="77777777" w:rsidR="00164D95" w:rsidRDefault="00164D95" w:rsidP="00E11810">
                  <w:pPr>
                    <w:rPr>
                      <w:rFonts w:ascii="Arial" w:hAnsi="Arial" w:cs="Arial"/>
                      <w:b/>
                      <w:sz w:val="20"/>
                      <w:szCs w:val="20"/>
                    </w:rPr>
                  </w:pPr>
                </w:p>
              </w:tc>
            </w:tr>
          </w:tbl>
          <w:p w14:paraId="38E2C452" w14:textId="77777777" w:rsidR="00164D95" w:rsidRDefault="00164D95" w:rsidP="00E11810">
            <w:pPr>
              <w:pStyle w:val="NormalWeb"/>
              <w:spacing w:before="0" w:beforeAutospacing="0" w:after="0" w:afterAutospacing="0"/>
              <w:ind w:left="142" w:right="34"/>
              <w:rPr>
                <w:rFonts w:ascii="Arial" w:hAnsi="Arial" w:cs="Arial"/>
                <w:b/>
                <w:sz w:val="22"/>
                <w:szCs w:val="22"/>
              </w:rPr>
            </w:pPr>
          </w:p>
          <w:p w14:paraId="6E925C0C" w14:textId="77777777" w:rsidR="00164D95" w:rsidRDefault="00164D95" w:rsidP="00E11810">
            <w:pPr>
              <w:pStyle w:val="NormalWeb"/>
              <w:spacing w:before="0" w:beforeAutospacing="0" w:after="0" w:afterAutospacing="0"/>
              <w:ind w:left="142" w:right="34"/>
              <w:jc w:val="center"/>
              <w:rPr>
                <w:rFonts w:ascii="Arial" w:hAnsi="Arial" w:cs="Arial"/>
                <w:b/>
                <w:sz w:val="22"/>
                <w:szCs w:val="22"/>
              </w:rPr>
            </w:pPr>
            <w:r>
              <w:rPr>
                <w:rFonts w:ascii="Arial" w:hAnsi="Arial" w:cs="Arial"/>
                <w:b/>
                <w:sz w:val="22"/>
                <w:szCs w:val="22"/>
              </w:rPr>
              <w:t>NB.  All marks are provisional until confirmed by the Final Examination Board</w:t>
            </w:r>
          </w:p>
          <w:p w14:paraId="7FE22587" w14:textId="77777777" w:rsidR="00164D95" w:rsidRDefault="00164D95" w:rsidP="00E11810">
            <w:pPr>
              <w:pStyle w:val="NormalWeb"/>
              <w:spacing w:before="0" w:beforeAutospacing="0" w:after="0" w:afterAutospacing="0"/>
              <w:rPr>
                <w:rFonts w:ascii="Arial" w:hAnsi="Arial" w:cs="Arial"/>
                <w:b/>
                <w:sz w:val="22"/>
                <w:szCs w:val="22"/>
              </w:rPr>
            </w:pPr>
          </w:p>
          <w:p w14:paraId="21C69EE9" w14:textId="77777777" w:rsidR="00164D95" w:rsidRDefault="00164D95" w:rsidP="00E11810">
            <w:pPr>
              <w:pStyle w:val="NormalWeb"/>
              <w:spacing w:before="0" w:beforeAutospacing="0" w:after="0" w:afterAutospacing="0"/>
              <w:rPr>
                <w:rFonts w:ascii="Arial" w:hAnsi="Arial" w:cs="Arial"/>
                <w:b/>
                <w:sz w:val="22"/>
                <w:szCs w:val="22"/>
              </w:rPr>
            </w:pPr>
          </w:p>
          <w:p w14:paraId="5BCB15A7" w14:textId="77777777" w:rsidR="00164D95" w:rsidRDefault="00164D95" w:rsidP="00E11810">
            <w:pPr>
              <w:pStyle w:val="NormalWeb"/>
              <w:spacing w:before="0" w:beforeAutospacing="0" w:after="0" w:afterAutospacing="0"/>
              <w:rPr>
                <w:rFonts w:ascii="Arial" w:hAnsi="Arial" w:cs="Arial"/>
                <w:b/>
                <w:sz w:val="22"/>
                <w:szCs w:val="22"/>
              </w:rPr>
            </w:pPr>
          </w:p>
          <w:p w14:paraId="190A8CAD" w14:textId="77777777" w:rsidR="00164D95" w:rsidRDefault="00164D95" w:rsidP="00E11810">
            <w:pPr>
              <w:pStyle w:val="NormalWeb"/>
              <w:spacing w:before="0" w:beforeAutospacing="0" w:after="0" w:afterAutospacing="0"/>
              <w:rPr>
                <w:rFonts w:ascii="Arial" w:hAnsi="Arial" w:cs="Arial"/>
                <w:b/>
                <w:sz w:val="22"/>
                <w:szCs w:val="22"/>
              </w:rPr>
            </w:pPr>
          </w:p>
          <w:p w14:paraId="44C376A1" w14:textId="77777777" w:rsidR="00164D95" w:rsidRDefault="00164D95" w:rsidP="00E11810">
            <w:pPr>
              <w:pStyle w:val="NormalWeb"/>
              <w:spacing w:before="0" w:beforeAutospacing="0" w:after="0" w:afterAutospacing="0"/>
              <w:rPr>
                <w:rFonts w:ascii="Arial" w:hAnsi="Arial" w:cs="Arial"/>
                <w:b/>
                <w:sz w:val="22"/>
                <w:szCs w:val="22"/>
              </w:rPr>
            </w:pPr>
          </w:p>
          <w:p w14:paraId="19AAD7A8" w14:textId="77777777" w:rsidR="00164D95" w:rsidRDefault="00164D95" w:rsidP="00E11810">
            <w:pPr>
              <w:pStyle w:val="NormalWeb"/>
              <w:spacing w:before="0" w:beforeAutospacing="0" w:after="0" w:afterAutospacing="0"/>
              <w:rPr>
                <w:rFonts w:ascii="Arial" w:hAnsi="Arial" w:cs="Arial"/>
                <w:b/>
                <w:sz w:val="22"/>
                <w:szCs w:val="22"/>
              </w:rPr>
            </w:pPr>
          </w:p>
          <w:p w14:paraId="4A20015A" w14:textId="77777777" w:rsidR="00164D95" w:rsidRDefault="00164D95" w:rsidP="00E11810">
            <w:pPr>
              <w:pStyle w:val="NormalWeb"/>
              <w:spacing w:before="0" w:beforeAutospacing="0" w:after="0" w:afterAutospacing="0"/>
              <w:rPr>
                <w:rFonts w:ascii="Arial" w:hAnsi="Arial" w:cs="Arial"/>
                <w:b/>
                <w:sz w:val="22"/>
                <w:szCs w:val="22"/>
              </w:rPr>
            </w:pPr>
          </w:p>
          <w:p w14:paraId="48E0B1D0" w14:textId="77777777" w:rsidR="00164D95" w:rsidRDefault="00164D95" w:rsidP="00E11810">
            <w:pPr>
              <w:pStyle w:val="NormalWeb"/>
              <w:spacing w:before="0" w:beforeAutospacing="0" w:after="0" w:afterAutospacing="0"/>
              <w:rPr>
                <w:rFonts w:ascii="Arial" w:hAnsi="Arial" w:cs="Arial"/>
                <w:b/>
                <w:sz w:val="22"/>
                <w:szCs w:val="22"/>
              </w:rPr>
            </w:pPr>
          </w:p>
          <w:p w14:paraId="6F12436A" w14:textId="77777777" w:rsidR="00164D95" w:rsidRDefault="00164D95" w:rsidP="00E11810">
            <w:pPr>
              <w:pStyle w:val="NormalWeb"/>
              <w:spacing w:before="0" w:beforeAutospacing="0" w:after="0" w:afterAutospacing="0"/>
              <w:rPr>
                <w:rFonts w:ascii="Arial" w:hAnsi="Arial" w:cs="Arial"/>
                <w:b/>
                <w:sz w:val="22"/>
                <w:szCs w:val="22"/>
              </w:rPr>
            </w:pPr>
          </w:p>
          <w:p w14:paraId="2AB124F5" w14:textId="77777777" w:rsidR="00164D95" w:rsidRDefault="00164D95" w:rsidP="00E11810">
            <w:pPr>
              <w:pStyle w:val="NormalWeb"/>
              <w:spacing w:before="0" w:beforeAutospacing="0" w:after="0" w:afterAutospacing="0"/>
              <w:rPr>
                <w:rFonts w:ascii="Arial" w:hAnsi="Arial" w:cs="Arial"/>
                <w:b/>
                <w:sz w:val="22"/>
                <w:szCs w:val="22"/>
              </w:rPr>
            </w:pPr>
          </w:p>
          <w:p w14:paraId="68E390C3" w14:textId="77777777" w:rsidR="00164D95" w:rsidRDefault="00164D95" w:rsidP="00E11810">
            <w:pPr>
              <w:pStyle w:val="NormalWeb"/>
              <w:spacing w:before="0" w:beforeAutospacing="0" w:after="0" w:afterAutospacing="0"/>
              <w:rPr>
                <w:rFonts w:ascii="Arial" w:hAnsi="Arial" w:cs="Arial"/>
                <w:b/>
                <w:sz w:val="22"/>
                <w:szCs w:val="22"/>
              </w:rPr>
            </w:pPr>
            <w:r>
              <w:rPr>
                <w:rFonts w:ascii="Arial" w:hAnsi="Arial" w:cs="Arial"/>
                <w:b/>
                <w:sz w:val="22"/>
                <w:szCs w:val="22"/>
              </w:rPr>
              <w:t>For completion by Marker 1:</w:t>
            </w:r>
          </w:p>
          <w:p w14:paraId="7D3566CC" w14:textId="77777777" w:rsidR="00164D95" w:rsidRDefault="00164D95" w:rsidP="00E11810">
            <w:pPr>
              <w:pStyle w:val="NormalWeb"/>
              <w:rPr>
                <w:rFonts w:ascii="Arial" w:hAnsi="Arial" w:cs="Arial"/>
                <w:sz w:val="22"/>
                <w:szCs w:val="22"/>
              </w:rPr>
            </w:pPr>
            <w:r>
              <w:rPr>
                <w:rFonts w:ascii="Arial" w:hAnsi="Arial" w:cs="Arial"/>
                <w:sz w:val="22"/>
                <w:szCs w:val="22"/>
              </w:rPr>
              <w:t>Comments:</w:t>
            </w:r>
          </w:p>
        </w:tc>
      </w:tr>
      <w:tr w:rsidR="00164D95" w14:paraId="2B328FF1" w14:textId="77777777" w:rsidTr="00E11810">
        <w:trPr>
          <w:trHeight w:val="408"/>
        </w:trPr>
        <w:tc>
          <w:tcPr>
            <w:tcW w:w="6768" w:type="dxa"/>
            <w:gridSpan w:val="2"/>
          </w:tcPr>
          <w:p w14:paraId="458C3D8D" w14:textId="77777777" w:rsidR="00164D95" w:rsidRDefault="00164D95" w:rsidP="00E11810">
            <w:pPr>
              <w:pStyle w:val="NormalWeb"/>
              <w:ind w:right="34"/>
              <w:rPr>
                <w:rFonts w:ascii="Arial" w:hAnsi="Arial" w:cs="Arial"/>
                <w:sz w:val="22"/>
                <w:szCs w:val="22"/>
              </w:rPr>
            </w:pPr>
            <w:r>
              <w:rPr>
                <w:rFonts w:ascii="Arial" w:hAnsi="Arial" w:cs="Arial"/>
                <w:sz w:val="22"/>
                <w:szCs w:val="22"/>
              </w:rPr>
              <w:lastRenderedPageBreak/>
              <w:t>Marker 1 signature:</w:t>
            </w:r>
          </w:p>
        </w:tc>
        <w:tc>
          <w:tcPr>
            <w:tcW w:w="2088" w:type="dxa"/>
            <w:gridSpan w:val="2"/>
          </w:tcPr>
          <w:p w14:paraId="30223406" w14:textId="77777777" w:rsidR="00164D95" w:rsidRDefault="00164D95" w:rsidP="00E11810">
            <w:pPr>
              <w:pStyle w:val="NormalWeb"/>
              <w:spacing w:after="0"/>
              <w:ind w:left="142" w:right="34"/>
              <w:rPr>
                <w:rFonts w:ascii="Arial" w:hAnsi="Arial" w:cs="Arial"/>
                <w:sz w:val="22"/>
                <w:szCs w:val="22"/>
              </w:rPr>
            </w:pPr>
            <w:r>
              <w:rPr>
                <w:rFonts w:ascii="Arial" w:hAnsi="Arial" w:cs="Arial"/>
                <w:sz w:val="22"/>
                <w:szCs w:val="22"/>
              </w:rPr>
              <w:t>Date:</w:t>
            </w:r>
          </w:p>
        </w:tc>
      </w:tr>
      <w:tr w:rsidR="00164D95" w14:paraId="0C836BFD" w14:textId="77777777" w:rsidTr="00E11810">
        <w:tc>
          <w:tcPr>
            <w:tcW w:w="8856" w:type="dxa"/>
            <w:gridSpan w:val="4"/>
          </w:tcPr>
          <w:p w14:paraId="4DC8C826" w14:textId="77777777" w:rsidR="00164D95" w:rsidRDefault="00164D95" w:rsidP="00E11810">
            <w:pPr>
              <w:pStyle w:val="NormalWeb"/>
              <w:spacing w:before="0" w:beforeAutospacing="0" w:after="0" w:afterAutospacing="0"/>
              <w:ind w:right="-334"/>
              <w:rPr>
                <w:rFonts w:ascii="Arial" w:hAnsi="Arial" w:cs="Arial"/>
                <w:bCs/>
                <w:i/>
                <w:sz w:val="22"/>
                <w:szCs w:val="22"/>
              </w:rPr>
            </w:pPr>
          </w:p>
          <w:p w14:paraId="2AB32B1A" w14:textId="77777777" w:rsidR="00164D95" w:rsidRDefault="00164D95" w:rsidP="00E1181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 / Moderator:</w:t>
            </w:r>
          </w:p>
          <w:p w14:paraId="3689615B" w14:textId="77777777" w:rsidR="00164D95" w:rsidRDefault="00164D95" w:rsidP="00E11810">
            <w:pPr>
              <w:pStyle w:val="NormalWeb"/>
              <w:spacing w:before="0" w:beforeAutospacing="0" w:after="0" w:afterAutospacing="0"/>
              <w:ind w:right="-334"/>
              <w:rPr>
                <w:rFonts w:ascii="Arial" w:hAnsi="Arial" w:cs="Arial"/>
                <w:b/>
                <w:bCs/>
                <w:sz w:val="22"/>
                <w:szCs w:val="22"/>
              </w:rPr>
            </w:pPr>
          </w:p>
          <w:p w14:paraId="4F68C2E3" w14:textId="77777777" w:rsidR="00164D95" w:rsidRDefault="00164D95" w:rsidP="00E11810">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01096EB6" w14:textId="77777777" w:rsidR="00164D95" w:rsidRDefault="00164D95" w:rsidP="00E11810">
            <w:pPr>
              <w:pStyle w:val="NormalWeb"/>
              <w:spacing w:before="0" w:beforeAutospacing="0" w:after="0" w:afterAutospacing="0"/>
              <w:ind w:right="-334"/>
              <w:rPr>
                <w:rFonts w:ascii="Arial" w:hAnsi="Arial" w:cs="Arial"/>
                <w:bCs/>
                <w:sz w:val="22"/>
                <w:szCs w:val="22"/>
              </w:rPr>
            </w:pPr>
          </w:p>
          <w:p w14:paraId="61E8F356" w14:textId="77777777" w:rsidR="00164D95" w:rsidRDefault="00164D95" w:rsidP="00E11810">
            <w:pPr>
              <w:pStyle w:val="NormalWeb"/>
              <w:spacing w:before="0" w:beforeAutospacing="0" w:after="0" w:afterAutospacing="0"/>
              <w:ind w:right="-334"/>
              <w:rPr>
                <w:rFonts w:ascii="Arial" w:hAnsi="Arial" w:cs="Arial"/>
                <w:bCs/>
                <w:sz w:val="22"/>
                <w:szCs w:val="22"/>
              </w:rPr>
            </w:pPr>
          </w:p>
          <w:p w14:paraId="40CC256D" w14:textId="77777777" w:rsidR="00164D95" w:rsidRDefault="00164D95" w:rsidP="00E11810">
            <w:pPr>
              <w:pStyle w:val="NormalWeb"/>
              <w:spacing w:before="0" w:beforeAutospacing="0" w:after="0" w:afterAutospacing="0"/>
              <w:ind w:right="-334"/>
              <w:rPr>
                <w:rFonts w:ascii="Arial" w:hAnsi="Arial" w:cs="Arial"/>
                <w:bCs/>
                <w:sz w:val="22"/>
                <w:szCs w:val="22"/>
              </w:rPr>
            </w:pPr>
          </w:p>
          <w:p w14:paraId="72C49D36" w14:textId="77777777" w:rsidR="00164D95" w:rsidRDefault="00164D95" w:rsidP="00E11810">
            <w:pPr>
              <w:pStyle w:val="NormalWeb"/>
              <w:spacing w:before="0" w:beforeAutospacing="0" w:after="0" w:afterAutospacing="0"/>
              <w:ind w:right="-334"/>
              <w:rPr>
                <w:rFonts w:ascii="Arial" w:hAnsi="Arial" w:cs="Arial"/>
                <w:bCs/>
                <w:sz w:val="22"/>
                <w:szCs w:val="22"/>
              </w:rPr>
            </w:pPr>
          </w:p>
          <w:p w14:paraId="7BD01FEB" w14:textId="77777777" w:rsidR="00164D95" w:rsidRDefault="00164D95" w:rsidP="00E11810">
            <w:pPr>
              <w:pStyle w:val="NormalWeb"/>
              <w:spacing w:before="0" w:beforeAutospacing="0" w:after="0" w:afterAutospacing="0"/>
              <w:ind w:right="-334"/>
              <w:rPr>
                <w:rFonts w:ascii="Arial" w:hAnsi="Arial" w:cs="Arial"/>
                <w:bCs/>
                <w:sz w:val="22"/>
                <w:szCs w:val="22"/>
              </w:rPr>
            </w:pPr>
          </w:p>
          <w:p w14:paraId="7A656B96" w14:textId="77777777" w:rsidR="00164D95" w:rsidRDefault="00164D95" w:rsidP="00E11810">
            <w:pPr>
              <w:pStyle w:val="NormalWeb"/>
              <w:spacing w:before="0" w:beforeAutospacing="0" w:after="0" w:afterAutospacing="0"/>
              <w:ind w:right="-334"/>
              <w:rPr>
                <w:rFonts w:ascii="Arial" w:hAnsi="Arial" w:cs="Arial"/>
                <w:bCs/>
                <w:sz w:val="22"/>
                <w:szCs w:val="22"/>
              </w:rPr>
            </w:pPr>
          </w:p>
          <w:p w14:paraId="1FDD4504" w14:textId="77777777" w:rsidR="00164D95" w:rsidRDefault="00164D95" w:rsidP="00E11810">
            <w:pPr>
              <w:pStyle w:val="NormalWeb"/>
              <w:spacing w:before="0" w:beforeAutospacing="0" w:after="0" w:afterAutospacing="0"/>
              <w:ind w:right="-334"/>
              <w:rPr>
                <w:rFonts w:ascii="Arial" w:hAnsi="Arial" w:cs="Arial"/>
                <w:bCs/>
                <w:sz w:val="22"/>
                <w:szCs w:val="22"/>
              </w:rPr>
            </w:pPr>
          </w:p>
          <w:p w14:paraId="06AD771C" w14:textId="77777777" w:rsidR="00164D95" w:rsidRDefault="00164D95" w:rsidP="00E11810">
            <w:pPr>
              <w:pStyle w:val="NormalWeb"/>
              <w:spacing w:before="0" w:beforeAutospacing="0" w:after="0" w:afterAutospacing="0"/>
              <w:ind w:right="-334"/>
              <w:rPr>
                <w:rFonts w:ascii="Arial" w:hAnsi="Arial" w:cs="Arial"/>
                <w:bCs/>
                <w:sz w:val="22"/>
                <w:szCs w:val="22"/>
              </w:rPr>
            </w:pPr>
          </w:p>
          <w:p w14:paraId="47BF19AE" w14:textId="77777777" w:rsidR="00164D95" w:rsidRDefault="00164D95" w:rsidP="00E11810">
            <w:pPr>
              <w:pStyle w:val="NormalWeb"/>
              <w:spacing w:before="0" w:beforeAutospacing="0" w:after="0" w:afterAutospacing="0"/>
              <w:ind w:right="-334"/>
              <w:rPr>
                <w:rFonts w:ascii="Arial" w:hAnsi="Arial" w:cs="Arial"/>
                <w:bCs/>
                <w:sz w:val="22"/>
                <w:szCs w:val="22"/>
              </w:rPr>
            </w:pPr>
          </w:p>
          <w:p w14:paraId="0948FE02" w14:textId="77777777" w:rsidR="00164D95" w:rsidRDefault="00164D95" w:rsidP="00E11810">
            <w:pPr>
              <w:pStyle w:val="NormalWeb"/>
              <w:spacing w:before="0" w:beforeAutospacing="0" w:after="0" w:afterAutospacing="0"/>
              <w:ind w:right="-334"/>
              <w:rPr>
                <w:rFonts w:ascii="Arial" w:hAnsi="Arial" w:cs="Arial"/>
                <w:bCs/>
                <w:sz w:val="22"/>
                <w:szCs w:val="22"/>
              </w:rPr>
            </w:pPr>
          </w:p>
          <w:p w14:paraId="50454561" w14:textId="77777777" w:rsidR="00164D95" w:rsidRDefault="00164D95" w:rsidP="00E11810">
            <w:pPr>
              <w:pStyle w:val="NormalWeb"/>
              <w:spacing w:before="0" w:beforeAutospacing="0" w:after="0" w:afterAutospacing="0"/>
              <w:ind w:right="-334"/>
              <w:rPr>
                <w:rFonts w:ascii="Arial" w:hAnsi="Arial" w:cs="Arial"/>
                <w:bCs/>
                <w:sz w:val="22"/>
                <w:szCs w:val="22"/>
              </w:rPr>
            </w:pPr>
          </w:p>
        </w:tc>
      </w:tr>
      <w:tr w:rsidR="00164D95" w14:paraId="7FB84A17" w14:textId="77777777" w:rsidTr="00E11810">
        <w:trPr>
          <w:trHeight w:val="398"/>
        </w:trPr>
        <w:tc>
          <w:tcPr>
            <w:tcW w:w="6768" w:type="dxa"/>
            <w:gridSpan w:val="2"/>
          </w:tcPr>
          <w:p w14:paraId="28D282E8" w14:textId="77777777" w:rsidR="00164D95" w:rsidRDefault="00164D95" w:rsidP="00E11810">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 2 / Moderator signature:</w:t>
            </w:r>
          </w:p>
        </w:tc>
        <w:tc>
          <w:tcPr>
            <w:tcW w:w="2088" w:type="dxa"/>
            <w:gridSpan w:val="2"/>
          </w:tcPr>
          <w:p w14:paraId="2EF4C863" w14:textId="77777777" w:rsidR="00164D95" w:rsidRDefault="00164D95" w:rsidP="00E11810">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164D95" w14:paraId="250E061C" w14:textId="77777777" w:rsidTr="00E11810">
        <w:trPr>
          <w:trHeight w:val="720"/>
        </w:trPr>
        <w:tc>
          <w:tcPr>
            <w:tcW w:w="8856" w:type="dxa"/>
            <w:gridSpan w:val="4"/>
          </w:tcPr>
          <w:p w14:paraId="5BFF432C" w14:textId="77777777" w:rsidR="00164D95" w:rsidRDefault="00164D95" w:rsidP="00E11810">
            <w:pPr>
              <w:rPr>
                <w:rFonts w:ascii="Arial" w:hAnsi="Arial" w:cs="Arial"/>
                <w:b/>
                <w:sz w:val="22"/>
                <w:szCs w:val="22"/>
              </w:rPr>
            </w:pPr>
          </w:p>
          <w:p w14:paraId="6AC0E1B3" w14:textId="77777777" w:rsidR="00164D95" w:rsidRDefault="00164D95" w:rsidP="00E11810">
            <w:pPr>
              <w:rPr>
                <w:rFonts w:ascii="Arial" w:hAnsi="Arial" w:cs="Arial"/>
                <w:b/>
                <w:sz w:val="22"/>
                <w:szCs w:val="22"/>
              </w:rPr>
            </w:pPr>
            <w:r>
              <w:rPr>
                <w:rFonts w:ascii="Arial" w:hAnsi="Arial" w:cs="Arial"/>
                <w:b/>
                <w:sz w:val="22"/>
                <w:szCs w:val="22"/>
              </w:rPr>
              <w:t>External Examiner’s comments (if relevant):</w:t>
            </w:r>
          </w:p>
          <w:p w14:paraId="049F6D64" w14:textId="77777777" w:rsidR="00164D95" w:rsidRDefault="00164D95" w:rsidP="00E11810">
            <w:pPr>
              <w:pStyle w:val="NormalWeb"/>
              <w:spacing w:before="0" w:beforeAutospacing="0" w:after="0" w:afterAutospacing="0"/>
              <w:ind w:right="-334"/>
              <w:rPr>
                <w:rFonts w:ascii="Arial" w:hAnsi="Arial" w:cs="Arial"/>
                <w:bCs/>
                <w:sz w:val="22"/>
                <w:szCs w:val="22"/>
              </w:rPr>
            </w:pPr>
          </w:p>
          <w:p w14:paraId="7334553D" w14:textId="77777777" w:rsidR="00164D95" w:rsidRDefault="00164D95" w:rsidP="00E11810">
            <w:pPr>
              <w:pStyle w:val="NormalWeb"/>
              <w:spacing w:before="0" w:beforeAutospacing="0" w:after="0" w:afterAutospacing="0"/>
              <w:ind w:right="-334"/>
              <w:rPr>
                <w:rFonts w:ascii="Arial" w:hAnsi="Arial" w:cs="Arial"/>
                <w:bCs/>
                <w:sz w:val="22"/>
                <w:szCs w:val="22"/>
              </w:rPr>
            </w:pPr>
          </w:p>
          <w:p w14:paraId="39B7030A" w14:textId="77777777" w:rsidR="00164D95" w:rsidRDefault="00164D95" w:rsidP="00E11810">
            <w:pPr>
              <w:pStyle w:val="NormalWeb"/>
              <w:spacing w:before="0" w:beforeAutospacing="0" w:after="0" w:afterAutospacing="0"/>
              <w:ind w:right="-334"/>
              <w:rPr>
                <w:rFonts w:ascii="Arial" w:hAnsi="Arial" w:cs="Arial"/>
                <w:bCs/>
                <w:sz w:val="22"/>
                <w:szCs w:val="22"/>
              </w:rPr>
            </w:pPr>
          </w:p>
          <w:p w14:paraId="3CFC7677" w14:textId="77777777" w:rsidR="00164D95" w:rsidRDefault="00164D95" w:rsidP="00E11810">
            <w:pPr>
              <w:pStyle w:val="NormalWeb"/>
              <w:spacing w:before="0" w:beforeAutospacing="0" w:after="0" w:afterAutospacing="0"/>
              <w:ind w:right="-334"/>
              <w:rPr>
                <w:rFonts w:ascii="Arial" w:hAnsi="Arial" w:cs="Arial"/>
                <w:bCs/>
                <w:sz w:val="22"/>
                <w:szCs w:val="22"/>
              </w:rPr>
            </w:pPr>
          </w:p>
          <w:p w14:paraId="3C599949" w14:textId="77777777" w:rsidR="00164D95" w:rsidRDefault="00164D95" w:rsidP="00E11810">
            <w:pPr>
              <w:pStyle w:val="NormalWeb"/>
              <w:spacing w:before="0" w:beforeAutospacing="0" w:after="0" w:afterAutospacing="0"/>
              <w:ind w:right="-334"/>
              <w:rPr>
                <w:rFonts w:ascii="Arial" w:hAnsi="Arial" w:cs="Arial"/>
                <w:bCs/>
                <w:sz w:val="22"/>
                <w:szCs w:val="22"/>
              </w:rPr>
            </w:pPr>
          </w:p>
          <w:p w14:paraId="545A4821" w14:textId="77777777" w:rsidR="00164D95" w:rsidRDefault="00164D95" w:rsidP="00E11810">
            <w:pPr>
              <w:pStyle w:val="NormalWeb"/>
              <w:spacing w:before="0" w:beforeAutospacing="0" w:after="0" w:afterAutospacing="0"/>
              <w:ind w:right="-334"/>
              <w:rPr>
                <w:rFonts w:ascii="Arial" w:hAnsi="Arial" w:cs="Arial"/>
                <w:bCs/>
                <w:sz w:val="22"/>
                <w:szCs w:val="22"/>
              </w:rPr>
            </w:pPr>
          </w:p>
          <w:p w14:paraId="268E0630" w14:textId="77777777" w:rsidR="00164D95" w:rsidRDefault="00164D95" w:rsidP="00E11810">
            <w:pPr>
              <w:pStyle w:val="NormalWeb"/>
              <w:spacing w:before="0" w:beforeAutospacing="0" w:after="0" w:afterAutospacing="0"/>
              <w:ind w:right="-334"/>
              <w:rPr>
                <w:rFonts w:ascii="Arial" w:hAnsi="Arial" w:cs="Arial"/>
                <w:bCs/>
                <w:sz w:val="22"/>
                <w:szCs w:val="22"/>
              </w:rPr>
            </w:pPr>
          </w:p>
          <w:p w14:paraId="31901E01" w14:textId="77777777" w:rsidR="00164D95" w:rsidRDefault="00164D95" w:rsidP="00E11810">
            <w:pPr>
              <w:pStyle w:val="NormalWeb"/>
              <w:spacing w:before="0" w:beforeAutospacing="0" w:after="0" w:afterAutospacing="0"/>
              <w:ind w:right="-334"/>
              <w:rPr>
                <w:rFonts w:ascii="Arial" w:hAnsi="Arial" w:cs="Arial"/>
                <w:bCs/>
                <w:sz w:val="22"/>
                <w:szCs w:val="22"/>
              </w:rPr>
            </w:pPr>
          </w:p>
          <w:p w14:paraId="00DBD98B" w14:textId="77777777" w:rsidR="00164D95" w:rsidRDefault="00164D95" w:rsidP="00E11810">
            <w:pPr>
              <w:pStyle w:val="NormalWeb"/>
              <w:spacing w:before="0" w:beforeAutospacing="0" w:after="0" w:afterAutospacing="0"/>
              <w:ind w:right="-334"/>
              <w:rPr>
                <w:rFonts w:ascii="Arial" w:hAnsi="Arial" w:cs="Arial"/>
                <w:bCs/>
                <w:sz w:val="22"/>
                <w:szCs w:val="22"/>
              </w:rPr>
            </w:pPr>
          </w:p>
          <w:p w14:paraId="0D35606C" w14:textId="77777777" w:rsidR="00164D95" w:rsidRDefault="00164D95" w:rsidP="00E11810">
            <w:pPr>
              <w:pStyle w:val="NormalWeb"/>
              <w:spacing w:before="0" w:beforeAutospacing="0" w:after="0" w:afterAutospacing="0"/>
              <w:ind w:right="-334"/>
              <w:rPr>
                <w:rFonts w:ascii="Arial" w:hAnsi="Arial" w:cs="Arial"/>
                <w:bCs/>
                <w:sz w:val="22"/>
                <w:szCs w:val="22"/>
              </w:rPr>
            </w:pPr>
          </w:p>
          <w:p w14:paraId="53C0C82E" w14:textId="77777777" w:rsidR="00164D95" w:rsidRDefault="00164D95" w:rsidP="00E11810">
            <w:pPr>
              <w:pStyle w:val="NormalWeb"/>
              <w:spacing w:before="0" w:beforeAutospacing="0" w:after="0" w:afterAutospacing="0"/>
              <w:ind w:right="-334"/>
              <w:rPr>
                <w:rFonts w:ascii="Arial" w:hAnsi="Arial" w:cs="Arial"/>
                <w:bCs/>
                <w:sz w:val="22"/>
                <w:szCs w:val="22"/>
              </w:rPr>
            </w:pPr>
          </w:p>
          <w:p w14:paraId="25CC73DA" w14:textId="77777777" w:rsidR="00164D95" w:rsidRDefault="00164D95" w:rsidP="00E11810">
            <w:pPr>
              <w:pStyle w:val="NormalWeb"/>
              <w:spacing w:before="0" w:beforeAutospacing="0" w:after="0" w:afterAutospacing="0"/>
              <w:ind w:right="-334"/>
              <w:rPr>
                <w:rFonts w:ascii="Arial" w:hAnsi="Arial" w:cs="Arial"/>
                <w:bCs/>
                <w:sz w:val="22"/>
                <w:szCs w:val="22"/>
              </w:rPr>
            </w:pPr>
          </w:p>
          <w:p w14:paraId="2F8539FA" w14:textId="77777777" w:rsidR="00164D95" w:rsidRDefault="00164D95" w:rsidP="00E11810">
            <w:pPr>
              <w:pStyle w:val="NormalWeb"/>
              <w:spacing w:before="0" w:beforeAutospacing="0" w:after="0" w:afterAutospacing="0"/>
              <w:ind w:right="-334"/>
              <w:rPr>
                <w:rFonts w:ascii="Arial" w:hAnsi="Arial" w:cs="Arial"/>
                <w:bCs/>
                <w:sz w:val="22"/>
                <w:szCs w:val="22"/>
              </w:rPr>
            </w:pPr>
          </w:p>
        </w:tc>
      </w:tr>
      <w:tr w:rsidR="00164D95" w14:paraId="2DF4411E" w14:textId="77777777" w:rsidTr="00E11810">
        <w:trPr>
          <w:trHeight w:val="479"/>
        </w:trPr>
        <w:tc>
          <w:tcPr>
            <w:tcW w:w="6768" w:type="dxa"/>
            <w:gridSpan w:val="2"/>
          </w:tcPr>
          <w:p w14:paraId="260D354B" w14:textId="77777777" w:rsidR="00164D95" w:rsidRDefault="00164D95" w:rsidP="00E11810">
            <w:pPr>
              <w:rPr>
                <w:rFonts w:ascii="Arial" w:hAnsi="Arial" w:cs="Arial"/>
                <w:sz w:val="22"/>
                <w:szCs w:val="22"/>
              </w:rPr>
            </w:pPr>
            <w:r>
              <w:rPr>
                <w:rFonts w:ascii="Arial" w:hAnsi="Arial" w:cs="Arial"/>
                <w:sz w:val="22"/>
                <w:szCs w:val="22"/>
              </w:rPr>
              <w:t>External Examiner signature:</w:t>
            </w:r>
          </w:p>
        </w:tc>
        <w:tc>
          <w:tcPr>
            <w:tcW w:w="2088" w:type="dxa"/>
            <w:gridSpan w:val="2"/>
          </w:tcPr>
          <w:p w14:paraId="63C23EE8" w14:textId="77777777" w:rsidR="00164D95" w:rsidRDefault="00164D95" w:rsidP="00E11810">
            <w:pPr>
              <w:rPr>
                <w:rFonts w:ascii="Arial" w:hAnsi="Arial" w:cs="Arial"/>
                <w:sz w:val="22"/>
                <w:szCs w:val="22"/>
              </w:rPr>
            </w:pPr>
            <w:r>
              <w:rPr>
                <w:rFonts w:ascii="Arial" w:hAnsi="Arial" w:cs="Arial"/>
                <w:sz w:val="22"/>
                <w:szCs w:val="22"/>
              </w:rPr>
              <w:t>Date:</w:t>
            </w:r>
          </w:p>
        </w:tc>
      </w:tr>
    </w:tbl>
    <w:p w14:paraId="185727A9" w14:textId="77777777" w:rsidR="00120A64" w:rsidRDefault="00120A64" w:rsidP="00120A64">
      <w:pPr>
        <w:spacing w:before="100" w:beforeAutospacing="1" w:after="100" w:afterAutospacing="1"/>
        <w:rPr>
          <w:rFonts w:ascii="Helvetica Neue" w:eastAsia="Times New Roman" w:hAnsi="Helvetica Neue" w:cs="Times New Roman"/>
          <w:color w:val="373A3C"/>
          <w:sz w:val="23"/>
          <w:szCs w:val="23"/>
        </w:rPr>
      </w:pPr>
      <w:r w:rsidRPr="00973E96">
        <w:rPr>
          <w:rFonts w:ascii="Helvetica Neue" w:eastAsia="Times New Roman" w:hAnsi="Helvetica Neue" w:cs="Times New Roman"/>
          <w:color w:val="373A3C"/>
          <w:sz w:val="23"/>
          <w:szCs w:val="23"/>
        </w:rPr>
        <w:lastRenderedPageBreak/>
        <w:t>Outline the critical debate which has surrounded the historicity of Arthur. Do you agree that it is the lack of key biographical details relating to Arthur that has made him so amenable to a wide variety of literary contexts?</w:t>
      </w:r>
    </w:p>
    <w:p w14:paraId="62993F35" w14:textId="77777777" w:rsidR="00120A64" w:rsidRDefault="00120A64" w:rsidP="00120A64">
      <w:pPr>
        <w:spacing w:before="100" w:beforeAutospacing="1" w:after="100" w:afterAutospacing="1"/>
        <w:rPr>
          <w:rFonts w:ascii="Helvetica Neue" w:eastAsia="Times New Roman" w:hAnsi="Helvetica Neue" w:cs="Times New Roman"/>
          <w:color w:val="373A3C"/>
          <w:sz w:val="23"/>
          <w:szCs w:val="23"/>
        </w:rPr>
      </w:pPr>
    </w:p>
    <w:p w14:paraId="2C1AB2AA" w14:textId="5E5974F0" w:rsidR="00120A64" w:rsidRDefault="00C95E28" w:rsidP="00120A64">
      <w:pPr>
        <w:spacing w:before="100" w:beforeAutospacing="1" w:after="100" w:afterAutospacing="1" w:line="480" w:lineRule="auto"/>
        <w:rPr>
          <w:rFonts w:eastAsia="Times New Roman" w:cstheme="minorHAnsi"/>
          <w:color w:val="373A3C"/>
        </w:rPr>
      </w:pPr>
      <w:r w:rsidRPr="00C87392">
        <w:rPr>
          <w:rFonts w:eastAsia="Times New Roman" w:cstheme="minorHAnsi"/>
          <w:color w:val="373A3C"/>
        </w:rPr>
        <w:t>King Arthur</w:t>
      </w:r>
      <w:r>
        <w:rPr>
          <w:rFonts w:eastAsia="Times New Roman" w:cstheme="minorHAnsi"/>
          <w:color w:val="373A3C"/>
        </w:rPr>
        <w:t xml:space="preserve"> </w:t>
      </w:r>
      <w:r w:rsidR="001200CE">
        <w:rPr>
          <w:rFonts w:eastAsia="Times New Roman" w:cstheme="minorHAnsi"/>
          <w:color w:val="373A3C"/>
        </w:rPr>
        <w:t>is</w:t>
      </w:r>
      <w:r w:rsidR="00C633FC">
        <w:rPr>
          <w:rFonts w:eastAsia="Times New Roman" w:cstheme="minorHAnsi"/>
          <w:color w:val="373A3C"/>
        </w:rPr>
        <w:t xml:space="preserve"> still</w:t>
      </w:r>
      <w:r w:rsidR="001200CE">
        <w:rPr>
          <w:rFonts w:eastAsia="Times New Roman" w:cstheme="minorHAnsi"/>
          <w:color w:val="373A3C"/>
        </w:rPr>
        <w:t xml:space="preserve"> very much in evidence today</w:t>
      </w:r>
      <w:r w:rsidR="00C633FC">
        <w:rPr>
          <w:rFonts w:eastAsia="Times New Roman" w:cstheme="minorHAnsi"/>
          <w:color w:val="373A3C"/>
        </w:rPr>
        <w:t>,</w:t>
      </w:r>
      <w:r w:rsidR="001200CE">
        <w:rPr>
          <w:rFonts w:eastAsia="Times New Roman" w:cstheme="minorHAnsi"/>
          <w:color w:val="373A3C"/>
        </w:rPr>
        <w:t xml:space="preserve"> in literature, story, drama, film, television and even computer games</w:t>
      </w:r>
      <w:r w:rsidR="00C633FC">
        <w:rPr>
          <w:rFonts w:eastAsia="Times New Roman" w:cstheme="minorHAnsi"/>
          <w:color w:val="373A3C"/>
        </w:rPr>
        <w:t>,</w:t>
      </w:r>
      <w:r w:rsidR="001200CE">
        <w:rPr>
          <w:rFonts w:eastAsia="Times New Roman" w:cstheme="minorHAnsi"/>
          <w:color w:val="373A3C"/>
        </w:rPr>
        <w:t xml:space="preserve"> </w:t>
      </w:r>
      <w:r>
        <w:rPr>
          <w:rFonts w:eastAsia="Times New Roman" w:cstheme="minorHAnsi"/>
          <w:color w:val="373A3C"/>
        </w:rPr>
        <w:t>but</w:t>
      </w:r>
      <w:r w:rsidR="00A04EA5">
        <w:rPr>
          <w:rFonts w:eastAsia="Times New Roman" w:cstheme="minorHAnsi"/>
          <w:color w:val="373A3C"/>
        </w:rPr>
        <w:t xml:space="preserve"> wh</w:t>
      </w:r>
      <w:r w:rsidR="00D53F7C">
        <w:rPr>
          <w:rFonts w:eastAsia="Times New Roman" w:cstheme="minorHAnsi"/>
          <w:color w:val="373A3C"/>
        </w:rPr>
        <w:t>at</w:t>
      </w:r>
      <w:r w:rsidR="00A04EA5">
        <w:rPr>
          <w:rFonts w:eastAsia="Times New Roman" w:cstheme="minorHAnsi"/>
          <w:color w:val="373A3C"/>
        </w:rPr>
        <w:t xml:space="preserve"> </w:t>
      </w:r>
      <w:r w:rsidR="00D53F7C">
        <w:rPr>
          <w:rFonts w:eastAsia="Times New Roman" w:cstheme="minorHAnsi"/>
          <w:color w:val="373A3C"/>
        </w:rPr>
        <w:t>i</w:t>
      </w:r>
      <w:r w:rsidR="00C633FC">
        <w:rPr>
          <w:rFonts w:eastAsia="Times New Roman" w:cstheme="minorHAnsi"/>
          <w:color w:val="373A3C"/>
        </w:rPr>
        <w:t xml:space="preserve">s his </w:t>
      </w:r>
      <w:r w:rsidR="00283009">
        <w:rPr>
          <w:rFonts w:eastAsia="Times New Roman" w:cstheme="minorHAnsi"/>
          <w:color w:val="373A3C"/>
        </w:rPr>
        <w:t xml:space="preserve">enduring </w:t>
      </w:r>
      <w:r w:rsidR="00D53F7C">
        <w:rPr>
          <w:rFonts w:eastAsia="Times New Roman" w:cstheme="minorHAnsi"/>
          <w:color w:val="373A3C"/>
        </w:rPr>
        <w:t>attraction</w:t>
      </w:r>
      <w:r w:rsidR="00C633FC">
        <w:rPr>
          <w:rFonts w:eastAsia="Times New Roman" w:cstheme="minorHAnsi"/>
          <w:color w:val="373A3C"/>
        </w:rPr>
        <w:t>?</w:t>
      </w:r>
      <w:r>
        <w:rPr>
          <w:rFonts w:eastAsia="Times New Roman" w:cstheme="minorHAnsi"/>
          <w:color w:val="373A3C"/>
        </w:rPr>
        <w:t xml:space="preserve"> </w:t>
      </w:r>
      <w:r w:rsidR="00C633FC">
        <w:rPr>
          <w:rFonts w:eastAsia="Times New Roman" w:cstheme="minorHAnsi"/>
          <w:color w:val="373A3C"/>
        </w:rPr>
        <w:t>W</w:t>
      </w:r>
      <w:r w:rsidR="001A0347">
        <w:rPr>
          <w:rFonts w:eastAsia="Times New Roman" w:cstheme="minorHAnsi"/>
          <w:color w:val="373A3C"/>
        </w:rPr>
        <w:t>e don’t know if</w:t>
      </w:r>
      <w:r>
        <w:rPr>
          <w:rFonts w:eastAsia="Times New Roman" w:cstheme="minorHAnsi"/>
          <w:color w:val="373A3C"/>
        </w:rPr>
        <w:t xml:space="preserve"> he </w:t>
      </w:r>
      <w:r w:rsidR="001A0347">
        <w:rPr>
          <w:rFonts w:eastAsia="Times New Roman" w:cstheme="minorHAnsi"/>
          <w:color w:val="373A3C"/>
        </w:rPr>
        <w:t xml:space="preserve">was </w:t>
      </w:r>
      <w:r w:rsidR="00535E91">
        <w:rPr>
          <w:rFonts w:eastAsia="Times New Roman" w:cstheme="minorHAnsi"/>
          <w:color w:val="373A3C"/>
        </w:rPr>
        <w:t xml:space="preserve">a </w:t>
      </w:r>
      <w:r>
        <w:rPr>
          <w:rFonts w:eastAsia="Times New Roman" w:cstheme="minorHAnsi"/>
          <w:color w:val="373A3C"/>
        </w:rPr>
        <w:t>real</w:t>
      </w:r>
      <w:r w:rsidR="001A0347">
        <w:rPr>
          <w:rFonts w:eastAsia="Times New Roman" w:cstheme="minorHAnsi"/>
          <w:color w:val="373A3C"/>
        </w:rPr>
        <w:t xml:space="preserve"> </w:t>
      </w:r>
      <w:r w:rsidR="0060665E">
        <w:rPr>
          <w:rFonts w:eastAsia="Times New Roman" w:cstheme="minorHAnsi"/>
          <w:color w:val="373A3C"/>
        </w:rPr>
        <w:t xml:space="preserve">person or a figure </w:t>
      </w:r>
      <w:r w:rsidR="00E2548B">
        <w:rPr>
          <w:rFonts w:eastAsia="Times New Roman" w:cstheme="minorHAnsi"/>
          <w:color w:val="373A3C"/>
        </w:rPr>
        <w:t>from</w:t>
      </w:r>
      <w:r w:rsidR="0060665E">
        <w:rPr>
          <w:rFonts w:eastAsia="Times New Roman" w:cstheme="minorHAnsi"/>
          <w:color w:val="373A3C"/>
        </w:rPr>
        <w:t xml:space="preserve"> </w:t>
      </w:r>
      <w:r w:rsidR="001E747D">
        <w:rPr>
          <w:rFonts w:eastAsia="Times New Roman" w:cstheme="minorHAnsi"/>
          <w:color w:val="373A3C"/>
        </w:rPr>
        <w:t xml:space="preserve">an earlier </w:t>
      </w:r>
      <w:r w:rsidR="0060665E">
        <w:rPr>
          <w:rFonts w:eastAsia="Times New Roman" w:cstheme="minorHAnsi"/>
          <w:color w:val="373A3C"/>
        </w:rPr>
        <w:t>mythology but</w:t>
      </w:r>
      <w:r w:rsidR="00A717F1">
        <w:rPr>
          <w:rFonts w:eastAsia="Times New Roman" w:cstheme="minorHAnsi"/>
          <w:color w:val="373A3C"/>
        </w:rPr>
        <w:t>,</w:t>
      </w:r>
      <w:r w:rsidR="0060665E">
        <w:rPr>
          <w:rFonts w:eastAsia="Times New Roman" w:cstheme="minorHAnsi"/>
          <w:color w:val="373A3C"/>
        </w:rPr>
        <w:t xml:space="preserve"> if there is any evidence for a historical Arthur, it lies in material contemporary with him, which</w:t>
      </w:r>
      <w:r w:rsidR="008109FF">
        <w:rPr>
          <w:rFonts w:eastAsia="Times New Roman" w:cstheme="minorHAnsi"/>
          <w:color w:val="373A3C"/>
        </w:rPr>
        <w:t>, as there is so little,</w:t>
      </w:r>
      <w:r w:rsidR="0060665E">
        <w:rPr>
          <w:rFonts w:eastAsia="Times New Roman" w:cstheme="minorHAnsi"/>
          <w:color w:val="373A3C"/>
        </w:rPr>
        <w:t xml:space="preserve"> is the crux of the problem. </w:t>
      </w:r>
      <w:r>
        <w:rPr>
          <w:rFonts w:eastAsia="Times New Roman" w:cstheme="minorHAnsi"/>
          <w:color w:val="373A3C"/>
        </w:rPr>
        <w:t xml:space="preserve">There are </w:t>
      </w:r>
      <w:r w:rsidR="00E2548B">
        <w:rPr>
          <w:rFonts w:eastAsia="Times New Roman" w:cstheme="minorHAnsi"/>
          <w:color w:val="373A3C"/>
        </w:rPr>
        <w:t xml:space="preserve">a </w:t>
      </w:r>
      <w:r w:rsidR="0060665E">
        <w:rPr>
          <w:rFonts w:eastAsia="Times New Roman" w:cstheme="minorHAnsi"/>
          <w:color w:val="373A3C"/>
        </w:rPr>
        <w:t>very</w:t>
      </w:r>
      <w:r>
        <w:rPr>
          <w:rFonts w:eastAsia="Times New Roman" w:cstheme="minorHAnsi"/>
          <w:color w:val="373A3C"/>
        </w:rPr>
        <w:t xml:space="preserve"> few e</w:t>
      </w:r>
      <w:r w:rsidR="00E2548B">
        <w:rPr>
          <w:rFonts w:eastAsia="Times New Roman" w:cstheme="minorHAnsi"/>
          <w:color w:val="373A3C"/>
        </w:rPr>
        <w:t>xtant</w:t>
      </w:r>
      <w:r>
        <w:rPr>
          <w:rFonts w:eastAsia="Times New Roman" w:cstheme="minorHAnsi"/>
          <w:color w:val="373A3C"/>
        </w:rPr>
        <w:t xml:space="preserve"> manuscripts describ</w:t>
      </w:r>
      <w:r w:rsidR="00554765">
        <w:rPr>
          <w:rFonts w:eastAsia="Times New Roman" w:cstheme="minorHAnsi"/>
          <w:color w:val="373A3C"/>
        </w:rPr>
        <w:t>ing</w:t>
      </w:r>
      <w:r>
        <w:rPr>
          <w:rFonts w:eastAsia="Times New Roman" w:cstheme="minorHAnsi"/>
          <w:color w:val="373A3C"/>
        </w:rPr>
        <w:t xml:space="preserve"> events </w:t>
      </w:r>
      <w:r w:rsidR="00C633FC">
        <w:rPr>
          <w:rFonts w:eastAsia="Times New Roman" w:cstheme="minorHAnsi"/>
          <w:color w:val="373A3C"/>
        </w:rPr>
        <w:t>from</w:t>
      </w:r>
      <w:r>
        <w:rPr>
          <w:rFonts w:eastAsia="Times New Roman" w:cstheme="minorHAnsi"/>
          <w:color w:val="373A3C"/>
        </w:rPr>
        <w:t xml:space="preserve"> the sixth and seventh centuries which have been linked to Arthur</w:t>
      </w:r>
      <w:r w:rsidR="00754DC2">
        <w:rPr>
          <w:rFonts w:eastAsia="Times New Roman" w:cstheme="minorHAnsi"/>
          <w:color w:val="373A3C"/>
        </w:rPr>
        <w:t xml:space="preserve"> but</w:t>
      </w:r>
      <w:r>
        <w:rPr>
          <w:rFonts w:eastAsia="Times New Roman" w:cstheme="minorHAnsi"/>
          <w:color w:val="373A3C"/>
        </w:rPr>
        <w:t>, while these can point to possible, maybe even probable elements of truth, nothing about a historical Arthur is certain</w:t>
      </w:r>
      <w:r>
        <w:rPr>
          <w:rStyle w:val="FootnoteReference"/>
          <w:rFonts w:eastAsia="Times New Roman" w:cstheme="minorHAnsi"/>
          <w:color w:val="373A3C"/>
        </w:rPr>
        <w:footnoteReference w:id="1"/>
      </w:r>
      <w:r w:rsidR="00754DC2">
        <w:rPr>
          <w:rFonts w:eastAsia="Times New Roman" w:cstheme="minorHAnsi"/>
          <w:color w:val="373A3C"/>
        </w:rPr>
        <w:t>. Not all scholars, however, have adopted such a cautious approach</w:t>
      </w:r>
      <w:r w:rsidR="00A04EA5">
        <w:rPr>
          <w:rFonts w:eastAsia="Times New Roman" w:cstheme="minorHAnsi"/>
          <w:color w:val="373A3C"/>
        </w:rPr>
        <w:t xml:space="preserve"> and make</w:t>
      </w:r>
      <w:r w:rsidR="00754DC2" w:rsidRPr="00C87392">
        <w:rPr>
          <w:rFonts w:eastAsia="Times New Roman" w:cstheme="minorHAnsi"/>
          <w:color w:val="373A3C"/>
        </w:rPr>
        <w:t xml:space="preserve"> the </w:t>
      </w:r>
      <w:r w:rsidR="00754DC2" w:rsidRPr="00C87392">
        <w:rPr>
          <w:rFonts w:eastAsia="Times New Roman" w:cstheme="minorHAnsi"/>
          <w:i/>
          <w:color w:val="373A3C"/>
        </w:rPr>
        <w:t xml:space="preserve">a priori, </w:t>
      </w:r>
      <w:r w:rsidR="00754DC2" w:rsidRPr="00C87392">
        <w:rPr>
          <w:rFonts w:eastAsia="Times New Roman" w:cstheme="minorHAnsi"/>
          <w:color w:val="373A3C"/>
        </w:rPr>
        <w:t>but unjustified, assumption that there must have been a historical figure behind these stories</w:t>
      </w:r>
      <w:r w:rsidR="00754DC2">
        <w:rPr>
          <w:rFonts w:eastAsia="Times New Roman" w:cstheme="minorHAnsi"/>
          <w:color w:val="373A3C"/>
        </w:rPr>
        <w:t>, while others have taken the opposite view claiming that there is no credible evidence for a historical Arthur</w:t>
      </w:r>
      <w:r w:rsidR="00754DC2" w:rsidRPr="00C87392">
        <w:rPr>
          <w:rStyle w:val="FootnoteReference"/>
          <w:rFonts w:eastAsia="Times New Roman" w:cstheme="minorHAnsi"/>
          <w:color w:val="373A3C"/>
        </w:rPr>
        <w:footnoteReference w:id="2"/>
      </w:r>
      <w:r w:rsidR="00754DC2">
        <w:rPr>
          <w:rFonts w:eastAsia="Times New Roman" w:cstheme="minorHAnsi"/>
          <w:color w:val="373A3C"/>
        </w:rPr>
        <w:t>.</w:t>
      </w:r>
      <w:r w:rsidR="00754DC2" w:rsidRPr="00C87392">
        <w:rPr>
          <w:rFonts w:eastAsia="Times New Roman" w:cstheme="minorHAnsi"/>
          <w:color w:val="373A3C"/>
        </w:rPr>
        <w:t xml:space="preserve"> </w:t>
      </w:r>
      <w:r w:rsidR="00A04EA5">
        <w:rPr>
          <w:rFonts w:eastAsia="Times New Roman" w:cstheme="minorHAnsi"/>
          <w:color w:val="373A3C"/>
        </w:rPr>
        <w:t>Th</w:t>
      </w:r>
      <w:r w:rsidR="00C633FC">
        <w:rPr>
          <w:rFonts w:eastAsia="Times New Roman" w:cstheme="minorHAnsi"/>
          <w:color w:val="373A3C"/>
        </w:rPr>
        <w:t>ese views</w:t>
      </w:r>
      <w:r w:rsidR="00A04EA5">
        <w:rPr>
          <w:rFonts w:eastAsia="Times New Roman" w:cstheme="minorHAnsi"/>
          <w:color w:val="373A3C"/>
        </w:rPr>
        <w:t xml:space="preserve"> represent the </w:t>
      </w:r>
      <w:r w:rsidR="00E2548B">
        <w:rPr>
          <w:rFonts w:eastAsia="Times New Roman" w:cstheme="minorHAnsi"/>
          <w:color w:val="373A3C"/>
        </w:rPr>
        <w:t>extremes</w:t>
      </w:r>
      <w:r w:rsidR="00A04EA5">
        <w:rPr>
          <w:rFonts w:eastAsia="Times New Roman" w:cstheme="minorHAnsi"/>
          <w:color w:val="373A3C"/>
        </w:rPr>
        <w:t xml:space="preserve"> of opinion surrounding the </w:t>
      </w:r>
      <w:r w:rsidR="003613CA">
        <w:rPr>
          <w:rFonts w:eastAsia="Times New Roman" w:cstheme="minorHAnsi"/>
          <w:color w:val="373A3C"/>
        </w:rPr>
        <w:t>debate</w:t>
      </w:r>
      <w:r w:rsidR="00A04EA5">
        <w:rPr>
          <w:rFonts w:eastAsia="Times New Roman" w:cstheme="minorHAnsi"/>
          <w:color w:val="373A3C"/>
        </w:rPr>
        <w:t xml:space="preserve"> </w:t>
      </w:r>
      <w:r w:rsidR="00CF7600">
        <w:rPr>
          <w:rFonts w:eastAsia="Times New Roman" w:cstheme="minorHAnsi"/>
          <w:color w:val="373A3C"/>
        </w:rPr>
        <w:t>but</w:t>
      </w:r>
      <w:r w:rsidR="00665722">
        <w:rPr>
          <w:rFonts w:eastAsia="Times New Roman" w:cstheme="minorHAnsi"/>
          <w:color w:val="373A3C"/>
        </w:rPr>
        <w:t>,</w:t>
      </w:r>
      <w:r w:rsidR="00A04EA5">
        <w:rPr>
          <w:rFonts w:eastAsia="Times New Roman" w:cstheme="minorHAnsi"/>
          <w:color w:val="373A3C"/>
        </w:rPr>
        <w:t xml:space="preserve"> </w:t>
      </w:r>
      <w:r w:rsidR="00CF7600">
        <w:rPr>
          <w:rFonts w:eastAsia="Times New Roman" w:cstheme="minorHAnsi"/>
          <w:color w:val="373A3C"/>
        </w:rPr>
        <w:t>before</w:t>
      </w:r>
      <w:r w:rsidR="00A04EA5">
        <w:rPr>
          <w:rFonts w:eastAsia="Times New Roman" w:cstheme="minorHAnsi"/>
          <w:color w:val="373A3C"/>
        </w:rPr>
        <w:t xml:space="preserve"> </w:t>
      </w:r>
      <w:r w:rsidR="004D0446">
        <w:rPr>
          <w:rFonts w:eastAsia="Times New Roman" w:cstheme="minorHAnsi"/>
          <w:color w:val="373A3C"/>
        </w:rPr>
        <w:t>assessing</w:t>
      </w:r>
      <w:r w:rsidR="00665722">
        <w:rPr>
          <w:rFonts w:eastAsia="Times New Roman" w:cstheme="minorHAnsi"/>
          <w:color w:val="373A3C"/>
        </w:rPr>
        <w:t xml:space="preserve"> </w:t>
      </w:r>
      <w:r w:rsidR="004D0446">
        <w:rPr>
          <w:rFonts w:eastAsia="Times New Roman" w:cstheme="minorHAnsi"/>
          <w:color w:val="373A3C"/>
        </w:rPr>
        <w:t xml:space="preserve">the </w:t>
      </w:r>
      <w:r w:rsidR="00B4187D">
        <w:rPr>
          <w:rFonts w:eastAsia="Times New Roman" w:cstheme="minorHAnsi"/>
          <w:color w:val="373A3C"/>
        </w:rPr>
        <w:t xml:space="preserve">reasoning </w:t>
      </w:r>
      <w:r w:rsidR="00E2548B">
        <w:rPr>
          <w:rFonts w:eastAsia="Times New Roman" w:cstheme="minorHAnsi"/>
          <w:color w:val="373A3C"/>
        </w:rPr>
        <w:t>behind</w:t>
      </w:r>
      <w:r w:rsidR="00B4187D">
        <w:rPr>
          <w:rFonts w:eastAsia="Times New Roman" w:cstheme="minorHAnsi"/>
          <w:color w:val="373A3C"/>
        </w:rPr>
        <w:t xml:space="preserve"> the </w:t>
      </w:r>
      <w:r w:rsidR="00A717F1">
        <w:rPr>
          <w:rFonts w:eastAsia="Times New Roman" w:cstheme="minorHAnsi"/>
          <w:color w:val="373A3C"/>
        </w:rPr>
        <w:t>theories</w:t>
      </w:r>
      <w:r w:rsidR="00E2548B">
        <w:rPr>
          <w:rFonts w:eastAsia="Times New Roman" w:cstheme="minorHAnsi"/>
          <w:color w:val="373A3C"/>
        </w:rPr>
        <w:t>,</w:t>
      </w:r>
      <w:r w:rsidR="004D0446">
        <w:rPr>
          <w:rFonts w:eastAsia="Times New Roman" w:cstheme="minorHAnsi"/>
          <w:color w:val="373A3C"/>
        </w:rPr>
        <w:t xml:space="preserve"> </w:t>
      </w:r>
      <w:r w:rsidR="00CF7600">
        <w:rPr>
          <w:rFonts w:eastAsia="Times New Roman" w:cstheme="minorHAnsi"/>
          <w:color w:val="373A3C"/>
        </w:rPr>
        <w:t xml:space="preserve">it is important to </w:t>
      </w:r>
      <w:r w:rsidR="00C633FC">
        <w:rPr>
          <w:rFonts w:eastAsia="Times New Roman" w:cstheme="minorHAnsi"/>
          <w:color w:val="373A3C"/>
        </w:rPr>
        <w:t>consider</w:t>
      </w:r>
      <w:r w:rsidR="00CF7600">
        <w:rPr>
          <w:rFonts w:eastAsia="Times New Roman" w:cstheme="minorHAnsi"/>
          <w:color w:val="373A3C"/>
        </w:rPr>
        <w:t xml:space="preserve"> the range of evidence available</w:t>
      </w:r>
      <w:r w:rsidR="003349C2">
        <w:rPr>
          <w:rFonts w:eastAsia="Times New Roman" w:cstheme="minorHAnsi"/>
          <w:color w:val="373A3C"/>
        </w:rPr>
        <w:t xml:space="preserve">, both to the original authors and later </w:t>
      </w:r>
      <w:r w:rsidR="00411E0C">
        <w:rPr>
          <w:rFonts w:eastAsia="Times New Roman" w:cstheme="minorHAnsi"/>
          <w:color w:val="373A3C"/>
        </w:rPr>
        <w:t>researchers</w:t>
      </w:r>
      <w:r w:rsidR="006D6DF2">
        <w:rPr>
          <w:rFonts w:eastAsia="Times New Roman" w:cstheme="minorHAnsi"/>
          <w:color w:val="373A3C"/>
        </w:rPr>
        <w:t>.</w:t>
      </w:r>
      <w:r w:rsidR="00554D0A">
        <w:rPr>
          <w:rFonts w:eastAsia="Times New Roman" w:cstheme="minorHAnsi"/>
          <w:color w:val="373A3C"/>
        </w:rPr>
        <w:t xml:space="preserve"> </w:t>
      </w:r>
    </w:p>
    <w:p w14:paraId="4958C6D5" w14:textId="0B860BAE" w:rsidR="00B84415" w:rsidRDefault="00B84415" w:rsidP="00120A64">
      <w:pPr>
        <w:spacing w:before="100" w:beforeAutospacing="1" w:after="100" w:afterAutospacing="1" w:line="480" w:lineRule="auto"/>
        <w:rPr>
          <w:rFonts w:eastAsia="Times New Roman" w:cstheme="minorHAnsi"/>
          <w:color w:val="373A3C"/>
        </w:rPr>
      </w:pPr>
      <w:r>
        <w:rPr>
          <w:rFonts w:eastAsia="Times New Roman" w:cstheme="minorHAnsi"/>
          <w:color w:val="373A3C"/>
        </w:rPr>
        <w:t xml:space="preserve">This debate may be compared to an attempt to </w:t>
      </w:r>
      <w:r w:rsidR="00EB51AD">
        <w:rPr>
          <w:rFonts w:eastAsia="Times New Roman" w:cstheme="minorHAnsi"/>
          <w:color w:val="373A3C"/>
        </w:rPr>
        <w:t>elucidate</w:t>
      </w:r>
      <w:r>
        <w:rPr>
          <w:rFonts w:eastAsia="Times New Roman" w:cstheme="minorHAnsi"/>
          <w:color w:val="373A3C"/>
        </w:rPr>
        <w:t xml:space="preserve"> a</w:t>
      </w:r>
      <w:r w:rsidR="00EB51AD">
        <w:rPr>
          <w:rFonts w:eastAsia="Times New Roman" w:cstheme="minorHAnsi"/>
          <w:color w:val="373A3C"/>
        </w:rPr>
        <w:t>n</w:t>
      </w:r>
      <w:r>
        <w:rPr>
          <w:rFonts w:eastAsia="Times New Roman" w:cstheme="minorHAnsi"/>
          <w:color w:val="373A3C"/>
        </w:rPr>
        <w:t xml:space="preserve"> historical status for Arthur from a</w:t>
      </w:r>
      <w:r w:rsidR="008047B8">
        <w:rPr>
          <w:rFonts w:eastAsia="Times New Roman" w:cstheme="minorHAnsi"/>
          <w:color w:val="373A3C"/>
        </w:rPr>
        <w:t>n assortment</w:t>
      </w:r>
      <w:r>
        <w:rPr>
          <w:rFonts w:eastAsia="Times New Roman" w:cstheme="minorHAnsi"/>
          <w:color w:val="373A3C"/>
        </w:rPr>
        <w:t xml:space="preserve"> of jig-saw pieces, probably from the same time and place, but not necessarily from the same puzzle. </w:t>
      </w:r>
      <w:r w:rsidR="00EB67E0">
        <w:rPr>
          <w:rFonts w:eastAsia="Times New Roman" w:cstheme="minorHAnsi"/>
          <w:color w:val="373A3C"/>
        </w:rPr>
        <w:t xml:space="preserve">The </w:t>
      </w:r>
      <w:r w:rsidR="008047B8">
        <w:rPr>
          <w:rFonts w:eastAsia="Times New Roman" w:cstheme="minorHAnsi"/>
          <w:color w:val="373A3C"/>
        </w:rPr>
        <w:t xml:space="preserve">pieces have been scrutinised by </w:t>
      </w:r>
      <w:r w:rsidR="00EB67E0">
        <w:rPr>
          <w:rFonts w:eastAsia="Times New Roman" w:cstheme="minorHAnsi"/>
          <w:color w:val="373A3C"/>
        </w:rPr>
        <w:t>d</w:t>
      </w:r>
      <w:r w:rsidR="006D46EF">
        <w:rPr>
          <w:rFonts w:eastAsia="Times New Roman" w:cstheme="minorHAnsi"/>
          <w:color w:val="373A3C"/>
        </w:rPr>
        <w:t>ifferent groups</w:t>
      </w:r>
      <w:r w:rsidR="00EB67E0">
        <w:rPr>
          <w:rFonts w:eastAsia="Times New Roman" w:cstheme="minorHAnsi"/>
          <w:color w:val="373A3C"/>
        </w:rPr>
        <w:t xml:space="preserve"> concerned </w:t>
      </w:r>
      <w:r w:rsidR="008047B8">
        <w:rPr>
          <w:rFonts w:eastAsia="Times New Roman" w:cstheme="minorHAnsi"/>
          <w:color w:val="373A3C"/>
        </w:rPr>
        <w:t>either</w:t>
      </w:r>
      <w:r w:rsidR="00C86AE1">
        <w:rPr>
          <w:rFonts w:eastAsia="Times New Roman" w:cstheme="minorHAnsi"/>
          <w:color w:val="373A3C"/>
        </w:rPr>
        <w:t xml:space="preserve"> to</w:t>
      </w:r>
      <w:r w:rsidR="008047B8">
        <w:rPr>
          <w:rFonts w:eastAsia="Times New Roman" w:cstheme="minorHAnsi"/>
          <w:color w:val="373A3C"/>
        </w:rPr>
        <w:t xml:space="preserve"> </w:t>
      </w:r>
      <w:r w:rsidR="00E17340">
        <w:rPr>
          <w:rFonts w:eastAsia="Times New Roman" w:cstheme="minorHAnsi"/>
          <w:color w:val="373A3C"/>
        </w:rPr>
        <w:t>verify Arthur’s existence by</w:t>
      </w:r>
      <w:r w:rsidR="00EB67E0">
        <w:rPr>
          <w:rFonts w:eastAsia="Times New Roman" w:cstheme="minorHAnsi"/>
          <w:color w:val="373A3C"/>
        </w:rPr>
        <w:t xml:space="preserve"> </w:t>
      </w:r>
      <w:r w:rsidR="008047B8">
        <w:rPr>
          <w:rFonts w:eastAsia="Times New Roman" w:cstheme="minorHAnsi"/>
          <w:color w:val="373A3C"/>
        </w:rPr>
        <w:t>identify</w:t>
      </w:r>
      <w:r w:rsidR="00E17340">
        <w:rPr>
          <w:rFonts w:eastAsia="Times New Roman" w:cstheme="minorHAnsi"/>
          <w:color w:val="373A3C"/>
        </w:rPr>
        <w:t>ing</w:t>
      </w:r>
      <w:r w:rsidR="008047B8">
        <w:rPr>
          <w:rFonts w:eastAsia="Times New Roman" w:cstheme="minorHAnsi"/>
          <w:color w:val="373A3C"/>
        </w:rPr>
        <w:t xml:space="preserve"> and amplify</w:t>
      </w:r>
      <w:r w:rsidR="00E17340">
        <w:rPr>
          <w:rFonts w:eastAsia="Times New Roman" w:cstheme="minorHAnsi"/>
          <w:color w:val="373A3C"/>
        </w:rPr>
        <w:t>ing</w:t>
      </w:r>
      <w:r w:rsidR="008047B8">
        <w:rPr>
          <w:rFonts w:eastAsia="Times New Roman" w:cstheme="minorHAnsi"/>
          <w:color w:val="373A3C"/>
        </w:rPr>
        <w:t xml:space="preserve"> key biographical details or to </w:t>
      </w:r>
      <w:r w:rsidR="007E7007">
        <w:rPr>
          <w:rFonts w:eastAsia="Times New Roman" w:cstheme="minorHAnsi"/>
          <w:color w:val="373A3C"/>
        </w:rPr>
        <w:t>use aspects of his story as a vehicle</w:t>
      </w:r>
      <w:r>
        <w:rPr>
          <w:rFonts w:eastAsia="Times New Roman" w:cstheme="minorHAnsi"/>
          <w:color w:val="373A3C"/>
        </w:rPr>
        <w:t xml:space="preserve"> </w:t>
      </w:r>
      <w:r w:rsidR="00E17340">
        <w:rPr>
          <w:rFonts w:eastAsia="Times New Roman" w:cstheme="minorHAnsi"/>
          <w:color w:val="373A3C"/>
        </w:rPr>
        <w:t>for relaying</w:t>
      </w:r>
      <w:r w:rsidR="00EB67E0">
        <w:rPr>
          <w:rFonts w:eastAsia="Times New Roman" w:cstheme="minorHAnsi"/>
          <w:color w:val="373A3C"/>
        </w:rPr>
        <w:t xml:space="preserve"> a </w:t>
      </w:r>
      <w:r w:rsidR="00E17340">
        <w:rPr>
          <w:rFonts w:eastAsia="Times New Roman" w:cstheme="minorHAnsi"/>
          <w:color w:val="373A3C"/>
        </w:rPr>
        <w:t xml:space="preserve">message to a particular audience. This </w:t>
      </w:r>
      <w:r w:rsidR="007E7007">
        <w:rPr>
          <w:rFonts w:eastAsia="Times New Roman" w:cstheme="minorHAnsi"/>
          <w:color w:val="373A3C"/>
        </w:rPr>
        <w:t>ha</w:t>
      </w:r>
      <w:r w:rsidR="00E17340">
        <w:rPr>
          <w:rFonts w:eastAsia="Times New Roman" w:cstheme="minorHAnsi"/>
          <w:color w:val="373A3C"/>
        </w:rPr>
        <w:t>s</w:t>
      </w:r>
      <w:r w:rsidR="007E7007">
        <w:rPr>
          <w:rFonts w:eastAsia="Times New Roman" w:cstheme="minorHAnsi"/>
          <w:color w:val="373A3C"/>
        </w:rPr>
        <w:t xml:space="preserve"> resulted in the c</w:t>
      </w:r>
      <w:r w:rsidR="00C86AE1">
        <w:rPr>
          <w:rFonts w:eastAsia="Times New Roman" w:cstheme="minorHAnsi"/>
          <w:color w:val="373A3C"/>
        </w:rPr>
        <w:t>reation</w:t>
      </w:r>
      <w:r w:rsidR="007E7007">
        <w:rPr>
          <w:rFonts w:eastAsia="Times New Roman" w:cstheme="minorHAnsi"/>
          <w:color w:val="373A3C"/>
        </w:rPr>
        <w:t xml:space="preserve"> of </w:t>
      </w:r>
      <w:r w:rsidR="00EB51AD">
        <w:rPr>
          <w:rFonts w:eastAsia="Times New Roman" w:cstheme="minorHAnsi"/>
          <w:color w:val="373A3C"/>
        </w:rPr>
        <w:t>further</w:t>
      </w:r>
      <w:r w:rsidR="007E7007">
        <w:rPr>
          <w:rFonts w:eastAsia="Times New Roman" w:cstheme="minorHAnsi"/>
          <w:color w:val="373A3C"/>
        </w:rPr>
        <w:t xml:space="preserve"> pieces </w:t>
      </w:r>
      <w:r w:rsidR="00EB51AD">
        <w:rPr>
          <w:rFonts w:eastAsia="Times New Roman" w:cstheme="minorHAnsi"/>
          <w:color w:val="373A3C"/>
        </w:rPr>
        <w:t xml:space="preserve">which </w:t>
      </w:r>
      <w:r w:rsidR="007E7007">
        <w:rPr>
          <w:rFonts w:eastAsia="Times New Roman" w:cstheme="minorHAnsi"/>
          <w:color w:val="373A3C"/>
        </w:rPr>
        <w:t>add</w:t>
      </w:r>
      <w:r w:rsidR="00EB51AD">
        <w:rPr>
          <w:rFonts w:eastAsia="Times New Roman" w:cstheme="minorHAnsi"/>
          <w:color w:val="373A3C"/>
        </w:rPr>
        <w:t>s</w:t>
      </w:r>
      <w:r w:rsidR="007E7007">
        <w:rPr>
          <w:rFonts w:eastAsia="Times New Roman" w:cstheme="minorHAnsi"/>
          <w:color w:val="373A3C"/>
        </w:rPr>
        <w:t xml:space="preserve"> to the co</w:t>
      </w:r>
      <w:r w:rsidR="00E17340">
        <w:rPr>
          <w:rFonts w:eastAsia="Times New Roman" w:cstheme="minorHAnsi"/>
          <w:color w:val="373A3C"/>
        </w:rPr>
        <w:t>mplexity for</w:t>
      </w:r>
      <w:r w:rsidR="007E7007">
        <w:rPr>
          <w:rFonts w:eastAsia="Times New Roman" w:cstheme="minorHAnsi"/>
          <w:color w:val="373A3C"/>
        </w:rPr>
        <w:t xml:space="preserve"> later researchers </w:t>
      </w:r>
      <w:r w:rsidR="007E7007">
        <w:rPr>
          <w:rFonts w:eastAsia="Times New Roman" w:cstheme="minorHAnsi"/>
          <w:color w:val="373A3C"/>
        </w:rPr>
        <w:lastRenderedPageBreak/>
        <w:t>but</w:t>
      </w:r>
      <w:r w:rsidR="00C86AE1">
        <w:rPr>
          <w:rFonts w:eastAsia="Times New Roman" w:cstheme="minorHAnsi"/>
          <w:color w:val="373A3C"/>
        </w:rPr>
        <w:t xml:space="preserve"> also</w:t>
      </w:r>
      <w:r w:rsidR="007E7007">
        <w:rPr>
          <w:rFonts w:eastAsia="Times New Roman" w:cstheme="minorHAnsi"/>
          <w:color w:val="373A3C"/>
        </w:rPr>
        <w:t xml:space="preserve"> </w:t>
      </w:r>
      <w:r w:rsidR="00996619">
        <w:rPr>
          <w:rFonts w:eastAsia="Times New Roman" w:cstheme="minorHAnsi"/>
          <w:color w:val="373A3C"/>
        </w:rPr>
        <w:t>open</w:t>
      </w:r>
      <w:r w:rsidR="00EB51AD">
        <w:rPr>
          <w:rFonts w:eastAsia="Times New Roman" w:cstheme="minorHAnsi"/>
          <w:color w:val="373A3C"/>
        </w:rPr>
        <w:t>s</w:t>
      </w:r>
      <w:r w:rsidR="00996619">
        <w:rPr>
          <w:rFonts w:eastAsia="Times New Roman" w:cstheme="minorHAnsi"/>
          <w:color w:val="373A3C"/>
        </w:rPr>
        <w:t xml:space="preserve"> new</w:t>
      </w:r>
      <w:r w:rsidR="007E7007">
        <w:rPr>
          <w:rFonts w:eastAsia="Times New Roman" w:cstheme="minorHAnsi"/>
          <w:color w:val="373A3C"/>
        </w:rPr>
        <w:t xml:space="preserve"> opportunit</w:t>
      </w:r>
      <w:r w:rsidR="00E17340">
        <w:rPr>
          <w:rFonts w:eastAsia="Times New Roman" w:cstheme="minorHAnsi"/>
          <w:color w:val="373A3C"/>
        </w:rPr>
        <w:t>ies</w:t>
      </w:r>
      <w:r w:rsidR="007E7007">
        <w:rPr>
          <w:rFonts w:eastAsia="Times New Roman" w:cstheme="minorHAnsi"/>
          <w:color w:val="373A3C"/>
        </w:rPr>
        <w:t xml:space="preserve"> for </w:t>
      </w:r>
      <w:r w:rsidR="00E17340">
        <w:rPr>
          <w:rFonts w:eastAsia="Times New Roman" w:cstheme="minorHAnsi"/>
          <w:color w:val="373A3C"/>
        </w:rPr>
        <w:t>literary development by future authors</w:t>
      </w:r>
      <w:r w:rsidR="007E7007">
        <w:rPr>
          <w:rFonts w:eastAsia="Times New Roman" w:cstheme="minorHAnsi"/>
          <w:color w:val="373A3C"/>
        </w:rPr>
        <w:t>.</w:t>
      </w:r>
      <w:r>
        <w:rPr>
          <w:rFonts w:eastAsia="Times New Roman" w:cstheme="minorHAnsi"/>
          <w:color w:val="373A3C"/>
        </w:rPr>
        <w:t xml:space="preserve"> A warrior chieftain for example </w:t>
      </w:r>
      <w:r w:rsidR="00E17340">
        <w:rPr>
          <w:rFonts w:eastAsia="Times New Roman" w:cstheme="minorHAnsi"/>
          <w:color w:val="373A3C"/>
        </w:rPr>
        <w:t xml:space="preserve">hoping to establish a distinguished lineage for himself, </w:t>
      </w:r>
      <w:r>
        <w:rPr>
          <w:rFonts w:eastAsia="Times New Roman" w:cstheme="minorHAnsi"/>
          <w:color w:val="373A3C"/>
        </w:rPr>
        <w:t xml:space="preserve">may </w:t>
      </w:r>
      <w:r w:rsidR="00996619">
        <w:rPr>
          <w:rFonts w:eastAsia="Times New Roman" w:cstheme="minorHAnsi"/>
          <w:color w:val="373A3C"/>
        </w:rPr>
        <w:t>manipulate</w:t>
      </w:r>
      <w:r>
        <w:rPr>
          <w:rFonts w:eastAsia="Times New Roman" w:cstheme="minorHAnsi"/>
          <w:color w:val="373A3C"/>
        </w:rPr>
        <w:t xml:space="preserve"> evidence </w:t>
      </w:r>
      <w:r w:rsidR="00C92508">
        <w:rPr>
          <w:rFonts w:eastAsia="Times New Roman" w:cstheme="minorHAnsi"/>
          <w:color w:val="373A3C"/>
        </w:rPr>
        <w:t>from</w:t>
      </w:r>
      <w:r>
        <w:rPr>
          <w:rFonts w:eastAsia="Times New Roman" w:cstheme="minorHAnsi"/>
          <w:color w:val="373A3C"/>
        </w:rPr>
        <w:t xml:space="preserve"> battle</w:t>
      </w:r>
      <w:r w:rsidR="00C92508">
        <w:rPr>
          <w:rFonts w:eastAsia="Times New Roman" w:cstheme="minorHAnsi"/>
          <w:color w:val="373A3C"/>
        </w:rPr>
        <w:t xml:space="preserve"> lists and genealogies</w:t>
      </w:r>
      <w:r w:rsidR="00EB51AD">
        <w:rPr>
          <w:rFonts w:eastAsia="Times New Roman" w:cstheme="minorHAnsi"/>
          <w:color w:val="373A3C"/>
        </w:rPr>
        <w:t>,</w:t>
      </w:r>
      <w:r w:rsidR="00C92508">
        <w:rPr>
          <w:rFonts w:eastAsia="Times New Roman" w:cstheme="minorHAnsi"/>
          <w:color w:val="373A3C"/>
        </w:rPr>
        <w:t xml:space="preserve"> wh</w:t>
      </w:r>
      <w:r w:rsidR="00EB51AD">
        <w:rPr>
          <w:rFonts w:eastAsia="Times New Roman" w:cstheme="minorHAnsi"/>
          <w:color w:val="373A3C"/>
        </w:rPr>
        <w:t>ereas</w:t>
      </w:r>
      <w:r w:rsidR="00C92508">
        <w:rPr>
          <w:rFonts w:eastAsia="Times New Roman" w:cstheme="minorHAnsi"/>
          <w:color w:val="373A3C"/>
        </w:rPr>
        <w:t xml:space="preserve"> a</w:t>
      </w:r>
      <w:r>
        <w:rPr>
          <w:rFonts w:eastAsia="Times New Roman" w:cstheme="minorHAnsi"/>
          <w:color w:val="373A3C"/>
        </w:rPr>
        <w:t xml:space="preserve"> priest</w:t>
      </w:r>
      <w:r w:rsidR="006D46EF">
        <w:rPr>
          <w:rFonts w:eastAsia="Times New Roman" w:cstheme="minorHAnsi"/>
          <w:color w:val="373A3C"/>
        </w:rPr>
        <w:t xml:space="preserve">, </w:t>
      </w:r>
      <w:r>
        <w:rPr>
          <w:rFonts w:eastAsia="Times New Roman" w:cstheme="minorHAnsi"/>
          <w:color w:val="373A3C"/>
        </w:rPr>
        <w:t>m</w:t>
      </w:r>
      <w:r w:rsidR="00C92508">
        <w:rPr>
          <w:rFonts w:eastAsia="Times New Roman" w:cstheme="minorHAnsi"/>
          <w:color w:val="373A3C"/>
        </w:rPr>
        <w:t xml:space="preserve">ight </w:t>
      </w:r>
      <w:r w:rsidR="00996619">
        <w:rPr>
          <w:rFonts w:eastAsia="Times New Roman" w:cstheme="minorHAnsi"/>
          <w:color w:val="373A3C"/>
        </w:rPr>
        <w:t>select</w:t>
      </w:r>
      <w:r w:rsidR="00C92508">
        <w:rPr>
          <w:rFonts w:eastAsia="Times New Roman" w:cstheme="minorHAnsi"/>
          <w:color w:val="373A3C"/>
        </w:rPr>
        <w:t xml:space="preserve"> particular events</w:t>
      </w:r>
      <w:r w:rsidR="00996619">
        <w:rPr>
          <w:rFonts w:eastAsia="Times New Roman" w:cstheme="minorHAnsi"/>
          <w:color w:val="373A3C"/>
        </w:rPr>
        <w:t xml:space="preserve"> from history</w:t>
      </w:r>
      <w:r w:rsidR="00C92508">
        <w:rPr>
          <w:rFonts w:eastAsia="Times New Roman" w:cstheme="minorHAnsi"/>
          <w:color w:val="373A3C"/>
        </w:rPr>
        <w:t xml:space="preserve"> and folklore to make a Christian message more </w:t>
      </w:r>
      <w:r w:rsidR="00C86AE1">
        <w:rPr>
          <w:rFonts w:eastAsia="Times New Roman" w:cstheme="minorHAnsi"/>
          <w:color w:val="373A3C"/>
        </w:rPr>
        <w:t xml:space="preserve">palatable </w:t>
      </w:r>
      <w:r w:rsidR="0080785B">
        <w:rPr>
          <w:rFonts w:eastAsia="Times New Roman" w:cstheme="minorHAnsi"/>
          <w:color w:val="373A3C"/>
        </w:rPr>
        <w:t xml:space="preserve">and </w:t>
      </w:r>
      <w:r w:rsidR="00C92508">
        <w:rPr>
          <w:rFonts w:eastAsia="Times New Roman" w:cstheme="minorHAnsi"/>
          <w:color w:val="373A3C"/>
        </w:rPr>
        <w:t>understandable</w:t>
      </w:r>
      <w:r w:rsidR="00C86AE1">
        <w:rPr>
          <w:rFonts w:eastAsia="Times New Roman" w:cstheme="minorHAnsi"/>
          <w:color w:val="373A3C"/>
        </w:rPr>
        <w:t xml:space="preserve"> to his audience,</w:t>
      </w:r>
      <w:r w:rsidR="00C92508">
        <w:rPr>
          <w:rFonts w:eastAsia="Times New Roman" w:cstheme="minorHAnsi"/>
          <w:color w:val="373A3C"/>
        </w:rPr>
        <w:t xml:space="preserve"> </w:t>
      </w:r>
      <w:r w:rsidR="006D46EF">
        <w:rPr>
          <w:rFonts w:eastAsia="Times New Roman" w:cstheme="minorHAnsi"/>
          <w:color w:val="373A3C"/>
        </w:rPr>
        <w:t>while a</w:t>
      </w:r>
      <w:r w:rsidR="00C92508">
        <w:rPr>
          <w:rFonts w:eastAsia="Times New Roman" w:cstheme="minorHAnsi"/>
          <w:color w:val="373A3C"/>
        </w:rPr>
        <w:t>t the same time</w:t>
      </w:r>
      <w:r w:rsidR="006D46EF">
        <w:rPr>
          <w:rFonts w:eastAsia="Times New Roman" w:cstheme="minorHAnsi"/>
          <w:color w:val="373A3C"/>
        </w:rPr>
        <w:t xml:space="preserve"> establishing property rights for the </w:t>
      </w:r>
      <w:r w:rsidR="0017484D">
        <w:rPr>
          <w:rFonts w:eastAsia="Times New Roman" w:cstheme="minorHAnsi"/>
          <w:color w:val="373A3C"/>
        </w:rPr>
        <w:t>C</w:t>
      </w:r>
      <w:r w:rsidR="006D46EF">
        <w:rPr>
          <w:rFonts w:eastAsia="Times New Roman" w:cstheme="minorHAnsi"/>
          <w:color w:val="373A3C"/>
        </w:rPr>
        <w:t>hurch.</w:t>
      </w:r>
      <w:r w:rsidR="00577410">
        <w:rPr>
          <w:rFonts w:eastAsia="Times New Roman" w:cstheme="minorHAnsi"/>
          <w:color w:val="373A3C"/>
        </w:rPr>
        <w:t xml:space="preserve"> </w:t>
      </w:r>
      <w:r w:rsidR="00436F1B">
        <w:rPr>
          <w:rFonts w:eastAsia="Times New Roman" w:cstheme="minorHAnsi"/>
          <w:color w:val="373A3C"/>
        </w:rPr>
        <w:t>S</w:t>
      </w:r>
      <w:r w:rsidR="00577410">
        <w:rPr>
          <w:rFonts w:eastAsia="Times New Roman" w:cstheme="minorHAnsi"/>
          <w:color w:val="373A3C"/>
        </w:rPr>
        <w:t>ome pieces</w:t>
      </w:r>
      <w:r w:rsidR="00436F1B">
        <w:rPr>
          <w:rFonts w:eastAsia="Times New Roman" w:cstheme="minorHAnsi"/>
          <w:color w:val="373A3C"/>
        </w:rPr>
        <w:t xml:space="preserve"> of the jig-saw</w:t>
      </w:r>
      <w:r w:rsidR="00577410">
        <w:rPr>
          <w:rFonts w:eastAsia="Times New Roman" w:cstheme="minorHAnsi"/>
          <w:color w:val="373A3C"/>
        </w:rPr>
        <w:t xml:space="preserve"> are</w:t>
      </w:r>
      <w:r w:rsidR="00C92508">
        <w:rPr>
          <w:rFonts w:eastAsia="Times New Roman" w:cstheme="minorHAnsi"/>
          <w:color w:val="373A3C"/>
        </w:rPr>
        <w:t xml:space="preserve"> of</w:t>
      </w:r>
      <w:r w:rsidR="00577410">
        <w:rPr>
          <w:rFonts w:eastAsia="Times New Roman" w:cstheme="minorHAnsi"/>
          <w:color w:val="373A3C"/>
        </w:rPr>
        <w:t xml:space="preserve"> more </w:t>
      </w:r>
      <w:r w:rsidR="00C92508">
        <w:rPr>
          <w:rFonts w:eastAsia="Times New Roman" w:cstheme="minorHAnsi"/>
          <w:color w:val="373A3C"/>
        </w:rPr>
        <w:t xml:space="preserve">explicit </w:t>
      </w:r>
      <w:r w:rsidR="00577410">
        <w:rPr>
          <w:rFonts w:eastAsia="Times New Roman" w:cstheme="minorHAnsi"/>
          <w:color w:val="373A3C"/>
        </w:rPr>
        <w:t>importan</w:t>
      </w:r>
      <w:r w:rsidR="00C92508">
        <w:rPr>
          <w:rFonts w:eastAsia="Times New Roman" w:cstheme="minorHAnsi"/>
          <w:color w:val="373A3C"/>
        </w:rPr>
        <w:t>ce</w:t>
      </w:r>
      <w:r w:rsidR="00577410">
        <w:rPr>
          <w:rFonts w:eastAsia="Times New Roman" w:cstheme="minorHAnsi"/>
          <w:color w:val="373A3C"/>
        </w:rPr>
        <w:t xml:space="preserve"> to the debate than others, </w:t>
      </w:r>
      <w:r w:rsidR="00436F1B">
        <w:rPr>
          <w:rFonts w:eastAsia="Times New Roman" w:cstheme="minorHAnsi"/>
          <w:color w:val="373A3C"/>
        </w:rPr>
        <w:t xml:space="preserve">however </w:t>
      </w:r>
      <w:r w:rsidR="00577410">
        <w:rPr>
          <w:rFonts w:eastAsia="Times New Roman" w:cstheme="minorHAnsi"/>
          <w:color w:val="373A3C"/>
        </w:rPr>
        <w:t>they all provide some useful background detail.</w:t>
      </w:r>
      <w:r w:rsidR="001F3ADC" w:rsidRPr="001F3ADC">
        <w:rPr>
          <w:rFonts w:eastAsia="Times New Roman" w:cstheme="minorHAnsi"/>
          <w:color w:val="373A3C"/>
        </w:rPr>
        <w:t xml:space="preserve"> </w:t>
      </w:r>
      <w:r w:rsidR="005A058B">
        <w:rPr>
          <w:rFonts w:eastAsia="Times New Roman" w:cstheme="minorHAnsi"/>
          <w:color w:val="373A3C"/>
        </w:rPr>
        <w:t>I will refer back to this analogy</w:t>
      </w:r>
      <w:r w:rsidR="001F3ADC">
        <w:rPr>
          <w:rFonts w:eastAsia="Times New Roman" w:cstheme="minorHAnsi"/>
          <w:color w:val="373A3C"/>
        </w:rPr>
        <w:t xml:space="preserve"> while </w:t>
      </w:r>
      <w:r w:rsidR="0080785B">
        <w:rPr>
          <w:rFonts w:eastAsia="Times New Roman" w:cstheme="minorHAnsi"/>
          <w:color w:val="373A3C"/>
        </w:rPr>
        <w:t>scrutiniz</w:t>
      </w:r>
      <w:r w:rsidR="001F3ADC">
        <w:rPr>
          <w:rFonts w:eastAsia="Times New Roman" w:cstheme="minorHAnsi"/>
          <w:color w:val="373A3C"/>
        </w:rPr>
        <w:t>ing the argument</w:t>
      </w:r>
      <w:r w:rsidR="00C92508">
        <w:rPr>
          <w:rFonts w:eastAsia="Times New Roman" w:cstheme="minorHAnsi"/>
          <w:color w:val="373A3C"/>
        </w:rPr>
        <w:t>s</w:t>
      </w:r>
      <w:r w:rsidR="001F3ADC">
        <w:rPr>
          <w:rFonts w:eastAsia="Times New Roman" w:cstheme="minorHAnsi"/>
          <w:color w:val="373A3C"/>
        </w:rPr>
        <w:t xml:space="preserve"> </w:t>
      </w:r>
      <w:r w:rsidR="00554765">
        <w:rPr>
          <w:rFonts w:eastAsia="Times New Roman" w:cstheme="minorHAnsi"/>
          <w:color w:val="373A3C"/>
        </w:rPr>
        <w:t>surrounding</w:t>
      </w:r>
      <w:r w:rsidR="005A058B">
        <w:rPr>
          <w:rFonts w:eastAsia="Times New Roman" w:cstheme="minorHAnsi"/>
          <w:color w:val="373A3C"/>
        </w:rPr>
        <w:t xml:space="preserve"> each piece of evidence.</w:t>
      </w:r>
    </w:p>
    <w:p w14:paraId="7BF7F8BB" w14:textId="180DFDFD" w:rsidR="00546746" w:rsidRDefault="00C92508" w:rsidP="00546746">
      <w:pPr>
        <w:spacing w:before="100" w:beforeAutospacing="1" w:after="100" w:afterAutospacing="1" w:line="480" w:lineRule="auto"/>
        <w:rPr>
          <w:rFonts w:cstheme="minorHAnsi"/>
          <w:i/>
        </w:rPr>
      </w:pPr>
      <w:r>
        <w:rPr>
          <w:rFonts w:eastAsia="Times New Roman" w:cstheme="minorHAnsi"/>
          <w:color w:val="373A3C"/>
        </w:rPr>
        <w:t>Th</w:t>
      </w:r>
      <w:r w:rsidR="00554765">
        <w:rPr>
          <w:rFonts w:eastAsia="Times New Roman" w:cstheme="minorHAnsi"/>
          <w:color w:val="373A3C"/>
        </w:rPr>
        <w:t>os</w:t>
      </w:r>
      <w:r>
        <w:rPr>
          <w:rFonts w:eastAsia="Times New Roman" w:cstheme="minorHAnsi"/>
          <w:color w:val="373A3C"/>
        </w:rPr>
        <w:t>e pieces provided by a</w:t>
      </w:r>
      <w:r w:rsidR="00CF7600" w:rsidRPr="00C87392">
        <w:rPr>
          <w:rFonts w:eastAsia="Times New Roman" w:cstheme="minorHAnsi"/>
          <w:color w:val="373A3C"/>
        </w:rPr>
        <w:t>rchaeology</w:t>
      </w:r>
      <w:r w:rsidR="00CF7600">
        <w:rPr>
          <w:rFonts w:eastAsia="Times New Roman" w:cstheme="minorHAnsi"/>
          <w:color w:val="373A3C"/>
        </w:rPr>
        <w:t xml:space="preserve"> </w:t>
      </w:r>
      <w:r>
        <w:rPr>
          <w:rFonts w:eastAsia="Times New Roman" w:cstheme="minorHAnsi"/>
          <w:color w:val="373A3C"/>
        </w:rPr>
        <w:t>are</w:t>
      </w:r>
      <w:r w:rsidR="00CF7600" w:rsidRPr="00C87392">
        <w:rPr>
          <w:rFonts w:eastAsia="Times New Roman" w:cstheme="minorHAnsi"/>
          <w:color w:val="373A3C"/>
        </w:rPr>
        <w:t xml:space="preserve"> of limited value regarding the historicity of Arthur as </w:t>
      </w:r>
      <w:r>
        <w:rPr>
          <w:rFonts w:eastAsia="Times New Roman" w:cstheme="minorHAnsi"/>
          <w:color w:val="373A3C"/>
        </w:rPr>
        <w:t>they</w:t>
      </w:r>
      <w:r w:rsidR="00CF7600" w:rsidRPr="00C87392">
        <w:rPr>
          <w:rFonts w:eastAsia="Times New Roman" w:cstheme="minorHAnsi"/>
          <w:color w:val="373A3C"/>
        </w:rPr>
        <w:t xml:space="preserve"> deal with sites rather than people</w:t>
      </w:r>
      <w:r w:rsidR="00CF7600">
        <w:rPr>
          <w:rFonts w:eastAsia="Times New Roman" w:cstheme="minorHAnsi"/>
          <w:color w:val="373A3C"/>
        </w:rPr>
        <w:t xml:space="preserve"> </w:t>
      </w:r>
      <w:r w:rsidR="00B4187D">
        <w:rPr>
          <w:rFonts w:eastAsia="Times New Roman" w:cstheme="minorHAnsi"/>
          <w:color w:val="373A3C"/>
        </w:rPr>
        <w:t>and while</w:t>
      </w:r>
      <w:r w:rsidR="00CF7600">
        <w:rPr>
          <w:rFonts w:eastAsia="Times New Roman" w:cstheme="minorHAnsi"/>
          <w:color w:val="373A3C"/>
        </w:rPr>
        <w:t xml:space="preserve"> </w:t>
      </w:r>
      <w:r w:rsidR="00CF7600" w:rsidRPr="00C87392">
        <w:rPr>
          <w:rFonts w:eastAsia="Times New Roman" w:cstheme="minorHAnsi"/>
          <w:color w:val="373A3C"/>
        </w:rPr>
        <w:t>inscriptions on commemorative monuments</w:t>
      </w:r>
      <w:r w:rsidR="00B4187D">
        <w:rPr>
          <w:rFonts w:eastAsia="Times New Roman" w:cstheme="minorHAnsi"/>
          <w:color w:val="373A3C"/>
        </w:rPr>
        <w:t xml:space="preserve"> </w:t>
      </w:r>
      <w:r w:rsidR="00CF7600">
        <w:rPr>
          <w:rFonts w:eastAsia="Times New Roman" w:cstheme="minorHAnsi"/>
          <w:color w:val="373A3C"/>
        </w:rPr>
        <w:t>can prove useful in the validation of dates, names and genealogies</w:t>
      </w:r>
      <w:r w:rsidR="00CF7600">
        <w:rPr>
          <w:rStyle w:val="FootnoteReference"/>
          <w:rFonts w:eastAsia="Times New Roman" w:cstheme="minorHAnsi"/>
          <w:color w:val="373A3C"/>
        </w:rPr>
        <w:footnoteReference w:id="3"/>
      </w:r>
      <w:r w:rsidR="00E401DB">
        <w:rPr>
          <w:rFonts w:eastAsia="Times New Roman" w:cstheme="minorHAnsi"/>
          <w:color w:val="373A3C"/>
        </w:rPr>
        <w:t xml:space="preserve">, there is nothing </w:t>
      </w:r>
      <w:r w:rsidR="001F3ADC">
        <w:rPr>
          <w:rFonts w:eastAsia="Times New Roman" w:cstheme="minorHAnsi"/>
          <w:color w:val="373A3C"/>
        </w:rPr>
        <w:t xml:space="preserve">in Britain </w:t>
      </w:r>
      <w:r w:rsidR="00E401DB">
        <w:rPr>
          <w:rFonts w:eastAsia="Times New Roman" w:cstheme="minorHAnsi"/>
          <w:color w:val="373A3C"/>
        </w:rPr>
        <w:t>with a clear connection to Arthur</w:t>
      </w:r>
      <w:r w:rsidR="00CF7600">
        <w:rPr>
          <w:rFonts w:eastAsia="Times New Roman" w:cstheme="minorHAnsi"/>
          <w:color w:val="373A3C"/>
        </w:rPr>
        <w:t xml:space="preserve">. Even those sites which claim to have historical associations with him often offer information which is confusing </w:t>
      </w:r>
      <w:r w:rsidR="00411E0C">
        <w:rPr>
          <w:rFonts w:eastAsia="Times New Roman" w:cstheme="minorHAnsi"/>
          <w:color w:val="373A3C"/>
        </w:rPr>
        <w:t>or</w:t>
      </w:r>
      <w:r w:rsidR="009750CB">
        <w:rPr>
          <w:rFonts w:eastAsia="Times New Roman" w:cstheme="minorHAnsi"/>
          <w:color w:val="373A3C"/>
        </w:rPr>
        <w:t>,</w:t>
      </w:r>
      <w:r w:rsidR="00CF7600">
        <w:rPr>
          <w:rFonts w:eastAsia="Times New Roman" w:cstheme="minorHAnsi"/>
          <w:color w:val="373A3C"/>
        </w:rPr>
        <w:t xml:space="preserve"> </w:t>
      </w:r>
      <w:r w:rsidR="00F51CEC">
        <w:rPr>
          <w:rFonts w:eastAsia="Times New Roman" w:cstheme="minorHAnsi"/>
          <w:color w:val="373A3C"/>
        </w:rPr>
        <w:t>as</w:t>
      </w:r>
      <w:r w:rsidR="00CF747A">
        <w:rPr>
          <w:rFonts w:eastAsia="Times New Roman" w:cstheme="minorHAnsi"/>
          <w:color w:val="373A3C"/>
        </w:rPr>
        <w:t xml:space="preserve"> revealed</w:t>
      </w:r>
      <w:r w:rsidR="00F51CEC">
        <w:rPr>
          <w:rFonts w:eastAsia="Times New Roman" w:cstheme="minorHAnsi"/>
          <w:color w:val="373A3C"/>
        </w:rPr>
        <w:t xml:space="preserve"> </w:t>
      </w:r>
      <w:r w:rsidR="00CF7600">
        <w:rPr>
          <w:rFonts w:eastAsia="Times New Roman" w:cstheme="minorHAnsi"/>
          <w:color w:val="373A3C"/>
        </w:rPr>
        <w:t xml:space="preserve">in </w:t>
      </w:r>
      <w:r w:rsidR="00411E0C">
        <w:rPr>
          <w:rFonts w:eastAsia="Times New Roman" w:cstheme="minorHAnsi"/>
          <w:color w:val="373A3C"/>
        </w:rPr>
        <w:t>Gerald of Wales’ description of the excavations at Glastonbury</w:t>
      </w:r>
      <w:r w:rsidR="00381606">
        <w:rPr>
          <w:rStyle w:val="FootnoteReference"/>
          <w:rFonts w:eastAsia="Times New Roman" w:cstheme="minorHAnsi"/>
          <w:color w:val="373A3C"/>
        </w:rPr>
        <w:footnoteReference w:id="4"/>
      </w:r>
      <w:r w:rsidR="00551477">
        <w:rPr>
          <w:rFonts w:eastAsia="Times New Roman" w:cstheme="minorHAnsi"/>
          <w:color w:val="373A3C"/>
        </w:rPr>
        <w:t>,</w:t>
      </w:r>
      <w:r w:rsidR="00E401DB">
        <w:rPr>
          <w:rFonts w:eastAsia="Times New Roman" w:cstheme="minorHAnsi"/>
          <w:color w:val="373A3C"/>
        </w:rPr>
        <w:t xml:space="preserve"> </w:t>
      </w:r>
      <w:r w:rsidR="009750CB">
        <w:rPr>
          <w:rFonts w:eastAsia="Times New Roman" w:cstheme="minorHAnsi"/>
          <w:color w:val="373A3C"/>
        </w:rPr>
        <w:t xml:space="preserve">probably </w:t>
      </w:r>
      <w:r w:rsidR="00E401DB">
        <w:rPr>
          <w:rFonts w:eastAsia="Times New Roman" w:cstheme="minorHAnsi"/>
          <w:color w:val="373A3C"/>
        </w:rPr>
        <w:t>fraudulent</w:t>
      </w:r>
      <w:r w:rsidR="00CF7600">
        <w:rPr>
          <w:rFonts w:eastAsia="Times New Roman" w:cstheme="minorHAnsi"/>
          <w:color w:val="373A3C"/>
        </w:rPr>
        <w:t>.</w:t>
      </w:r>
      <w:r w:rsidR="00546746">
        <w:rPr>
          <w:rFonts w:cstheme="minorHAnsi"/>
        </w:rPr>
        <w:t xml:space="preserve"> </w:t>
      </w:r>
      <w:r w:rsidR="00E769B0">
        <w:rPr>
          <w:rFonts w:cstheme="minorHAnsi"/>
        </w:rPr>
        <w:t xml:space="preserve">There have been arguments both for and against the existence of </w:t>
      </w:r>
      <w:r w:rsidR="00551477">
        <w:rPr>
          <w:rFonts w:cstheme="minorHAnsi"/>
        </w:rPr>
        <w:t>Arthur as a great warrior, probably a king or prince</w:t>
      </w:r>
      <w:r w:rsidR="00E769B0">
        <w:rPr>
          <w:rStyle w:val="FootnoteReference"/>
          <w:rFonts w:cstheme="minorHAnsi"/>
        </w:rPr>
        <w:footnoteReference w:id="5"/>
      </w:r>
      <w:r w:rsidR="00E769B0">
        <w:rPr>
          <w:rFonts w:cstheme="minorHAnsi"/>
        </w:rPr>
        <w:t xml:space="preserve"> </w:t>
      </w:r>
      <w:r w:rsidR="00381606">
        <w:rPr>
          <w:rStyle w:val="FootnoteReference"/>
          <w:rFonts w:cstheme="minorHAnsi"/>
        </w:rPr>
        <w:footnoteReference w:id="6"/>
      </w:r>
      <w:r w:rsidR="00546746">
        <w:rPr>
          <w:rFonts w:cstheme="minorHAnsi"/>
        </w:rPr>
        <w:t xml:space="preserve"> </w:t>
      </w:r>
      <w:r w:rsidR="0080785B">
        <w:rPr>
          <w:rFonts w:cstheme="minorHAnsi"/>
        </w:rPr>
        <w:t xml:space="preserve">and </w:t>
      </w:r>
      <w:r w:rsidR="00414799">
        <w:rPr>
          <w:rFonts w:cstheme="minorHAnsi"/>
        </w:rPr>
        <w:t>a</w:t>
      </w:r>
      <w:r w:rsidR="0080785B">
        <w:rPr>
          <w:rFonts w:cstheme="minorHAnsi"/>
        </w:rPr>
        <w:t xml:space="preserve"> suggestion</w:t>
      </w:r>
      <w:r w:rsidR="00414799">
        <w:rPr>
          <w:rFonts w:cstheme="minorHAnsi"/>
        </w:rPr>
        <w:t>, accepted by Alcock,</w:t>
      </w:r>
      <w:r w:rsidR="0080785B">
        <w:rPr>
          <w:rFonts w:cstheme="minorHAnsi"/>
        </w:rPr>
        <w:t xml:space="preserve"> that</w:t>
      </w:r>
      <w:r w:rsidR="00C93239">
        <w:rPr>
          <w:rFonts w:cstheme="minorHAnsi"/>
        </w:rPr>
        <w:t xml:space="preserve"> </w:t>
      </w:r>
      <w:r w:rsidR="00414799">
        <w:rPr>
          <w:rFonts w:cstheme="minorHAnsi"/>
        </w:rPr>
        <w:t>the</w:t>
      </w:r>
      <w:r w:rsidR="00C93239">
        <w:rPr>
          <w:rFonts w:cstheme="minorHAnsi"/>
        </w:rPr>
        <w:t xml:space="preserve"> reference to </w:t>
      </w:r>
      <w:r w:rsidR="00C93239" w:rsidRPr="00C93239">
        <w:rPr>
          <w:rFonts w:cstheme="minorHAnsi"/>
          <w:i/>
        </w:rPr>
        <w:t>Gueith Camlann</w:t>
      </w:r>
      <w:r w:rsidR="00C93239">
        <w:rPr>
          <w:rFonts w:cstheme="minorHAnsi"/>
        </w:rPr>
        <w:t xml:space="preserve"> </w:t>
      </w:r>
      <w:r w:rsidR="00546746">
        <w:rPr>
          <w:rFonts w:cstheme="minorHAnsi"/>
        </w:rPr>
        <w:t xml:space="preserve">in the </w:t>
      </w:r>
      <w:r w:rsidR="00546746" w:rsidRPr="001E4E86">
        <w:rPr>
          <w:rFonts w:cstheme="minorHAnsi"/>
          <w:i/>
        </w:rPr>
        <w:t>Annales Cambriae</w:t>
      </w:r>
      <w:r w:rsidR="00C93239">
        <w:rPr>
          <w:rFonts w:cstheme="minorHAnsi"/>
          <w:i/>
        </w:rPr>
        <w:t xml:space="preserve"> </w:t>
      </w:r>
      <w:r w:rsidR="00C93239">
        <w:rPr>
          <w:rFonts w:cstheme="minorHAnsi"/>
        </w:rPr>
        <w:t>offer</w:t>
      </w:r>
      <w:r w:rsidR="00414799">
        <w:rPr>
          <w:rFonts w:cstheme="minorHAnsi"/>
        </w:rPr>
        <w:t>s</w:t>
      </w:r>
      <w:r w:rsidR="00C93239">
        <w:rPr>
          <w:rFonts w:cstheme="minorHAnsi"/>
        </w:rPr>
        <w:t xml:space="preserve"> the best evidence for a historical Arthur</w:t>
      </w:r>
      <w:r w:rsidR="00C93239">
        <w:rPr>
          <w:rStyle w:val="FootnoteReference"/>
          <w:rFonts w:cstheme="minorHAnsi"/>
        </w:rPr>
        <w:footnoteReference w:id="7"/>
      </w:r>
      <w:r w:rsidR="00546746">
        <w:rPr>
          <w:rFonts w:cstheme="minorHAnsi"/>
        </w:rPr>
        <w:t>:</w:t>
      </w:r>
      <w:r w:rsidR="00546746" w:rsidRPr="00546746">
        <w:rPr>
          <w:rFonts w:cstheme="minorHAnsi"/>
          <w:i/>
        </w:rPr>
        <w:t xml:space="preserve"> </w:t>
      </w:r>
    </w:p>
    <w:p w14:paraId="7BB156C1" w14:textId="65EE246B" w:rsidR="00546746" w:rsidRPr="00E64400" w:rsidRDefault="00546746" w:rsidP="00546746">
      <w:pPr>
        <w:spacing w:before="100" w:beforeAutospacing="1" w:after="100" w:afterAutospacing="1"/>
        <w:ind w:left="1440"/>
        <w:rPr>
          <w:rFonts w:cstheme="minorHAnsi"/>
          <w:i/>
        </w:rPr>
      </w:pPr>
      <w:r>
        <w:rPr>
          <w:rFonts w:cstheme="minorHAnsi"/>
          <w:i/>
        </w:rPr>
        <w:t xml:space="preserve">An (nus xciii). </w:t>
      </w:r>
      <w:r w:rsidRPr="00A7760F">
        <w:rPr>
          <w:rFonts w:cstheme="minorHAnsi"/>
          <w:i/>
        </w:rPr>
        <w:t>Gueith camlann in qua arthur et medraut corruerunt</w:t>
      </w:r>
      <w:r>
        <w:rPr>
          <w:rFonts w:cstheme="minorHAnsi"/>
          <w:i/>
        </w:rPr>
        <w:t xml:space="preserve">                               </w:t>
      </w:r>
      <w:r>
        <w:rPr>
          <w:rFonts w:cstheme="minorHAnsi"/>
        </w:rPr>
        <w:t>Year 93. Strife of Camlann in which Arthur and Modred perished.</w:t>
      </w:r>
    </w:p>
    <w:p w14:paraId="6F0E329F" w14:textId="196C5012" w:rsidR="008773CE" w:rsidRDefault="00414799" w:rsidP="00120A64">
      <w:pPr>
        <w:spacing w:before="100" w:beforeAutospacing="1" w:after="100" w:afterAutospacing="1" w:line="480" w:lineRule="auto"/>
        <w:rPr>
          <w:rFonts w:cstheme="minorHAnsi"/>
        </w:rPr>
      </w:pPr>
      <w:r>
        <w:rPr>
          <w:rFonts w:cstheme="minorHAnsi"/>
        </w:rPr>
        <w:lastRenderedPageBreak/>
        <w:t>He</w:t>
      </w:r>
      <w:r w:rsidR="00546746">
        <w:rPr>
          <w:rFonts w:cstheme="minorHAnsi"/>
        </w:rPr>
        <w:t xml:space="preserve"> proceeds</w:t>
      </w:r>
      <w:r w:rsidR="00B8728C">
        <w:rPr>
          <w:rFonts w:cstheme="minorHAnsi"/>
        </w:rPr>
        <w:t xml:space="preserve">, from this </w:t>
      </w:r>
      <w:r w:rsidR="00C93239">
        <w:rPr>
          <w:rFonts w:cstheme="minorHAnsi"/>
        </w:rPr>
        <w:t>assumption</w:t>
      </w:r>
      <w:r w:rsidR="00B8728C">
        <w:rPr>
          <w:rFonts w:cstheme="minorHAnsi"/>
        </w:rPr>
        <w:t>,</w:t>
      </w:r>
      <w:r w:rsidR="00546746">
        <w:rPr>
          <w:rFonts w:cstheme="minorHAnsi"/>
        </w:rPr>
        <w:t xml:space="preserve"> to construct</w:t>
      </w:r>
      <w:r w:rsidR="00546746" w:rsidRPr="00546746">
        <w:rPr>
          <w:rFonts w:cstheme="minorHAnsi"/>
        </w:rPr>
        <w:t xml:space="preserve"> </w:t>
      </w:r>
      <w:r w:rsidR="00546746">
        <w:rPr>
          <w:rFonts w:cstheme="minorHAnsi"/>
        </w:rPr>
        <w:t>a</w:t>
      </w:r>
      <w:r w:rsidR="00B8728C">
        <w:rPr>
          <w:rFonts w:cstheme="minorHAnsi"/>
        </w:rPr>
        <w:t>n</w:t>
      </w:r>
      <w:r w:rsidR="00546746">
        <w:rPr>
          <w:rFonts w:cstheme="minorHAnsi"/>
        </w:rPr>
        <w:t xml:space="preserve"> historical framework for Arthur from his analysis of the archaeological evidence, including his excavation at Cadbury Castle </w:t>
      </w:r>
      <w:r w:rsidR="00970685">
        <w:rPr>
          <w:rFonts w:cstheme="minorHAnsi"/>
        </w:rPr>
        <w:t>(</w:t>
      </w:r>
      <w:r w:rsidR="00546746">
        <w:rPr>
          <w:rFonts w:cstheme="minorHAnsi"/>
        </w:rPr>
        <w:t>Camelot</w:t>
      </w:r>
      <w:r w:rsidR="00970685">
        <w:rPr>
          <w:rFonts w:cstheme="minorHAnsi"/>
        </w:rPr>
        <w:t>)</w:t>
      </w:r>
      <w:r w:rsidR="00546746">
        <w:rPr>
          <w:rFonts w:cstheme="minorHAnsi"/>
        </w:rPr>
        <w:t>.</w:t>
      </w:r>
      <w:r w:rsidR="00F2227D">
        <w:rPr>
          <w:rFonts w:cstheme="minorHAnsi"/>
        </w:rPr>
        <w:t xml:space="preserve"> </w:t>
      </w:r>
      <w:r w:rsidR="007758AF">
        <w:rPr>
          <w:rFonts w:cstheme="minorHAnsi"/>
        </w:rPr>
        <w:t>While his description of the</w:t>
      </w:r>
      <w:r w:rsidR="00F2227D">
        <w:rPr>
          <w:rFonts w:cstheme="minorHAnsi"/>
        </w:rPr>
        <w:t xml:space="preserve"> </w:t>
      </w:r>
      <w:r w:rsidR="007758AF">
        <w:rPr>
          <w:rFonts w:cstheme="minorHAnsi"/>
        </w:rPr>
        <w:t>post-Roman environment</w:t>
      </w:r>
      <w:r w:rsidR="00E769B0">
        <w:rPr>
          <w:rFonts w:cstheme="minorHAnsi"/>
        </w:rPr>
        <w:t>,</w:t>
      </w:r>
      <w:r w:rsidR="00CF747A">
        <w:rPr>
          <w:rFonts w:cstheme="minorHAnsi"/>
        </w:rPr>
        <w:t xml:space="preserve"> </w:t>
      </w:r>
      <w:r w:rsidR="00E769B0">
        <w:rPr>
          <w:rFonts w:cstheme="minorHAnsi"/>
        </w:rPr>
        <w:t xml:space="preserve">said to be occupied by </w:t>
      </w:r>
      <w:r w:rsidR="007758AF">
        <w:rPr>
          <w:rFonts w:cstheme="minorHAnsi"/>
        </w:rPr>
        <w:t xml:space="preserve"> Arthur</w:t>
      </w:r>
      <w:r w:rsidR="00E769B0">
        <w:rPr>
          <w:rFonts w:cstheme="minorHAnsi"/>
        </w:rPr>
        <w:t>,</w:t>
      </w:r>
      <w:r w:rsidR="00F2227D">
        <w:rPr>
          <w:rFonts w:cstheme="minorHAnsi"/>
        </w:rPr>
        <w:t xml:space="preserve"> is convincing</w:t>
      </w:r>
      <w:r w:rsidR="0080785B">
        <w:rPr>
          <w:rFonts w:cstheme="minorHAnsi"/>
        </w:rPr>
        <w:t xml:space="preserve"> and important to the debate</w:t>
      </w:r>
      <w:r w:rsidR="00F2227D">
        <w:rPr>
          <w:rFonts w:cstheme="minorHAnsi"/>
        </w:rPr>
        <w:t>, the</w:t>
      </w:r>
      <w:r w:rsidR="007758AF">
        <w:rPr>
          <w:rFonts w:cstheme="minorHAnsi"/>
        </w:rPr>
        <w:t>re is no</w:t>
      </w:r>
      <w:r w:rsidR="00384F78">
        <w:rPr>
          <w:rFonts w:cstheme="minorHAnsi"/>
        </w:rPr>
        <w:t>thing to</w:t>
      </w:r>
      <w:r w:rsidR="00F2227D">
        <w:rPr>
          <w:rFonts w:cstheme="minorHAnsi"/>
        </w:rPr>
        <w:t xml:space="preserve"> link </w:t>
      </w:r>
      <w:r w:rsidR="00384F78">
        <w:rPr>
          <w:rFonts w:cstheme="minorHAnsi"/>
        </w:rPr>
        <w:t>the archaeological evidence directly with</w:t>
      </w:r>
      <w:r w:rsidR="00F2227D">
        <w:rPr>
          <w:rFonts w:cstheme="minorHAnsi"/>
        </w:rPr>
        <w:t xml:space="preserve"> </w:t>
      </w:r>
      <w:r w:rsidR="00384F78">
        <w:rPr>
          <w:rFonts w:cstheme="minorHAnsi"/>
        </w:rPr>
        <w:t>him</w:t>
      </w:r>
      <w:r w:rsidR="0080785B">
        <w:rPr>
          <w:rFonts w:cstheme="minorHAnsi"/>
        </w:rPr>
        <w:t>.</w:t>
      </w:r>
      <w:r w:rsidR="00577410">
        <w:rPr>
          <w:rFonts w:cstheme="minorHAnsi"/>
        </w:rPr>
        <w:t xml:space="preserve"> </w:t>
      </w:r>
      <w:r w:rsidR="00EE3119" w:rsidRPr="00C87392">
        <w:rPr>
          <w:rFonts w:cstheme="minorHAnsi"/>
        </w:rPr>
        <w:t>Arthurian topography, too, is a subject which offers little or no substanti</w:t>
      </w:r>
      <w:r w:rsidR="00EE3119">
        <w:rPr>
          <w:rFonts w:cstheme="minorHAnsi"/>
        </w:rPr>
        <w:t>ve</w:t>
      </w:r>
      <w:r w:rsidR="00EE3119" w:rsidRPr="00C87392">
        <w:rPr>
          <w:rFonts w:cstheme="minorHAnsi"/>
        </w:rPr>
        <w:t xml:space="preserve"> evidence </w:t>
      </w:r>
      <w:r w:rsidR="00E769B0">
        <w:rPr>
          <w:rFonts w:cstheme="minorHAnsi"/>
        </w:rPr>
        <w:t>for</w:t>
      </w:r>
      <w:r w:rsidR="00EE3119" w:rsidRPr="00C87392">
        <w:rPr>
          <w:rFonts w:cstheme="minorHAnsi"/>
        </w:rPr>
        <w:t xml:space="preserve"> </w:t>
      </w:r>
      <w:r w:rsidR="00EE3119">
        <w:rPr>
          <w:rFonts w:cstheme="minorHAnsi"/>
        </w:rPr>
        <w:t xml:space="preserve">a </w:t>
      </w:r>
      <w:r w:rsidR="00EE3119" w:rsidRPr="00C87392">
        <w:rPr>
          <w:rFonts w:cstheme="minorHAnsi"/>
        </w:rPr>
        <w:t>historical Arthur</w:t>
      </w:r>
      <w:r w:rsidR="00EE3119" w:rsidRPr="00C87392">
        <w:rPr>
          <w:rStyle w:val="FootnoteReference"/>
          <w:rFonts w:cstheme="minorHAnsi"/>
        </w:rPr>
        <w:footnoteReference w:id="8"/>
      </w:r>
      <w:r w:rsidR="00EE3119">
        <w:rPr>
          <w:rFonts w:cstheme="minorHAnsi"/>
        </w:rPr>
        <w:t xml:space="preserve">, being more often </w:t>
      </w:r>
      <w:r w:rsidR="002C6726">
        <w:rPr>
          <w:rFonts w:cstheme="minorHAnsi"/>
        </w:rPr>
        <w:t xml:space="preserve">the result </w:t>
      </w:r>
      <w:r w:rsidR="00EE3119">
        <w:rPr>
          <w:rFonts w:cstheme="minorHAnsi"/>
        </w:rPr>
        <w:t>of</w:t>
      </w:r>
      <w:r w:rsidR="002C6726">
        <w:rPr>
          <w:rFonts w:cstheme="minorHAnsi"/>
        </w:rPr>
        <w:t xml:space="preserve"> associating</w:t>
      </w:r>
      <w:r w:rsidR="00EE3119">
        <w:rPr>
          <w:rFonts w:cstheme="minorHAnsi"/>
        </w:rPr>
        <w:t xml:space="preserve"> Arthurian mythology </w:t>
      </w:r>
      <w:r w:rsidR="002C6726">
        <w:rPr>
          <w:rFonts w:cstheme="minorHAnsi"/>
        </w:rPr>
        <w:t>with</w:t>
      </w:r>
      <w:r w:rsidR="00EE3119">
        <w:rPr>
          <w:rFonts w:cstheme="minorHAnsi"/>
        </w:rPr>
        <w:t xml:space="preserve"> dramatic places in the landscape</w:t>
      </w:r>
      <w:r w:rsidR="00EE3119">
        <w:rPr>
          <w:rStyle w:val="FootnoteReference"/>
          <w:rFonts w:cstheme="minorHAnsi"/>
        </w:rPr>
        <w:footnoteReference w:id="9"/>
      </w:r>
      <w:r w:rsidR="00CA7D26">
        <w:rPr>
          <w:rFonts w:cstheme="minorHAnsi"/>
        </w:rPr>
        <w:t>.</w:t>
      </w:r>
      <w:r w:rsidR="00962A1F">
        <w:rPr>
          <w:rFonts w:cstheme="minorHAnsi"/>
        </w:rPr>
        <w:t xml:space="preserve"> </w:t>
      </w:r>
      <w:r w:rsidR="00CA7D26">
        <w:rPr>
          <w:rFonts w:cstheme="minorHAnsi"/>
        </w:rPr>
        <w:t>T</w:t>
      </w:r>
      <w:r w:rsidR="00962A1F">
        <w:rPr>
          <w:rFonts w:cstheme="minorHAnsi"/>
        </w:rPr>
        <w:t>he</w:t>
      </w:r>
      <w:r w:rsidR="00C93239">
        <w:rPr>
          <w:rFonts w:cstheme="minorHAnsi"/>
        </w:rPr>
        <w:t xml:space="preserve"> </w:t>
      </w:r>
      <w:r w:rsidR="00C93239" w:rsidRPr="00680A77">
        <w:rPr>
          <w:rFonts w:cstheme="minorHAnsi"/>
          <w:i/>
        </w:rPr>
        <w:t>Englynion y Beddau</w:t>
      </w:r>
      <w:r w:rsidR="00680A77">
        <w:rPr>
          <w:rFonts w:cstheme="minorHAnsi"/>
        </w:rPr>
        <w:t>,</w:t>
      </w:r>
      <w:r w:rsidR="00C93239">
        <w:rPr>
          <w:rFonts w:cstheme="minorHAnsi"/>
        </w:rPr>
        <w:t xml:space="preserve"> </w:t>
      </w:r>
      <w:r w:rsidR="00CA7D26">
        <w:rPr>
          <w:rFonts w:cstheme="minorHAnsi"/>
        </w:rPr>
        <w:t>for example, stress</w:t>
      </w:r>
      <w:r w:rsidR="00C93239">
        <w:rPr>
          <w:rFonts w:cstheme="minorHAnsi"/>
        </w:rPr>
        <w:t xml:space="preserve"> the close association of </w:t>
      </w:r>
      <w:r w:rsidR="00680A77">
        <w:rPr>
          <w:rFonts w:cstheme="minorHAnsi"/>
        </w:rPr>
        <w:t>heroes with places</w:t>
      </w:r>
      <w:r w:rsidR="00680A77">
        <w:rPr>
          <w:rStyle w:val="FootnoteReference"/>
          <w:rFonts w:cstheme="minorHAnsi"/>
        </w:rPr>
        <w:footnoteReference w:id="10"/>
      </w:r>
      <w:r w:rsidR="00CA7D26">
        <w:rPr>
          <w:rFonts w:cstheme="minorHAnsi"/>
        </w:rPr>
        <w:t xml:space="preserve"> which, although unacceptable as proof of Arthur’s existence, do</w:t>
      </w:r>
      <w:r w:rsidR="00CF747A">
        <w:rPr>
          <w:rFonts w:cstheme="minorHAnsi"/>
        </w:rPr>
        <w:t xml:space="preserve"> reveal something of</w:t>
      </w:r>
      <w:r w:rsidR="00CA7D26">
        <w:rPr>
          <w:rFonts w:cstheme="minorHAnsi"/>
        </w:rPr>
        <w:t xml:space="preserve"> his</w:t>
      </w:r>
      <w:r w:rsidR="00CF747A">
        <w:rPr>
          <w:rFonts w:cstheme="minorHAnsi"/>
        </w:rPr>
        <w:t xml:space="preserve"> importance </w:t>
      </w:r>
      <w:r w:rsidR="00B84415">
        <w:rPr>
          <w:rFonts w:cstheme="minorHAnsi"/>
        </w:rPr>
        <w:t>to local people</w:t>
      </w:r>
      <w:r w:rsidR="0080785B">
        <w:rPr>
          <w:rFonts w:cstheme="minorHAnsi"/>
        </w:rPr>
        <w:t xml:space="preserve"> so, like the archaeological evidence</w:t>
      </w:r>
      <w:r w:rsidR="00851C2C">
        <w:rPr>
          <w:rFonts w:cstheme="minorHAnsi"/>
        </w:rPr>
        <w:t>, these pieces begin to create a context for Arthur.</w:t>
      </w:r>
    </w:p>
    <w:p w14:paraId="081A91F4" w14:textId="02D3504B" w:rsidR="00B45214" w:rsidRDefault="00851C2C" w:rsidP="00120A64">
      <w:pPr>
        <w:spacing w:before="100" w:beforeAutospacing="1" w:after="100" w:afterAutospacing="1" w:line="480" w:lineRule="auto"/>
        <w:rPr>
          <w:rFonts w:eastAsia="Times New Roman" w:cstheme="minorHAnsi"/>
          <w:color w:val="373A3C"/>
        </w:rPr>
      </w:pPr>
      <w:r>
        <w:rPr>
          <w:rFonts w:eastAsia="Times New Roman" w:cstheme="minorHAnsi"/>
          <w:color w:val="373A3C"/>
        </w:rPr>
        <w:t xml:space="preserve">Proof of his existence is reliant </w:t>
      </w:r>
      <w:r w:rsidR="001B412B">
        <w:rPr>
          <w:rFonts w:eastAsia="Times New Roman" w:cstheme="minorHAnsi"/>
          <w:color w:val="373A3C"/>
        </w:rPr>
        <w:t xml:space="preserve">therefore, </w:t>
      </w:r>
      <w:r>
        <w:rPr>
          <w:rFonts w:eastAsia="Times New Roman" w:cstheme="minorHAnsi"/>
          <w:color w:val="373A3C"/>
        </w:rPr>
        <w:t xml:space="preserve">on </w:t>
      </w:r>
      <w:r w:rsidR="00C004E8">
        <w:rPr>
          <w:rFonts w:eastAsia="Times New Roman" w:cstheme="minorHAnsi"/>
          <w:color w:val="373A3C"/>
        </w:rPr>
        <w:t xml:space="preserve">a small number of manuscripts </w:t>
      </w:r>
      <w:r w:rsidR="003D1617">
        <w:rPr>
          <w:rFonts w:eastAsia="Times New Roman" w:cstheme="minorHAnsi"/>
          <w:color w:val="373A3C"/>
        </w:rPr>
        <w:t>from the Celtic regions of Britain and Europe</w:t>
      </w:r>
      <w:r w:rsidR="00512158">
        <w:rPr>
          <w:rFonts w:eastAsia="Times New Roman" w:cstheme="minorHAnsi"/>
          <w:color w:val="373A3C"/>
        </w:rPr>
        <w:t>,</w:t>
      </w:r>
      <w:r w:rsidR="003D1617">
        <w:rPr>
          <w:rFonts w:eastAsia="Times New Roman" w:cstheme="minorHAnsi"/>
          <w:color w:val="373A3C"/>
        </w:rPr>
        <w:t xml:space="preserve"> </w:t>
      </w:r>
      <w:r w:rsidR="007729E7">
        <w:rPr>
          <w:rFonts w:eastAsia="Times New Roman" w:cstheme="minorHAnsi"/>
          <w:color w:val="373A3C"/>
        </w:rPr>
        <w:t>the earliest</w:t>
      </w:r>
      <w:r w:rsidR="00B8728C">
        <w:rPr>
          <w:rFonts w:eastAsia="Times New Roman" w:cstheme="minorHAnsi"/>
          <w:color w:val="373A3C"/>
        </w:rPr>
        <w:t xml:space="preserve"> of which</w:t>
      </w:r>
      <w:r w:rsidR="00512158">
        <w:rPr>
          <w:rFonts w:eastAsia="Times New Roman" w:cstheme="minorHAnsi"/>
          <w:color w:val="373A3C"/>
        </w:rPr>
        <w:t>,</w:t>
      </w:r>
      <w:r w:rsidR="00251B86" w:rsidRPr="00251B86">
        <w:rPr>
          <w:rFonts w:eastAsia="Times New Roman" w:cstheme="minorHAnsi"/>
          <w:i/>
          <w:color w:val="373A3C"/>
        </w:rPr>
        <w:t xml:space="preserve"> </w:t>
      </w:r>
      <w:r w:rsidR="00251B86" w:rsidRPr="00FB214B">
        <w:rPr>
          <w:rFonts w:eastAsia="Times New Roman" w:cstheme="minorHAnsi"/>
          <w:i/>
          <w:color w:val="373A3C"/>
        </w:rPr>
        <w:t>De Excidio Brit</w:t>
      </w:r>
      <w:r w:rsidR="00251B86">
        <w:rPr>
          <w:rFonts w:eastAsia="Times New Roman" w:cstheme="minorHAnsi"/>
          <w:i/>
          <w:color w:val="373A3C"/>
        </w:rPr>
        <w:t>anniae,</w:t>
      </w:r>
      <w:r w:rsidR="007729E7">
        <w:rPr>
          <w:rFonts w:eastAsia="Times New Roman" w:cstheme="minorHAnsi"/>
          <w:color w:val="373A3C"/>
        </w:rPr>
        <w:t xml:space="preserve"> </w:t>
      </w:r>
      <w:r w:rsidR="00465B39">
        <w:rPr>
          <w:rFonts w:eastAsia="Times New Roman" w:cstheme="minorHAnsi"/>
          <w:color w:val="373A3C"/>
        </w:rPr>
        <w:t xml:space="preserve">was written by Gildas in </w:t>
      </w:r>
      <w:r w:rsidR="00512158">
        <w:rPr>
          <w:rFonts w:eastAsia="Times New Roman" w:cstheme="minorHAnsi"/>
          <w:color w:val="373A3C"/>
        </w:rPr>
        <w:t>the mid-sixth-century</w:t>
      </w:r>
      <w:r w:rsidR="003D1617">
        <w:rPr>
          <w:rFonts w:eastAsia="Times New Roman" w:cstheme="minorHAnsi"/>
          <w:color w:val="373A3C"/>
        </w:rPr>
        <w:t xml:space="preserve">. A time when Britain, without the military protection of the Roman empire, and reverting to the fragmented tribal structure </w:t>
      </w:r>
      <w:r w:rsidR="00962A1F">
        <w:rPr>
          <w:rFonts w:eastAsia="Times New Roman" w:cstheme="minorHAnsi"/>
          <w:color w:val="373A3C"/>
        </w:rPr>
        <w:t xml:space="preserve">which </w:t>
      </w:r>
      <w:r w:rsidR="003D1617">
        <w:rPr>
          <w:rFonts w:eastAsia="Times New Roman" w:cstheme="minorHAnsi"/>
          <w:color w:val="373A3C"/>
        </w:rPr>
        <w:t>exist</w:t>
      </w:r>
      <w:r w:rsidR="00962A1F">
        <w:rPr>
          <w:rFonts w:eastAsia="Times New Roman" w:cstheme="minorHAnsi"/>
          <w:color w:val="373A3C"/>
        </w:rPr>
        <w:t>ed</w:t>
      </w:r>
      <w:r w:rsidR="003D1617">
        <w:rPr>
          <w:rFonts w:eastAsia="Times New Roman" w:cstheme="minorHAnsi"/>
          <w:color w:val="373A3C"/>
        </w:rPr>
        <w:t xml:space="preserve"> prior to the Roman occupation, found itself standing alone and in need of a leader </w:t>
      </w:r>
      <w:r w:rsidR="00B8728C">
        <w:rPr>
          <w:rFonts w:eastAsia="Times New Roman" w:cstheme="minorHAnsi"/>
          <w:color w:val="373A3C"/>
        </w:rPr>
        <w:t>able to</w:t>
      </w:r>
      <w:r w:rsidR="003D1617">
        <w:rPr>
          <w:rFonts w:eastAsia="Times New Roman" w:cstheme="minorHAnsi"/>
          <w:color w:val="373A3C"/>
        </w:rPr>
        <w:t xml:space="preserve"> unite them against foreign, notably Saxon, invaders. Dumville</w:t>
      </w:r>
      <w:r w:rsidR="00E33114">
        <w:rPr>
          <w:rStyle w:val="FootnoteReference"/>
          <w:rFonts w:eastAsia="Times New Roman" w:cstheme="minorHAnsi"/>
          <w:color w:val="373A3C"/>
        </w:rPr>
        <w:footnoteReference w:id="11"/>
      </w:r>
      <w:r w:rsidR="00C004E8">
        <w:rPr>
          <w:rFonts w:eastAsia="Times New Roman" w:cstheme="minorHAnsi"/>
          <w:color w:val="373A3C"/>
        </w:rPr>
        <w:t xml:space="preserve"> </w:t>
      </w:r>
      <w:r w:rsidR="00465B39">
        <w:rPr>
          <w:rFonts w:eastAsia="Times New Roman" w:cstheme="minorHAnsi"/>
          <w:color w:val="373A3C"/>
        </w:rPr>
        <w:t xml:space="preserve">rejects </w:t>
      </w:r>
      <w:r w:rsidR="00251B86">
        <w:rPr>
          <w:rFonts w:eastAsia="Times New Roman" w:cstheme="minorHAnsi"/>
          <w:color w:val="373A3C"/>
        </w:rPr>
        <w:t>this</w:t>
      </w:r>
      <w:r w:rsidR="00930DA1">
        <w:rPr>
          <w:rFonts w:cstheme="minorHAnsi"/>
        </w:rPr>
        <w:t xml:space="preserve"> </w:t>
      </w:r>
      <w:r w:rsidR="00962A1F">
        <w:rPr>
          <w:rFonts w:cstheme="minorHAnsi"/>
        </w:rPr>
        <w:t>text</w:t>
      </w:r>
      <w:r w:rsidR="00465B39">
        <w:rPr>
          <w:rFonts w:cstheme="minorHAnsi"/>
        </w:rPr>
        <w:t xml:space="preserve"> </w:t>
      </w:r>
      <w:r w:rsidR="00930DA1">
        <w:rPr>
          <w:rFonts w:eastAsia="Times New Roman" w:cstheme="minorHAnsi"/>
          <w:color w:val="373A3C"/>
        </w:rPr>
        <w:t>as</w:t>
      </w:r>
      <w:r w:rsidR="0078411F">
        <w:rPr>
          <w:rFonts w:cstheme="minorHAnsi"/>
        </w:rPr>
        <w:t xml:space="preserve"> it</w:t>
      </w:r>
      <w:r w:rsidR="00881515">
        <w:rPr>
          <w:rFonts w:cstheme="minorHAnsi"/>
        </w:rPr>
        <w:t xml:space="preserve"> </w:t>
      </w:r>
      <w:r w:rsidR="00C37233">
        <w:rPr>
          <w:rFonts w:cstheme="minorHAnsi"/>
        </w:rPr>
        <w:t xml:space="preserve">doesn’t mention </w:t>
      </w:r>
      <w:r w:rsidR="00881515">
        <w:rPr>
          <w:rFonts w:cstheme="minorHAnsi"/>
        </w:rPr>
        <w:t>Arthur</w:t>
      </w:r>
      <w:r w:rsidR="00C37233">
        <w:rPr>
          <w:rFonts w:cstheme="minorHAnsi"/>
        </w:rPr>
        <w:t xml:space="preserve"> directly</w:t>
      </w:r>
      <w:r w:rsidR="00A75852">
        <w:rPr>
          <w:rFonts w:cstheme="minorHAnsi"/>
        </w:rPr>
        <w:t xml:space="preserve"> and</w:t>
      </w:r>
      <w:r w:rsidR="002F62C4">
        <w:rPr>
          <w:rFonts w:cstheme="minorHAnsi"/>
        </w:rPr>
        <w:t xml:space="preserve"> </w:t>
      </w:r>
      <w:r w:rsidR="00141353">
        <w:rPr>
          <w:rFonts w:cstheme="minorHAnsi"/>
        </w:rPr>
        <w:t>was written</w:t>
      </w:r>
      <w:r w:rsidR="007E00BC">
        <w:rPr>
          <w:rFonts w:cstheme="minorHAnsi"/>
        </w:rPr>
        <w:t>, not</w:t>
      </w:r>
      <w:r w:rsidR="00141353">
        <w:rPr>
          <w:rFonts w:cstheme="minorHAnsi"/>
        </w:rPr>
        <w:t xml:space="preserve"> as history </w:t>
      </w:r>
      <w:r w:rsidR="007A0FF6">
        <w:rPr>
          <w:rFonts w:eastAsia="Times New Roman" w:cstheme="minorHAnsi"/>
          <w:color w:val="373A3C"/>
        </w:rPr>
        <w:t xml:space="preserve">but to set the context for </w:t>
      </w:r>
      <w:r w:rsidR="00D610B0">
        <w:rPr>
          <w:rFonts w:eastAsia="Times New Roman" w:cstheme="minorHAnsi"/>
          <w:color w:val="373A3C"/>
        </w:rPr>
        <w:t>a</w:t>
      </w:r>
      <w:r w:rsidR="007A0FF6">
        <w:rPr>
          <w:rFonts w:eastAsia="Times New Roman" w:cstheme="minorHAnsi"/>
          <w:color w:val="373A3C"/>
        </w:rPr>
        <w:t xml:space="preserve"> moralistic diatribe against the rulers and clergy of fifth century Britain</w:t>
      </w:r>
      <w:r w:rsidR="007A0FF6">
        <w:rPr>
          <w:rStyle w:val="FootnoteReference"/>
          <w:rFonts w:eastAsia="Times New Roman" w:cstheme="minorHAnsi"/>
          <w:color w:val="373A3C"/>
        </w:rPr>
        <w:footnoteReference w:id="12"/>
      </w:r>
      <w:r w:rsidR="00A75852">
        <w:rPr>
          <w:rFonts w:cstheme="minorHAnsi"/>
        </w:rPr>
        <w:t>.</w:t>
      </w:r>
      <w:r w:rsidR="00465B39" w:rsidRPr="00465B39">
        <w:rPr>
          <w:rFonts w:cstheme="minorHAnsi"/>
        </w:rPr>
        <w:t xml:space="preserve"> </w:t>
      </w:r>
      <w:r>
        <w:rPr>
          <w:rFonts w:cstheme="minorHAnsi"/>
        </w:rPr>
        <w:t>L</w:t>
      </w:r>
      <w:r w:rsidR="00465B39">
        <w:rPr>
          <w:rFonts w:cstheme="minorHAnsi"/>
        </w:rPr>
        <w:t>ater writers</w:t>
      </w:r>
      <w:r>
        <w:rPr>
          <w:rFonts w:cstheme="minorHAnsi"/>
        </w:rPr>
        <w:t>, however, depend on Gildas for their</w:t>
      </w:r>
      <w:r w:rsidR="00465B39">
        <w:rPr>
          <w:rFonts w:cstheme="minorHAnsi"/>
        </w:rPr>
        <w:t xml:space="preserve"> accounts of the conflict between the Britons and the Anglo-Saxons. </w:t>
      </w:r>
      <w:r>
        <w:rPr>
          <w:rFonts w:cstheme="minorHAnsi"/>
        </w:rPr>
        <w:t>He</w:t>
      </w:r>
      <w:r w:rsidR="00465B39">
        <w:rPr>
          <w:rFonts w:cstheme="minorHAnsi"/>
        </w:rPr>
        <w:t xml:space="preserve"> gives </w:t>
      </w:r>
      <w:r w:rsidR="00465B39">
        <w:rPr>
          <w:rFonts w:cstheme="minorHAnsi"/>
        </w:rPr>
        <w:lastRenderedPageBreak/>
        <w:t xml:space="preserve">us the names of a leader (Ambrosius Aurelianus) and a battle </w:t>
      </w:r>
      <w:r w:rsidR="00465B39" w:rsidRPr="00C046F1">
        <w:rPr>
          <w:rFonts w:eastAsia="Times New Roman" w:cstheme="minorHAnsi"/>
          <w:i/>
          <w:color w:val="373A3C"/>
        </w:rPr>
        <w:t>Mons Badonicus</w:t>
      </w:r>
      <w:r w:rsidR="00465B39">
        <w:rPr>
          <w:rStyle w:val="FootnoteReference"/>
          <w:rFonts w:eastAsia="Times New Roman" w:cstheme="minorHAnsi"/>
          <w:i/>
          <w:color w:val="373A3C"/>
        </w:rPr>
        <w:footnoteReference w:id="13"/>
      </w:r>
      <w:r w:rsidR="00465B39">
        <w:rPr>
          <w:rFonts w:cstheme="minorHAnsi"/>
        </w:rPr>
        <w:t xml:space="preserve"> (Badon Hill), but little else</w:t>
      </w:r>
      <w:r w:rsidR="00465B39">
        <w:rPr>
          <w:rStyle w:val="FootnoteReference"/>
          <w:rFonts w:cstheme="minorHAnsi"/>
        </w:rPr>
        <w:footnoteReference w:id="14"/>
      </w:r>
      <w:r w:rsidR="00465B39">
        <w:rPr>
          <w:rFonts w:cstheme="minorHAnsi"/>
        </w:rPr>
        <w:t xml:space="preserve"> </w:t>
      </w:r>
      <w:r w:rsidR="00D55BA8">
        <w:rPr>
          <w:rFonts w:cstheme="minorHAnsi"/>
        </w:rPr>
        <w:t>leaving</w:t>
      </w:r>
      <w:r w:rsidR="00465B39">
        <w:rPr>
          <w:rFonts w:cstheme="minorHAnsi"/>
        </w:rPr>
        <w:t xml:space="preserve"> </w:t>
      </w:r>
      <w:r w:rsidR="007B35E0">
        <w:rPr>
          <w:rFonts w:cstheme="minorHAnsi"/>
        </w:rPr>
        <w:t xml:space="preserve">the </w:t>
      </w:r>
      <w:r w:rsidR="00465B39">
        <w:rPr>
          <w:rFonts w:cstheme="minorHAnsi"/>
        </w:rPr>
        <w:t>identity of subsequent British leaders, including Arthur, open to speculation</w:t>
      </w:r>
      <w:r w:rsidR="00465B39">
        <w:rPr>
          <w:rFonts w:eastAsia="Times New Roman" w:cstheme="minorHAnsi"/>
          <w:color w:val="373A3C"/>
        </w:rPr>
        <w:t>.</w:t>
      </w:r>
      <w:r w:rsidR="00465B39" w:rsidRPr="00930DA1">
        <w:rPr>
          <w:rFonts w:cstheme="minorHAnsi"/>
        </w:rPr>
        <w:t xml:space="preserve"> </w:t>
      </w:r>
      <w:r w:rsidR="004B1A68">
        <w:rPr>
          <w:rFonts w:cstheme="minorHAnsi"/>
        </w:rPr>
        <w:t xml:space="preserve">This leaves only four texts for consideration: the </w:t>
      </w:r>
      <w:r w:rsidR="004B1A68" w:rsidRPr="006F0E1C">
        <w:rPr>
          <w:rFonts w:cstheme="minorHAnsi"/>
          <w:i/>
        </w:rPr>
        <w:t>Historia Brittonum</w:t>
      </w:r>
      <w:r w:rsidR="004B1A68">
        <w:rPr>
          <w:rFonts w:cstheme="minorHAnsi"/>
        </w:rPr>
        <w:t xml:space="preserve"> which lists Arthur’s campaigns, an allusion to Arthur in The Gododdin, references to Arthur’s battles in the Annales Cambriae, and four or five Gaelic sources which appear to commemorate the name of Arthur</w:t>
      </w:r>
      <w:r w:rsidR="004B1A68">
        <w:rPr>
          <w:rStyle w:val="FootnoteReference"/>
          <w:rFonts w:cstheme="minorHAnsi"/>
        </w:rPr>
        <w:footnoteReference w:id="15"/>
      </w:r>
      <w:r w:rsidR="004B1A68">
        <w:rPr>
          <w:rFonts w:cstheme="minorHAnsi"/>
        </w:rPr>
        <w:t xml:space="preserve">. </w:t>
      </w:r>
    </w:p>
    <w:p w14:paraId="4E266DF0" w14:textId="4C7C2FE5" w:rsidR="007146E9" w:rsidRDefault="00851C2C" w:rsidP="004A2D25">
      <w:pPr>
        <w:spacing w:before="100" w:beforeAutospacing="1" w:after="100" w:afterAutospacing="1" w:line="480" w:lineRule="auto"/>
        <w:rPr>
          <w:rFonts w:eastAsia="Times New Roman" w:cstheme="minorHAnsi"/>
          <w:color w:val="373A3C"/>
        </w:rPr>
      </w:pPr>
      <w:r>
        <w:rPr>
          <w:rFonts w:eastAsia="Times New Roman" w:cstheme="minorHAnsi"/>
          <w:color w:val="373A3C"/>
        </w:rPr>
        <w:t xml:space="preserve">Even these </w:t>
      </w:r>
      <w:r w:rsidR="00E11DCA">
        <w:rPr>
          <w:rFonts w:eastAsia="Times New Roman" w:cstheme="minorHAnsi"/>
          <w:color w:val="373A3C"/>
        </w:rPr>
        <w:t xml:space="preserve">pieces of the </w:t>
      </w:r>
      <w:r w:rsidR="00205E9C">
        <w:rPr>
          <w:rFonts w:eastAsia="Times New Roman" w:cstheme="minorHAnsi"/>
          <w:color w:val="373A3C"/>
        </w:rPr>
        <w:t>jig-saw</w:t>
      </w:r>
      <w:r w:rsidR="00E11DCA">
        <w:rPr>
          <w:rFonts w:eastAsia="Times New Roman" w:cstheme="minorHAnsi"/>
          <w:color w:val="373A3C"/>
        </w:rPr>
        <w:t xml:space="preserve"> are not original</w:t>
      </w:r>
      <w:r w:rsidR="00F943B5">
        <w:rPr>
          <w:rFonts w:eastAsia="Times New Roman" w:cstheme="minorHAnsi"/>
          <w:color w:val="373A3C"/>
        </w:rPr>
        <w:t>;</w:t>
      </w:r>
      <w:r w:rsidR="002523D8">
        <w:rPr>
          <w:rFonts w:eastAsia="Times New Roman" w:cstheme="minorHAnsi"/>
          <w:color w:val="373A3C"/>
        </w:rPr>
        <w:t xml:space="preserve"> they are </w:t>
      </w:r>
      <w:r w:rsidR="00120A64" w:rsidRPr="00C87392">
        <w:rPr>
          <w:rFonts w:eastAsia="Times New Roman" w:cstheme="minorHAnsi"/>
          <w:color w:val="373A3C"/>
        </w:rPr>
        <w:t xml:space="preserve">copies, translations or interpretations of earlier manuscripts made by </w:t>
      </w:r>
      <w:r w:rsidR="00120A64">
        <w:rPr>
          <w:rFonts w:eastAsia="Times New Roman" w:cstheme="minorHAnsi"/>
          <w:color w:val="373A3C"/>
        </w:rPr>
        <w:t xml:space="preserve">clerics </w:t>
      </w:r>
      <w:r w:rsidR="007E7115">
        <w:rPr>
          <w:rFonts w:eastAsia="Times New Roman" w:cstheme="minorHAnsi"/>
          <w:color w:val="373A3C"/>
        </w:rPr>
        <w:t>with a</w:t>
      </w:r>
      <w:r w:rsidR="00120A64">
        <w:rPr>
          <w:rFonts w:eastAsia="Times New Roman" w:cstheme="minorHAnsi"/>
          <w:color w:val="373A3C"/>
        </w:rPr>
        <w:t xml:space="preserve"> shar</w:t>
      </w:r>
      <w:r w:rsidR="007F1119">
        <w:rPr>
          <w:rFonts w:eastAsia="Times New Roman" w:cstheme="minorHAnsi"/>
          <w:color w:val="373A3C"/>
        </w:rPr>
        <w:t>ed</w:t>
      </w:r>
      <w:r w:rsidR="00120A64">
        <w:rPr>
          <w:rFonts w:eastAsia="Times New Roman" w:cstheme="minorHAnsi"/>
          <w:color w:val="373A3C"/>
        </w:rPr>
        <w:t xml:space="preserve"> culture</w:t>
      </w:r>
      <w:r w:rsidR="007A51DC">
        <w:rPr>
          <w:rFonts w:eastAsia="Times New Roman" w:cstheme="minorHAnsi"/>
          <w:color w:val="373A3C"/>
        </w:rPr>
        <w:t>,</w:t>
      </w:r>
      <w:r w:rsidR="00120A64">
        <w:rPr>
          <w:rFonts w:eastAsia="Times New Roman" w:cstheme="minorHAnsi"/>
          <w:color w:val="373A3C"/>
        </w:rPr>
        <w:t xml:space="preserve"> experience and ethnicity.</w:t>
      </w:r>
      <w:r w:rsidR="00120A64" w:rsidRPr="00C87392">
        <w:rPr>
          <w:rFonts w:eastAsia="Times New Roman" w:cstheme="minorHAnsi"/>
          <w:color w:val="373A3C"/>
        </w:rPr>
        <w:t xml:space="preserve"> </w:t>
      </w:r>
      <w:r w:rsidR="008A2BF9">
        <w:rPr>
          <w:rFonts w:eastAsia="Times New Roman" w:cstheme="minorHAnsi"/>
          <w:color w:val="373A3C"/>
        </w:rPr>
        <w:t xml:space="preserve">Their </w:t>
      </w:r>
      <w:r w:rsidR="00E11DCA">
        <w:rPr>
          <w:rFonts w:eastAsia="Times New Roman" w:cstheme="minorHAnsi"/>
          <w:color w:val="373A3C"/>
        </w:rPr>
        <w:t>facility with</w:t>
      </w:r>
      <w:r w:rsidR="008A2BF9" w:rsidRPr="00C87392">
        <w:rPr>
          <w:rFonts w:eastAsia="Times New Roman" w:cstheme="minorHAnsi"/>
          <w:color w:val="373A3C"/>
        </w:rPr>
        <w:t xml:space="preserve"> Latin and</w:t>
      </w:r>
      <w:r w:rsidR="008A2BF9">
        <w:rPr>
          <w:rFonts w:eastAsia="Times New Roman" w:cstheme="minorHAnsi"/>
          <w:color w:val="373A3C"/>
        </w:rPr>
        <w:t xml:space="preserve"> </w:t>
      </w:r>
      <w:r w:rsidR="008A2BF9" w:rsidRPr="00C87392">
        <w:rPr>
          <w:rFonts w:eastAsia="Times New Roman" w:cstheme="minorHAnsi"/>
          <w:color w:val="373A3C"/>
        </w:rPr>
        <w:t>the surviving</w:t>
      </w:r>
      <w:r w:rsidR="008A2BF9">
        <w:rPr>
          <w:rFonts w:eastAsia="Times New Roman" w:cstheme="minorHAnsi"/>
          <w:color w:val="373A3C"/>
        </w:rPr>
        <w:t xml:space="preserve"> British</w:t>
      </w:r>
      <w:r w:rsidR="008A2BF9" w:rsidRPr="00C87392">
        <w:rPr>
          <w:rFonts w:eastAsia="Times New Roman" w:cstheme="minorHAnsi"/>
          <w:color w:val="373A3C"/>
        </w:rPr>
        <w:t xml:space="preserve"> languages</w:t>
      </w:r>
      <w:r w:rsidR="00120A64">
        <w:rPr>
          <w:rFonts w:eastAsia="Times New Roman" w:cstheme="minorHAnsi"/>
          <w:color w:val="373A3C"/>
        </w:rPr>
        <w:t xml:space="preserve"> </w:t>
      </w:r>
      <w:r w:rsidR="006F0894">
        <w:rPr>
          <w:rFonts w:eastAsia="Times New Roman" w:cstheme="minorHAnsi"/>
          <w:color w:val="373A3C"/>
        </w:rPr>
        <w:t>supported</w:t>
      </w:r>
      <w:r w:rsidR="00611434">
        <w:rPr>
          <w:rFonts w:eastAsia="Times New Roman" w:cstheme="minorHAnsi"/>
          <w:color w:val="373A3C"/>
        </w:rPr>
        <w:t>,</w:t>
      </w:r>
      <w:r w:rsidR="006F0894">
        <w:rPr>
          <w:rFonts w:eastAsia="Times New Roman" w:cstheme="minorHAnsi"/>
          <w:color w:val="373A3C"/>
        </w:rPr>
        <w:t xml:space="preserve"> i</w:t>
      </w:r>
      <w:r w:rsidR="0095698B">
        <w:rPr>
          <w:rFonts w:eastAsia="Times New Roman" w:cstheme="minorHAnsi"/>
          <w:color w:val="373A3C"/>
        </w:rPr>
        <w:t>n</w:t>
      </w:r>
      <w:r w:rsidR="00120A64">
        <w:rPr>
          <w:rFonts w:eastAsia="Times New Roman" w:cstheme="minorHAnsi"/>
          <w:color w:val="373A3C"/>
        </w:rPr>
        <w:t xml:space="preserve"> rare</w:t>
      </w:r>
      <w:r w:rsidR="000B2966">
        <w:rPr>
          <w:rFonts w:eastAsia="Times New Roman" w:cstheme="minorHAnsi"/>
          <w:color w:val="373A3C"/>
        </w:rPr>
        <w:t>r</w:t>
      </w:r>
      <w:r w:rsidR="00120A64">
        <w:rPr>
          <w:rFonts w:eastAsia="Times New Roman" w:cstheme="minorHAnsi"/>
          <w:color w:val="373A3C"/>
        </w:rPr>
        <w:t xml:space="preserve"> cases</w:t>
      </w:r>
      <w:r w:rsidR="00611434">
        <w:rPr>
          <w:rFonts w:eastAsia="Times New Roman" w:cstheme="minorHAnsi"/>
          <w:color w:val="373A3C"/>
        </w:rPr>
        <w:t>,</w:t>
      </w:r>
      <w:r w:rsidR="0095698B">
        <w:rPr>
          <w:rFonts w:eastAsia="Times New Roman" w:cstheme="minorHAnsi"/>
          <w:color w:val="373A3C"/>
        </w:rPr>
        <w:t xml:space="preserve"> by a competence</w:t>
      </w:r>
      <w:r w:rsidR="00120A64">
        <w:rPr>
          <w:rFonts w:eastAsia="Times New Roman" w:cstheme="minorHAnsi"/>
          <w:color w:val="373A3C"/>
        </w:rPr>
        <w:t xml:space="preserve"> </w:t>
      </w:r>
      <w:r w:rsidR="0095698B">
        <w:rPr>
          <w:rFonts w:eastAsia="Times New Roman" w:cstheme="minorHAnsi"/>
          <w:color w:val="373A3C"/>
        </w:rPr>
        <w:t>in</w:t>
      </w:r>
      <w:r w:rsidR="00120A64">
        <w:rPr>
          <w:rFonts w:eastAsia="Times New Roman" w:cstheme="minorHAnsi"/>
          <w:color w:val="373A3C"/>
        </w:rPr>
        <w:t xml:space="preserve"> English (Saxon) </w:t>
      </w:r>
      <w:r w:rsidR="00EE5679">
        <w:rPr>
          <w:rFonts w:eastAsia="Times New Roman" w:cstheme="minorHAnsi"/>
          <w:color w:val="373A3C"/>
        </w:rPr>
        <w:t xml:space="preserve">would have </w:t>
      </w:r>
      <w:r w:rsidR="00120A64">
        <w:rPr>
          <w:rFonts w:eastAsia="Times New Roman" w:cstheme="minorHAnsi"/>
          <w:color w:val="373A3C"/>
        </w:rPr>
        <w:t>enabled them to fulfil the important role of interpreter</w:t>
      </w:r>
      <w:r w:rsidR="008A2BF9">
        <w:rPr>
          <w:rStyle w:val="FootnoteReference"/>
          <w:rFonts w:eastAsia="Times New Roman" w:cstheme="minorHAnsi"/>
          <w:color w:val="373A3C"/>
        </w:rPr>
        <w:footnoteReference w:id="16"/>
      </w:r>
      <w:r w:rsidR="00E11DCA">
        <w:rPr>
          <w:rFonts w:eastAsia="Times New Roman" w:cstheme="minorHAnsi"/>
          <w:color w:val="373A3C"/>
        </w:rPr>
        <w:t xml:space="preserve"> but i</w:t>
      </w:r>
      <w:r w:rsidR="00970685">
        <w:rPr>
          <w:rFonts w:eastAsia="Times New Roman" w:cstheme="minorHAnsi"/>
          <w:color w:val="373A3C"/>
        </w:rPr>
        <w:t>t</w:t>
      </w:r>
      <w:r w:rsidR="00EE5679">
        <w:rPr>
          <w:rFonts w:eastAsia="Times New Roman" w:cstheme="minorHAnsi"/>
          <w:color w:val="373A3C"/>
        </w:rPr>
        <w:t xml:space="preserve"> </w:t>
      </w:r>
      <w:r w:rsidR="00255D5D">
        <w:rPr>
          <w:rFonts w:eastAsia="Times New Roman" w:cstheme="minorHAnsi"/>
          <w:color w:val="373A3C"/>
        </w:rPr>
        <w:t>remains a</w:t>
      </w:r>
      <w:r w:rsidR="00E0795B">
        <w:rPr>
          <w:rFonts w:eastAsia="Times New Roman" w:cstheme="minorHAnsi"/>
          <w:color w:val="373A3C"/>
        </w:rPr>
        <w:t xml:space="preserve"> poss</w:t>
      </w:r>
      <w:r w:rsidR="009B0217">
        <w:rPr>
          <w:rFonts w:eastAsia="Times New Roman" w:cstheme="minorHAnsi"/>
          <w:color w:val="373A3C"/>
        </w:rPr>
        <w:t>ib</w:t>
      </w:r>
      <w:r w:rsidR="00255D5D">
        <w:rPr>
          <w:rFonts w:eastAsia="Times New Roman" w:cstheme="minorHAnsi"/>
          <w:color w:val="373A3C"/>
        </w:rPr>
        <w:t>ility</w:t>
      </w:r>
      <w:r w:rsidR="009B0217">
        <w:rPr>
          <w:rFonts w:eastAsia="Times New Roman" w:cstheme="minorHAnsi"/>
          <w:color w:val="373A3C"/>
        </w:rPr>
        <w:t xml:space="preserve"> that</w:t>
      </w:r>
      <w:r w:rsidR="009B0217" w:rsidRPr="009B0217">
        <w:rPr>
          <w:rFonts w:eastAsia="Times New Roman" w:cstheme="minorHAnsi"/>
          <w:color w:val="373A3C"/>
        </w:rPr>
        <w:t xml:space="preserve"> </w:t>
      </w:r>
      <w:r w:rsidR="009B0217">
        <w:rPr>
          <w:rFonts w:eastAsia="Times New Roman" w:cstheme="minorHAnsi"/>
          <w:color w:val="373A3C"/>
        </w:rPr>
        <w:t xml:space="preserve">this distinct and isolated group of scribes, already predisposed to a particular religious belief and culture </w:t>
      </w:r>
      <w:r w:rsidR="009B0217" w:rsidRPr="00C87392">
        <w:rPr>
          <w:rFonts w:eastAsia="Times New Roman" w:cstheme="minorHAnsi"/>
          <w:color w:val="373A3C"/>
        </w:rPr>
        <w:t>may not always have been faithful to the original</w:t>
      </w:r>
      <w:r w:rsidR="009B0217">
        <w:rPr>
          <w:rFonts w:eastAsia="Times New Roman" w:cstheme="minorHAnsi"/>
          <w:color w:val="373A3C"/>
        </w:rPr>
        <w:t xml:space="preserve">. </w:t>
      </w:r>
      <w:r w:rsidR="00120A64" w:rsidRPr="00C87392">
        <w:rPr>
          <w:rFonts w:eastAsia="Times New Roman" w:cstheme="minorHAnsi"/>
          <w:color w:val="373A3C"/>
        </w:rPr>
        <w:t xml:space="preserve">While unintentional mistranslations and copying errors </w:t>
      </w:r>
      <w:r w:rsidR="00120A64">
        <w:rPr>
          <w:rFonts w:eastAsia="Times New Roman" w:cstheme="minorHAnsi"/>
          <w:color w:val="373A3C"/>
        </w:rPr>
        <w:t>could</w:t>
      </w:r>
      <w:r w:rsidR="007E7115">
        <w:rPr>
          <w:rFonts w:eastAsia="Times New Roman" w:cstheme="minorHAnsi"/>
          <w:color w:val="373A3C"/>
        </w:rPr>
        <w:t xml:space="preserve"> </w:t>
      </w:r>
      <w:r w:rsidR="009B0217">
        <w:rPr>
          <w:rFonts w:eastAsia="Times New Roman" w:cstheme="minorHAnsi"/>
          <w:color w:val="373A3C"/>
        </w:rPr>
        <w:t>have happened</w:t>
      </w:r>
      <w:r w:rsidR="00120A64">
        <w:rPr>
          <w:rFonts w:eastAsia="Times New Roman" w:cstheme="minorHAnsi"/>
          <w:color w:val="373A3C"/>
        </w:rPr>
        <w:t>,</w:t>
      </w:r>
      <w:r w:rsidR="00E11DCA">
        <w:rPr>
          <w:rFonts w:eastAsia="Times New Roman" w:cstheme="minorHAnsi"/>
          <w:color w:val="373A3C"/>
        </w:rPr>
        <w:t xml:space="preserve"> history is inevitably, an account of events and the peoples involved, viewed from the particular perspective of the writer and</w:t>
      </w:r>
      <w:r w:rsidR="00120A64">
        <w:rPr>
          <w:rFonts w:eastAsia="Times New Roman" w:cstheme="minorHAnsi"/>
          <w:color w:val="373A3C"/>
        </w:rPr>
        <w:t xml:space="preserve"> </w:t>
      </w:r>
      <w:r w:rsidR="00120A64" w:rsidRPr="00C87392">
        <w:rPr>
          <w:rFonts w:eastAsia="Times New Roman" w:cstheme="minorHAnsi"/>
          <w:color w:val="373A3C"/>
        </w:rPr>
        <w:t>the</w:t>
      </w:r>
      <w:r w:rsidR="00F34228">
        <w:rPr>
          <w:rFonts w:eastAsia="Times New Roman" w:cstheme="minorHAnsi"/>
          <w:color w:val="373A3C"/>
        </w:rPr>
        <w:t>re may have been</w:t>
      </w:r>
      <w:r w:rsidR="00120A64" w:rsidRPr="00C87392">
        <w:rPr>
          <w:rFonts w:eastAsia="Times New Roman" w:cstheme="minorHAnsi"/>
          <w:color w:val="373A3C"/>
        </w:rPr>
        <w:t xml:space="preserve"> deliberate omission</w:t>
      </w:r>
      <w:r w:rsidR="00F34228">
        <w:rPr>
          <w:rFonts w:eastAsia="Times New Roman" w:cstheme="minorHAnsi"/>
          <w:color w:val="373A3C"/>
        </w:rPr>
        <w:t>s</w:t>
      </w:r>
      <w:r w:rsidR="004A2D25">
        <w:rPr>
          <w:rFonts w:eastAsia="Times New Roman" w:cstheme="minorHAnsi"/>
          <w:color w:val="373A3C"/>
        </w:rPr>
        <w:t>, alteration</w:t>
      </w:r>
      <w:r w:rsidR="00F34228">
        <w:rPr>
          <w:rFonts w:eastAsia="Times New Roman" w:cstheme="minorHAnsi"/>
          <w:color w:val="373A3C"/>
        </w:rPr>
        <w:t>s</w:t>
      </w:r>
      <w:r w:rsidR="00120A64" w:rsidRPr="00C87392">
        <w:rPr>
          <w:rFonts w:eastAsia="Times New Roman" w:cstheme="minorHAnsi"/>
          <w:color w:val="373A3C"/>
        </w:rPr>
        <w:t xml:space="preserve"> or addition</w:t>
      </w:r>
      <w:r w:rsidR="00F34228">
        <w:rPr>
          <w:rFonts w:eastAsia="Times New Roman" w:cstheme="minorHAnsi"/>
          <w:color w:val="373A3C"/>
        </w:rPr>
        <w:t>s</w:t>
      </w:r>
      <w:r w:rsidR="00120A64" w:rsidRPr="00C87392">
        <w:rPr>
          <w:rFonts w:eastAsia="Times New Roman" w:cstheme="minorHAnsi"/>
          <w:color w:val="373A3C"/>
        </w:rPr>
        <w:t xml:space="preserve"> to suit </w:t>
      </w:r>
      <w:r w:rsidR="00F34228">
        <w:rPr>
          <w:rFonts w:eastAsia="Times New Roman" w:cstheme="minorHAnsi"/>
          <w:color w:val="373A3C"/>
        </w:rPr>
        <w:t>contemporary</w:t>
      </w:r>
      <w:r w:rsidR="00120A64" w:rsidRPr="00C87392">
        <w:rPr>
          <w:rFonts w:eastAsia="Times New Roman" w:cstheme="minorHAnsi"/>
          <w:color w:val="373A3C"/>
        </w:rPr>
        <w:t xml:space="preserve"> political, religious, legal and social </w:t>
      </w:r>
      <w:r w:rsidR="00F34228">
        <w:rPr>
          <w:rFonts w:eastAsia="Times New Roman" w:cstheme="minorHAnsi"/>
          <w:color w:val="373A3C"/>
        </w:rPr>
        <w:t>objectives.</w:t>
      </w:r>
      <w:r w:rsidR="00EF0800">
        <w:rPr>
          <w:rFonts w:eastAsia="Times New Roman" w:cstheme="minorHAnsi"/>
          <w:color w:val="373A3C"/>
        </w:rPr>
        <w:t xml:space="preserve"> Gerald of Wales even suggests that Gildas removed all traces of Arthur from the record for personal reasons</w:t>
      </w:r>
      <w:r w:rsidR="00EF0800">
        <w:rPr>
          <w:rStyle w:val="FootnoteReference"/>
          <w:rFonts w:eastAsia="Times New Roman" w:cstheme="minorHAnsi"/>
          <w:color w:val="373A3C"/>
        </w:rPr>
        <w:footnoteReference w:id="17"/>
      </w:r>
      <w:r w:rsidR="00E11DCA">
        <w:rPr>
          <w:rFonts w:eastAsia="Times New Roman" w:cstheme="minorHAnsi"/>
          <w:color w:val="373A3C"/>
        </w:rPr>
        <w:t xml:space="preserve"> </w:t>
      </w:r>
      <w:r w:rsidR="00B45214">
        <w:rPr>
          <w:rFonts w:eastAsia="Times New Roman" w:cstheme="minorHAnsi"/>
          <w:color w:val="373A3C"/>
        </w:rPr>
        <w:t xml:space="preserve">We may know something of the historical context, but we know </w:t>
      </w:r>
      <w:r w:rsidR="00EE5679">
        <w:rPr>
          <w:rFonts w:eastAsia="Times New Roman" w:cstheme="minorHAnsi"/>
          <w:color w:val="373A3C"/>
        </w:rPr>
        <w:t>n</w:t>
      </w:r>
      <w:r w:rsidR="00B45214">
        <w:rPr>
          <w:rFonts w:eastAsia="Times New Roman" w:cstheme="minorHAnsi"/>
          <w:color w:val="373A3C"/>
        </w:rPr>
        <w:t>either</w:t>
      </w:r>
      <w:r w:rsidR="00922C0F">
        <w:rPr>
          <w:rFonts w:eastAsia="Times New Roman" w:cstheme="minorHAnsi"/>
          <w:color w:val="373A3C"/>
        </w:rPr>
        <w:t>,</w:t>
      </w:r>
      <w:r w:rsidR="00B45214">
        <w:rPr>
          <w:rFonts w:eastAsia="Times New Roman" w:cstheme="minorHAnsi"/>
          <w:color w:val="373A3C"/>
        </w:rPr>
        <w:t xml:space="preserve"> </w:t>
      </w:r>
      <w:r w:rsidR="00E11DCA">
        <w:rPr>
          <w:rFonts w:eastAsia="Times New Roman" w:cstheme="minorHAnsi"/>
          <w:color w:val="373A3C"/>
        </w:rPr>
        <w:t xml:space="preserve">how familiar the writer and his audience were </w:t>
      </w:r>
      <w:r w:rsidR="00B31D8F">
        <w:rPr>
          <w:rFonts w:eastAsia="Times New Roman" w:cstheme="minorHAnsi"/>
          <w:color w:val="373A3C"/>
        </w:rPr>
        <w:t>with the oral tradition</w:t>
      </w:r>
      <w:r w:rsidR="00B45214">
        <w:rPr>
          <w:rFonts w:eastAsia="Times New Roman" w:cstheme="minorHAnsi"/>
          <w:color w:val="373A3C"/>
        </w:rPr>
        <w:t>,</w:t>
      </w:r>
      <w:r w:rsidR="00B31D8F">
        <w:rPr>
          <w:rFonts w:eastAsia="Times New Roman" w:cstheme="minorHAnsi"/>
          <w:color w:val="373A3C"/>
        </w:rPr>
        <w:t xml:space="preserve"> </w:t>
      </w:r>
      <w:r w:rsidR="00EE5679">
        <w:rPr>
          <w:rFonts w:eastAsia="Times New Roman" w:cstheme="minorHAnsi"/>
          <w:color w:val="373A3C"/>
        </w:rPr>
        <w:t>n</w:t>
      </w:r>
      <w:r w:rsidR="00B31D8F">
        <w:rPr>
          <w:rFonts w:eastAsia="Times New Roman" w:cstheme="minorHAnsi"/>
          <w:color w:val="373A3C"/>
        </w:rPr>
        <w:t>or</w:t>
      </w:r>
      <w:r w:rsidR="00B45214">
        <w:rPr>
          <w:rFonts w:eastAsia="Times New Roman" w:cstheme="minorHAnsi"/>
          <w:color w:val="373A3C"/>
        </w:rPr>
        <w:t xml:space="preserve"> the range of </w:t>
      </w:r>
      <w:r w:rsidR="00B45214">
        <w:rPr>
          <w:rFonts w:eastAsia="Times New Roman" w:cstheme="minorHAnsi"/>
          <w:color w:val="373A3C"/>
        </w:rPr>
        <w:lastRenderedPageBreak/>
        <w:t>written materia</w:t>
      </w:r>
      <w:r w:rsidR="003462B0">
        <w:rPr>
          <w:rFonts w:eastAsia="Times New Roman" w:cstheme="minorHAnsi"/>
          <w:color w:val="373A3C"/>
        </w:rPr>
        <w:t>l</w:t>
      </w:r>
      <w:r w:rsidR="00B45214">
        <w:rPr>
          <w:rFonts w:eastAsia="Times New Roman" w:cstheme="minorHAnsi"/>
          <w:color w:val="373A3C"/>
        </w:rPr>
        <w:t xml:space="preserve"> available at the time</w:t>
      </w:r>
      <w:r w:rsidR="003462B0">
        <w:rPr>
          <w:rFonts w:eastAsia="Times New Roman" w:cstheme="minorHAnsi"/>
          <w:color w:val="373A3C"/>
        </w:rPr>
        <w:t>, including some now lost,</w:t>
      </w:r>
      <w:r w:rsidR="00E11DCA">
        <w:rPr>
          <w:rFonts w:eastAsia="Times New Roman" w:cstheme="minorHAnsi"/>
          <w:color w:val="373A3C"/>
        </w:rPr>
        <w:t xml:space="preserve"> </w:t>
      </w:r>
      <w:r w:rsidR="00611434">
        <w:rPr>
          <w:rFonts w:eastAsia="Times New Roman" w:cstheme="minorHAnsi"/>
          <w:color w:val="373A3C"/>
        </w:rPr>
        <w:t>which suggests that</w:t>
      </w:r>
      <w:r w:rsidR="00E11DCA">
        <w:rPr>
          <w:rFonts w:eastAsia="Times New Roman" w:cstheme="minorHAnsi"/>
          <w:color w:val="373A3C"/>
        </w:rPr>
        <w:t xml:space="preserve"> modern readers are working at a disadvantage</w:t>
      </w:r>
      <w:r w:rsidR="0093566A">
        <w:rPr>
          <w:rFonts w:eastAsia="Times New Roman" w:cstheme="minorHAnsi"/>
          <w:color w:val="373A3C"/>
        </w:rPr>
        <w:t>.</w:t>
      </w:r>
    </w:p>
    <w:p w14:paraId="099AC1D5" w14:textId="43FD24A3" w:rsidR="004A2D25" w:rsidRDefault="004A2D25" w:rsidP="004A2D25">
      <w:pPr>
        <w:spacing w:before="100" w:beforeAutospacing="1" w:after="100" w:afterAutospacing="1" w:line="480" w:lineRule="auto"/>
        <w:rPr>
          <w:rFonts w:eastAsia="Times New Roman" w:cstheme="minorHAnsi"/>
          <w:color w:val="373A3C"/>
        </w:rPr>
      </w:pPr>
      <w:r>
        <w:rPr>
          <w:rFonts w:eastAsia="Times New Roman" w:cstheme="minorHAnsi"/>
          <w:color w:val="373A3C"/>
        </w:rPr>
        <w:t xml:space="preserve">Probably the earliest known Welsh reference to Arthur is in </w:t>
      </w:r>
      <w:r w:rsidRPr="003562C1">
        <w:rPr>
          <w:rFonts w:eastAsia="Times New Roman" w:cstheme="minorHAnsi"/>
          <w:i/>
          <w:color w:val="373A3C"/>
        </w:rPr>
        <w:t>Y Gododdin</w:t>
      </w:r>
      <w:r w:rsidR="00B007F3">
        <w:rPr>
          <w:rStyle w:val="FootnoteReference"/>
          <w:rFonts w:eastAsia="Times New Roman" w:cstheme="minorHAnsi"/>
          <w:i/>
          <w:color w:val="373A3C"/>
        </w:rPr>
        <w:footnoteReference w:id="18"/>
      </w:r>
      <w:r>
        <w:rPr>
          <w:rFonts w:eastAsia="Times New Roman" w:cstheme="minorHAnsi"/>
          <w:color w:val="373A3C"/>
        </w:rPr>
        <w:t>, a late sixth-century ‘heroic’ poem,</w:t>
      </w:r>
      <w:r w:rsidRPr="00B605D7">
        <w:rPr>
          <w:rFonts w:eastAsia="Times New Roman" w:cstheme="minorHAnsi"/>
          <w:color w:val="373A3C"/>
        </w:rPr>
        <w:t xml:space="preserve"> </w:t>
      </w:r>
      <w:r>
        <w:rPr>
          <w:rFonts w:eastAsia="Times New Roman" w:cstheme="minorHAnsi"/>
          <w:color w:val="373A3C"/>
        </w:rPr>
        <w:t xml:space="preserve">preserved in the </w:t>
      </w:r>
      <w:r w:rsidRPr="003562C1">
        <w:rPr>
          <w:rFonts w:eastAsia="Times New Roman" w:cstheme="minorHAnsi"/>
          <w:i/>
          <w:color w:val="373A3C"/>
        </w:rPr>
        <w:t>Book of Aneirin</w:t>
      </w:r>
      <w:r>
        <w:rPr>
          <w:rFonts w:eastAsia="Times New Roman" w:cstheme="minorHAnsi"/>
          <w:i/>
          <w:color w:val="373A3C"/>
        </w:rPr>
        <w:t>,</w:t>
      </w:r>
      <w:r w:rsidR="00347CE7" w:rsidRPr="00347CE7">
        <w:rPr>
          <w:rFonts w:eastAsia="Times New Roman" w:cstheme="minorHAnsi"/>
          <w:color w:val="373A3C"/>
        </w:rPr>
        <w:t xml:space="preserve"> </w:t>
      </w:r>
      <w:r w:rsidR="00347CE7">
        <w:rPr>
          <w:rFonts w:eastAsia="Times New Roman" w:cstheme="minorHAnsi"/>
          <w:color w:val="373A3C"/>
        </w:rPr>
        <w:t>compiled some six hundred years after the original was composed</w:t>
      </w:r>
      <w:r w:rsidR="004B30D7">
        <w:rPr>
          <w:rFonts w:eastAsia="Times New Roman" w:cstheme="minorHAnsi"/>
          <w:color w:val="373A3C"/>
        </w:rPr>
        <w:t>,</w:t>
      </w:r>
      <w:r>
        <w:rPr>
          <w:rFonts w:eastAsia="Times New Roman" w:cstheme="minorHAnsi"/>
          <w:color w:val="373A3C"/>
        </w:rPr>
        <w:t xml:space="preserve"> and consisting largely of a series of elegies for the men who fell in battle against the Angles at </w:t>
      </w:r>
      <w:r w:rsidRPr="006117AB">
        <w:rPr>
          <w:rFonts w:eastAsia="Times New Roman" w:cstheme="minorHAnsi"/>
          <w:i/>
          <w:color w:val="373A3C"/>
        </w:rPr>
        <w:t>Catraeth</w:t>
      </w:r>
      <w:r>
        <w:rPr>
          <w:rFonts w:eastAsia="Times New Roman" w:cstheme="minorHAnsi"/>
          <w:color w:val="373A3C"/>
        </w:rPr>
        <w:t xml:space="preserve">. </w:t>
      </w:r>
      <w:r w:rsidR="00C67C00">
        <w:rPr>
          <w:rFonts w:eastAsia="Times New Roman" w:cstheme="minorHAnsi"/>
          <w:color w:val="373A3C"/>
        </w:rPr>
        <w:t>Each is</w:t>
      </w:r>
      <w:r>
        <w:rPr>
          <w:rFonts w:eastAsia="Times New Roman" w:cstheme="minorHAnsi"/>
          <w:color w:val="373A3C"/>
        </w:rPr>
        <w:t xml:space="preserve"> compare</w:t>
      </w:r>
      <w:r w:rsidR="00C67C00">
        <w:rPr>
          <w:rFonts w:eastAsia="Times New Roman" w:cstheme="minorHAnsi"/>
          <w:color w:val="373A3C"/>
        </w:rPr>
        <w:t>d</w:t>
      </w:r>
      <w:r>
        <w:rPr>
          <w:rFonts w:eastAsia="Times New Roman" w:cstheme="minorHAnsi"/>
          <w:color w:val="373A3C"/>
        </w:rPr>
        <w:t xml:space="preserve"> </w:t>
      </w:r>
      <w:r w:rsidR="006117AB">
        <w:rPr>
          <w:rFonts w:eastAsia="Times New Roman" w:cstheme="minorHAnsi"/>
          <w:color w:val="373A3C"/>
        </w:rPr>
        <w:t xml:space="preserve">with </w:t>
      </w:r>
      <w:r w:rsidR="00C67C00">
        <w:rPr>
          <w:rFonts w:eastAsia="Times New Roman" w:cstheme="minorHAnsi"/>
          <w:color w:val="373A3C"/>
        </w:rPr>
        <w:t>a local contemporary</w:t>
      </w:r>
      <w:r>
        <w:rPr>
          <w:rFonts w:eastAsia="Times New Roman" w:cstheme="minorHAnsi"/>
          <w:color w:val="373A3C"/>
        </w:rPr>
        <w:t xml:space="preserve"> hero who</w:t>
      </w:r>
      <w:r w:rsidR="00E530D5">
        <w:rPr>
          <w:rFonts w:eastAsia="Times New Roman" w:cstheme="minorHAnsi"/>
          <w:color w:val="373A3C"/>
        </w:rPr>
        <w:t xml:space="preserve"> </w:t>
      </w:r>
      <w:r>
        <w:rPr>
          <w:rFonts w:eastAsia="Times New Roman" w:cstheme="minorHAnsi"/>
          <w:color w:val="373A3C"/>
        </w:rPr>
        <w:t>would have been known to the poet’s audience</w:t>
      </w:r>
      <w:r w:rsidR="00347CE7">
        <w:rPr>
          <w:rFonts w:eastAsia="Times New Roman" w:cstheme="minorHAnsi"/>
          <w:color w:val="373A3C"/>
        </w:rPr>
        <w:t>,</w:t>
      </w:r>
      <w:r>
        <w:rPr>
          <w:rFonts w:eastAsia="Times New Roman" w:cstheme="minorHAnsi"/>
          <w:color w:val="373A3C"/>
        </w:rPr>
        <w:t xml:space="preserve"> not a reference back to</w:t>
      </w:r>
      <w:r w:rsidR="00C67C00">
        <w:rPr>
          <w:rFonts w:eastAsia="Times New Roman" w:cstheme="minorHAnsi"/>
          <w:color w:val="373A3C"/>
        </w:rPr>
        <w:t xml:space="preserve"> earlier</w:t>
      </w:r>
      <w:r>
        <w:rPr>
          <w:rFonts w:eastAsia="Times New Roman" w:cstheme="minorHAnsi"/>
          <w:color w:val="373A3C"/>
        </w:rPr>
        <w:t xml:space="preserve"> champions as was the custom in later poetry</w:t>
      </w:r>
      <w:r>
        <w:rPr>
          <w:rStyle w:val="FootnoteReference"/>
          <w:rFonts w:eastAsia="Times New Roman" w:cstheme="minorHAnsi"/>
          <w:color w:val="373A3C"/>
        </w:rPr>
        <w:footnoteReference w:id="19"/>
      </w:r>
      <w:r>
        <w:rPr>
          <w:rFonts w:eastAsia="Times New Roman" w:cstheme="minorHAnsi"/>
          <w:color w:val="373A3C"/>
        </w:rPr>
        <w:t>. If this is the case</w:t>
      </w:r>
      <w:r w:rsidR="00E53D61">
        <w:rPr>
          <w:rFonts w:eastAsia="Times New Roman" w:cstheme="minorHAnsi"/>
          <w:color w:val="373A3C"/>
        </w:rPr>
        <w:t>, and</w:t>
      </w:r>
      <w:r w:rsidR="00E53D61" w:rsidRPr="00E53D61">
        <w:rPr>
          <w:rFonts w:eastAsia="Times New Roman" w:cstheme="minorHAnsi"/>
          <w:color w:val="373A3C"/>
        </w:rPr>
        <w:t xml:space="preserve"> </w:t>
      </w:r>
      <w:r w:rsidR="00E53D61">
        <w:rPr>
          <w:rFonts w:eastAsia="Times New Roman" w:cstheme="minorHAnsi"/>
          <w:color w:val="373A3C"/>
        </w:rPr>
        <w:t xml:space="preserve">it does date in its original form to about 600, </w:t>
      </w:r>
      <w:r>
        <w:rPr>
          <w:rFonts w:eastAsia="Times New Roman" w:cstheme="minorHAnsi"/>
          <w:color w:val="373A3C"/>
        </w:rPr>
        <w:t xml:space="preserve">then the reference to </w:t>
      </w:r>
      <w:r w:rsidRPr="00E530D5">
        <w:rPr>
          <w:rFonts w:eastAsia="Times New Roman" w:cstheme="minorHAnsi"/>
          <w:i/>
          <w:color w:val="373A3C"/>
        </w:rPr>
        <w:t>Gwawrddur</w:t>
      </w:r>
      <w:r>
        <w:rPr>
          <w:rFonts w:eastAsia="Times New Roman" w:cstheme="minorHAnsi"/>
          <w:color w:val="373A3C"/>
        </w:rPr>
        <w:t xml:space="preserve">, </w:t>
      </w:r>
      <w:r w:rsidR="00E53D61">
        <w:rPr>
          <w:rFonts w:eastAsia="Times New Roman" w:cstheme="minorHAnsi"/>
          <w:color w:val="373A3C"/>
        </w:rPr>
        <w:t>offers the best evidence yet for a</w:t>
      </w:r>
      <w:r w:rsidR="0073501A">
        <w:rPr>
          <w:rFonts w:eastAsia="Times New Roman" w:cstheme="minorHAnsi"/>
          <w:color w:val="373A3C"/>
        </w:rPr>
        <w:t>n</w:t>
      </w:r>
      <w:r w:rsidR="00E53D61">
        <w:rPr>
          <w:rFonts w:eastAsia="Times New Roman" w:cstheme="minorHAnsi"/>
          <w:color w:val="373A3C"/>
        </w:rPr>
        <w:t xml:space="preserve"> historical Arthur</w:t>
      </w:r>
      <w:r w:rsidR="00E53D61">
        <w:rPr>
          <w:rStyle w:val="FootnoteReference"/>
          <w:rFonts w:eastAsia="Times New Roman" w:cstheme="minorHAnsi"/>
          <w:color w:val="373A3C"/>
        </w:rPr>
        <w:footnoteReference w:id="20"/>
      </w:r>
      <w:r w:rsidR="00415A03">
        <w:rPr>
          <w:rFonts w:eastAsia="Times New Roman" w:cstheme="minorHAnsi"/>
          <w:color w:val="373A3C"/>
        </w:rPr>
        <w:t xml:space="preserve"> for</w:t>
      </w:r>
      <w:r w:rsidR="00E53D61" w:rsidRPr="00E53D61">
        <w:rPr>
          <w:rFonts w:eastAsia="Times New Roman" w:cstheme="minorHAnsi"/>
          <w:color w:val="373A3C"/>
        </w:rPr>
        <w:t xml:space="preserve"> </w:t>
      </w:r>
      <w:r w:rsidR="00E53D61">
        <w:rPr>
          <w:rFonts w:eastAsia="Times New Roman" w:cstheme="minorHAnsi"/>
          <w:color w:val="373A3C"/>
        </w:rPr>
        <w:t>we know of possibly five people called Arthur from the late sixth-century</w:t>
      </w:r>
      <w:r w:rsidR="00415A03">
        <w:rPr>
          <w:rFonts w:eastAsia="Times New Roman" w:cstheme="minorHAnsi"/>
          <w:color w:val="373A3C"/>
        </w:rPr>
        <w:t>.</w:t>
      </w:r>
      <w:r w:rsidR="00E53D61">
        <w:rPr>
          <w:rFonts w:eastAsia="Times New Roman" w:cstheme="minorHAnsi"/>
          <w:color w:val="373A3C"/>
        </w:rPr>
        <w:t xml:space="preserve"> </w:t>
      </w:r>
      <w:r>
        <w:rPr>
          <w:rFonts w:eastAsia="Times New Roman" w:cstheme="minorHAnsi"/>
          <w:color w:val="373A3C"/>
        </w:rPr>
        <w:t xml:space="preserve">The extant </w:t>
      </w:r>
      <w:r w:rsidR="006117AB">
        <w:rPr>
          <w:rFonts w:eastAsia="Times New Roman" w:cstheme="minorHAnsi"/>
          <w:color w:val="373A3C"/>
        </w:rPr>
        <w:t xml:space="preserve">Welsh </w:t>
      </w:r>
      <w:r>
        <w:rPr>
          <w:rFonts w:eastAsia="Times New Roman" w:cstheme="minorHAnsi"/>
          <w:color w:val="373A3C"/>
        </w:rPr>
        <w:t>manuscript containing the poem</w:t>
      </w:r>
      <w:r w:rsidR="00E53D61">
        <w:rPr>
          <w:rFonts w:eastAsia="Times New Roman" w:cstheme="minorHAnsi"/>
          <w:color w:val="373A3C"/>
        </w:rPr>
        <w:t>, however,</w:t>
      </w:r>
      <w:r w:rsidR="004B30D7">
        <w:rPr>
          <w:rFonts w:eastAsia="Times New Roman" w:cstheme="minorHAnsi"/>
          <w:color w:val="373A3C"/>
        </w:rPr>
        <w:t xml:space="preserve"> </w:t>
      </w:r>
      <w:r>
        <w:rPr>
          <w:rFonts w:eastAsia="Times New Roman" w:cstheme="minorHAnsi"/>
          <w:color w:val="373A3C"/>
        </w:rPr>
        <w:t>is</w:t>
      </w:r>
      <w:r w:rsidR="007146E9">
        <w:rPr>
          <w:rFonts w:eastAsia="Times New Roman" w:cstheme="minorHAnsi"/>
          <w:color w:val="373A3C"/>
        </w:rPr>
        <w:t xml:space="preserve"> complicated by being the work of</w:t>
      </w:r>
      <w:r>
        <w:rPr>
          <w:rFonts w:eastAsia="Times New Roman" w:cstheme="minorHAnsi"/>
          <w:color w:val="373A3C"/>
        </w:rPr>
        <w:t xml:space="preserve"> two scribes, each</w:t>
      </w:r>
      <w:r w:rsidRPr="003562C1">
        <w:rPr>
          <w:rFonts w:eastAsia="Times New Roman" w:cstheme="minorHAnsi"/>
          <w:color w:val="373A3C"/>
        </w:rPr>
        <w:t xml:space="preserve"> </w:t>
      </w:r>
      <w:r>
        <w:rPr>
          <w:rFonts w:eastAsia="Times New Roman" w:cstheme="minorHAnsi"/>
          <w:color w:val="373A3C"/>
        </w:rPr>
        <w:t>with access to different</w:t>
      </w:r>
      <w:r w:rsidR="004B30D7">
        <w:rPr>
          <w:rFonts w:eastAsia="Times New Roman" w:cstheme="minorHAnsi"/>
          <w:color w:val="373A3C"/>
        </w:rPr>
        <w:t xml:space="preserve"> sources</w:t>
      </w:r>
      <w:r w:rsidR="00687502">
        <w:rPr>
          <w:rFonts w:eastAsia="Times New Roman" w:cstheme="minorHAnsi"/>
          <w:color w:val="373A3C"/>
        </w:rPr>
        <w:t>,</w:t>
      </w:r>
      <w:r w:rsidR="007146E9">
        <w:rPr>
          <w:rFonts w:eastAsia="Times New Roman" w:cstheme="minorHAnsi"/>
          <w:color w:val="373A3C"/>
        </w:rPr>
        <w:t xml:space="preserve"> added to which it may have</w:t>
      </w:r>
      <w:r w:rsidR="007146E9" w:rsidRPr="007146E9">
        <w:rPr>
          <w:rFonts w:eastAsia="Times New Roman" w:cstheme="minorHAnsi"/>
          <w:color w:val="373A3C"/>
        </w:rPr>
        <w:t xml:space="preserve"> </w:t>
      </w:r>
      <w:r w:rsidR="007146E9">
        <w:rPr>
          <w:rFonts w:eastAsia="Times New Roman" w:cstheme="minorHAnsi"/>
          <w:color w:val="373A3C"/>
        </w:rPr>
        <w:t>suffered further modification</w:t>
      </w:r>
      <w:r w:rsidR="006117AB">
        <w:rPr>
          <w:rFonts w:eastAsia="Times New Roman" w:cstheme="minorHAnsi"/>
          <w:color w:val="373A3C"/>
        </w:rPr>
        <w:t xml:space="preserve"> </w:t>
      </w:r>
      <w:r w:rsidR="007146E9">
        <w:rPr>
          <w:rFonts w:eastAsia="Times New Roman" w:cstheme="minorHAnsi"/>
          <w:color w:val="373A3C"/>
        </w:rPr>
        <w:t xml:space="preserve">during its transfer </w:t>
      </w:r>
      <w:r>
        <w:rPr>
          <w:rFonts w:eastAsia="Times New Roman" w:cstheme="minorHAnsi"/>
          <w:color w:val="373A3C"/>
        </w:rPr>
        <w:t>from south-east Scotland to Wale</w:t>
      </w:r>
      <w:r w:rsidR="007146E9">
        <w:rPr>
          <w:rFonts w:eastAsia="Times New Roman" w:cstheme="minorHAnsi"/>
          <w:color w:val="373A3C"/>
        </w:rPr>
        <w:t>s</w:t>
      </w:r>
      <w:r w:rsidR="006117AB">
        <w:rPr>
          <w:rFonts w:eastAsia="Times New Roman" w:cstheme="minorHAnsi"/>
          <w:color w:val="373A3C"/>
        </w:rPr>
        <w:t>.</w:t>
      </w:r>
      <w:r>
        <w:rPr>
          <w:rFonts w:eastAsia="Times New Roman" w:cstheme="minorHAnsi"/>
          <w:color w:val="373A3C"/>
        </w:rPr>
        <w:t xml:space="preserve"> The reference to Arthur appears only in the</w:t>
      </w:r>
      <w:r w:rsidR="003719E3">
        <w:rPr>
          <w:rFonts w:eastAsia="Times New Roman" w:cstheme="minorHAnsi"/>
          <w:color w:val="373A3C"/>
        </w:rPr>
        <w:t xml:space="preserve"> older,</w:t>
      </w:r>
      <w:r>
        <w:rPr>
          <w:rFonts w:eastAsia="Times New Roman" w:cstheme="minorHAnsi"/>
          <w:color w:val="373A3C"/>
        </w:rPr>
        <w:t xml:space="preserve"> B text</w:t>
      </w:r>
      <w:r>
        <w:rPr>
          <w:rStyle w:val="FootnoteReference"/>
          <w:rFonts w:eastAsia="Times New Roman" w:cstheme="minorHAnsi"/>
          <w:color w:val="373A3C"/>
        </w:rPr>
        <w:footnoteReference w:id="21"/>
      </w:r>
      <w:r>
        <w:rPr>
          <w:rFonts w:eastAsia="Times New Roman" w:cstheme="minorHAnsi"/>
          <w:color w:val="373A3C"/>
        </w:rPr>
        <w:t>, and praise</w:t>
      </w:r>
      <w:r w:rsidR="003719E3">
        <w:rPr>
          <w:rFonts w:eastAsia="Times New Roman" w:cstheme="minorHAnsi"/>
          <w:color w:val="373A3C"/>
        </w:rPr>
        <w:t>s</w:t>
      </w:r>
      <w:r>
        <w:rPr>
          <w:rFonts w:eastAsia="Times New Roman" w:cstheme="minorHAnsi"/>
          <w:color w:val="373A3C"/>
        </w:rPr>
        <w:t xml:space="preserve"> </w:t>
      </w:r>
      <w:r w:rsidR="003719E3">
        <w:rPr>
          <w:rFonts w:eastAsia="Times New Roman" w:cstheme="minorHAnsi"/>
          <w:color w:val="373A3C"/>
        </w:rPr>
        <w:t>Gwawrddur</w:t>
      </w:r>
      <w:r>
        <w:rPr>
          <w:rFonts w:eastAsia="Times New Roman" w:cstheme="minorHAnsi"/>
          <w:color w:val="373A3C"/>
        </w:rPr>
        <w:t xml:space="preserve"> </w:t>
      </w:r>
      <w:r w:rsidR="00E53D61">
        <w:rPr>
          <w:rFonts w:eastAsia="Times New Roman" w:cstheme="minorHAnsi"/>
          <w:color w:val="373A3C"/>
        </w:rPr>
        <w:t>saying that he was</w:t>
      </w:r>
      <w:r>
        <w:rPr>
          <w:rFonts w:eastAsia="Times New Roman" w:cstheme="minorHAnsi"/>
          <w:color w:val="373A3C"/>
        </w:rPr>
        <w:t xml:space="preserve"> second only to Arthur</w:t>
      </w:r>
      <w:r w:rsidR="003719E3">
        <w:rPr>
          <w:rFonts w:eastAsia="Times New Roman" w:cstheme="minorHAnsi"/>
          <w:color w:val="373A3C"/>
        </w:rPr>
        <w:t xml:space="preserve"> in</w:t>
      </w:r>
      <w:r w:rsidR="003719E3" w:rsidRPr="003719E3">
        <w:rPr>
          <w:rFonts w:eastAsia="Times New Roman" w:cstheme="minorHAnsi"/>
          <w:color w:val="373A3C"/>
        </w:rPr>
        <w:t xml:space="preserve"> </w:t>
      </w:r>
      <w:r w:rsidR="003719E3">
        <w:rPr>
          <w:rFonts w:eastAsia="Times New Roman" w:cstheme="minorHAnsi"/>
          <w:color w:val="373A3C"/>
        </w:rPr>
        <w:t>bravery and skill in battle</w:t>
      </w:r>
      <w:r>
        <w:rPr>
          <w:rFonts w:eastAsia="Times New Roman" w:cstheme="minorHAnsi"/>
          <w:color w:val="373A3C"/>
        </w:rPr>
        <w:t>:</w:t>
      </w:r>
    </w:p>
    <w:p w14:paraId="64CFA6FA" w14:textId="582DD81B" w:rsidR="004A2D25" w:rsidRDefault="004A2D25" w:rsidP="00E530D5">
      <w:pPr>
        <w:spacing w:before="100" w:beforeAutospacing="1" w:after="100" w:afterAutospacing="1"/>
        <w:ind w:left="720"/>
        <w:rPr>
          <w:rFonts w:eastAsia="Times New Roman" w:cstheme="minorHAnsi"/>
          <w:color w:val="373A3C"/>
        </w:rPr>
      </w:pPr>
      <w:r w:rsidRPr="000663CE">
        <w:rPr>
          <w:rFonts w:eastAsia="Times New Roman" w:cstheme="minorHAnsi"/>
          <w:i/>
          <w:color w:val="373A3C"/>
        </w:rPr>
        <w:t xml:space="preserve">Gochorai brain du ar fur caer </w:t>
      </w:r>
      <w:r w:rsidRPr="000663CE">
        <w:rPr>
          <w:rFonts w:eastAsia="Times New Roman" w:cstheme="minorHAnsi"/>
          <w:i/>
          <w:color w:val="373A3C"/>
        </w:rPr>
        <w:tab/>
      </w:r>
      <w:r w:rsidRPr="000663CE">
        <w:rPr>
          <w:rFonts w:eastAsia="Times New Roman" w:cstheme="minorHAnsi"/>
          <w:i/>
          <w:color w:val="373A3C"/>
        </w:rPr>
        <w:tab/>
      </w:r>
      <w:r w:rsidRPr="000663CE">
        <w:rPr>
          <w:rFonts w:eastAsia="Times New Roman" w:cstheme="minorHAnsi"/>
          <w:color w:val="373A3C"/>
        </w:rPr>
        <w:t>He fed black ravens on the rampart of a fortress</w:t>
      </w:r>
      <w:r w:rsidR="00E530D5">
        <w:rPr>
          <w:rFonts w:eastAsia="Times New Roman" w:cstheme="minorHAnsi"/>
          <w:color w:val="373A3C"/>
        </w:rPr>
        <w:t xml:space="preserve"> </w:t>
      </w:r>
      <w:r w:rsidRPr="000663CE">
        <w:rPr>
          <w:rFonts w:eastAsia="Times New Roman" w:cstheme="minorHAnsi"/>
          <w:i/>
          <w:color w:val="373A3C"/>
        </w:rPr>
        <w:t>Cyn ni bai ef Arthur</w:t>
      </w:r>
      <w:r w:rsidRPr="000663CE">
        <w:rPr>
          <w:rFonts w:eastAsia="Times New Roman" w:cstheme="minorHAnsi"/>
          <w:i/>
          <w:color w:val="373A3C"/>
        </w:rPr>
        <w:tab/>
      </w:r>
      <w:r w:rsidRPr="000663CE">
        <w:rPr>
          <w:rFonts w:eastAsia="Times New Roman" w:cstheme="minorHAnsi"/>
          <w:i/>
          <w:color w:val="373A3C"/>
        </w:rPr>
        <w:tab/>
      </w:r>
      <w:r w:rsidRPr="000663CE">
        <w:rPr>
          <w:rFonts w:eastAsia="Times New Roman" w:cstheme="minorHAnsi"/>
          <w:i/>
          <w:color w:val="373A3C"/>
        </w:rPr>
        <w:tab/>
      </w:r>
      <w:r w:rsidRPr="000663CE">
        <w:rPr>
          <w:rFonts w:eastAsia="Times New Roman" w:cstheme="minorHAnsi"/>
          <w:color w:val="373A3C"/>
        </w:rPr>
        <w:t>Though he was no Arthur</w:t>
      </w:r>
      <w:r>
        <w:rPr>
          <w:rStyle w:val="FootnoteReference"/>
          <w:rFonts w:eastAsia="Times New Roman" w:cstheme="minorHAnsi"/>
          <w:color w:val="373A3C"/>
        </w:rPr>
        <w:footnoteReference w:id="22"/>
      </w:r>
    </w:p>
    <w:p w14:paraId="0D45B750" w14:textId="77777777" w:rsidR="004A2D25" w:rsidRPr="000663CE" w:rsidRDefault="004A2D25" w:rsidP="004A2D25">
      <w:pPr>
        <w:spacing w:before="100" w:beforeAutospacing="1" w:after="100" w:afterAutospacing="1"/>
        <w:rPr>
          <w:rFonts w:eastAsia="Times New Roman" w:cstheme="minorHAnsi"/>
          <w:i/>
          <w:color w:val="373A3C"/>
        </w:rPr>
      </w:pPr>
    </w:p>
    <w:p w14:paraId="46964085" w14:textId="3270F3D6" w:rsidR="004A2D25" w:rsidRDefault="004A2D25" w:rsidP="004A2D25">
      <w:pPr>
        <w:spacing w:before="100" w:beforeAutospacing="1" w:after="100" w:afterAutospacing="1" w:line="480" w:lineRule="auto"/>
        <w:rPr>
          <w:rFonts w:eastAsia="Times New Roman" w:cstheme="minorHAnsi"/>
          <w:color w:val="373A3C"/>
        </w:rPr>
      </w:pPr>
      <w:r>
        <w:rPr>
          <w:rFonts w:eastAsia="Times New Roman" w:cstheme="minorHAnsi"/>
          <w:color w:val="373A3C"/>
        </w:rPr>
        <w:t xml:space="preserve"> but we don’t know for certain whether this formed part of the original text and referred to a recent local hero or </w:t>
      </w:r>
      <w:r w:rsidR="007146E9">
        <w:rPr>
          <w:rFonts w:eastAsia="Times New Roman" w:cstheme="minorHAnsi"/>
          <w:color w:val="373A3C"/>
        </w:rPr>
        <w:t>was added by a later redactor</w:t>
      </w:r>
      <w:r>
        <w:rPr>
          <w:rFonts w:eastAsia="Times New Roman" w:cstheme="minorHAnsi"/>
          <w:color w:val="373A3C"/>
        </w:rPr>
        <w:t>. The</w:t>
      </w:r>
      <w:r w:rsidR="007146E9">
        <w:rPr>
          <w:rFonts w:eastAsia="Times New Roman" w:cstheme="minorHAnsi"/>
          <w:color w:val="373A3C"/>
        </w:rPr>
        <w:t>re is a</w:t>
      </w:r>
      <w:r>
        <w:rPr>
          <w:rFonts w:eastAsia="Times New Roman" w:cstheme="minorHAnsi"/>
          <w:color w:val="373A3C"/>
        </w:rPr>
        <w:t xml:space="preserve"> suitable candidate for such a </w:t>
      </w:r>
      <w:r>
        <w:rPr>
          <w:rFonts w:eastAsia="Times New Roman" w:cstheme="minorHAnsi"/>
          <w:color w:val="373A3C"/>
        </w:rPr>
        <w:lastRenderedPageBreak/>
        <w:t>hero, inhabiting both the same area and time</w:t>
      </w:r>
      <w:r w:rsidR="00415A03">
        <w:rPr>
          <w:rFonts w:eastAsia="Times New Roman" w:cstheme="minorHAnsi"/>
          <w:color w:val="373A3C"/>
        </w:rPr>
        <w:t xml:space="preserve"> in</w:t>
      </w:r>
      <w:r w:rsidR="001554B2" w:rsidRPr="001554B2">
        <w:rPr>
          <w:rFonts w:eastAsia="Times New Roman" w:cstheme="minorHAnsi"/>
          <w:color w:val="373A3C"/>
        </w:rPr>
        <w:t xml:space="preserve"> </w:t>
      </w:r>
      <w:r w:rsidRPr="001554B2">
        <w:rPr>
          <w:rFonts w:eastAsia="Times New Roman" w:cstheme="minorHAnsi"/>
          <w:i/>
          <w:color w:val="373A3C"/>
        </w:rPr>
        <w:t>Artúr</w:t>
      </w:r>
      <w:r>
        <w:rPr>
          <w:rFonts w:eastAsia="Times New Roman" w:cstheme="minorHAnsi"/>
          <w:color w:val="373A3C"/>
        </w:rPr>
        <w:t xml:space="preserve">, son of </w:t>
      </w:r>
      <w:r w:rsidRPr="001554B2">
        <w:rPr>
          <w:rFonts w:eastAsia="Times New Roman" w:cstheme="minorHAnsi"/>
          <w:i/>
          <w:color w:val="373A3C"/>
        </w:rPr>
        <w:t>Áedán mac Gabráin</w:t>
      </w:r>
      <w:r>
        <w:rPr>
          <w:rFonts w:eastAsia="Times New Roman" w:cstheme="minorHAnsi"/>
          <w:color w:val="373A3C"/>
        </w:rPr>
        <w:t xml:space="preserve"> of Dalriada</w:t>
      </w:r>
      <w:r w:rsidR="001554B2">
        <w:rPr>
          <w:rFonts w:eastAsia="Times New Roman" w:cstheme="minorHAnsi"/>
          <w:color w:val="373A3C"/>
        </w:rPr>
        <w:t xml:space="preserve"> who was</w:t>
      </w:r>
      <w:r>
        <w:rPr>
          <w:rFonts w:eastAsia="Times New Roman" w:cstheme="minorHAnsi"/>
          <w:color w:val="373A3C"/>
        </w:rPr>
        <w:t xml:space="preserve"> killed in battle against the Picts</w:t>
      </w:r>
      <w:r>
        <w:rPr>
          <w:rStyle w:val="FootnoteReference"/>
          <w:rFonts w:eastAsia="Times New Roman" w:cstheme="minorHAnsi"/>
          <w:color w:val="373A3C"/>
        </w:rPr>
        <w:footnoteReference w:id="23"/>
      </w:r>
      <w:r>
        <w:rPr>
          <w:rFonts w:eastAsia="Times New Roman" w:cstheme="minorHAnsi"/>
          <w:color w:val="373A3C"/>
        </w:rPr>
        <w:t>. It seems reasonable to use this apparent synchronism to build the case for a historical Arthur</w:t>
      </w:r>
      <w:r w:rsidR="001554B2">
        <w:rPr>
          <w:rFonts w:eastAsia="Times New Roman" w:cstheme="minorHAnsi"/>
          <w:color w:val="373A3C"/>
        </w:rPr>
        <w:t xml:space="preserve"> although</w:t>
      </w:r>
      <w:r w:rsidR="00FC7DA7">
        <w:rPr>
          <w:rFonts w:eastAsia="Times New Roman" w:cstheme="minorHAnsi"/>
          <w:color w:val="373A3C"/>
        </w:rPr>
        <w:t>,</w:t>
      </w:r>
      <w:r w:rsidR="001554B2">
        <w:rPr>
          <w:rFonts w:eastAsia="Times New Roman" w:cstheme="minorHAnsi"/>
          <w:color w:val="373A3C"/>
        </w:rPr>
        <w:t xml:space="preserve"> </w:t>
      </w:r>
      <w:r>
        <w:rPr>
          <w:rFonts w:eastAsia="Times New Roman" w:cstheme="minorHAnsi"/>
          <w:color w:val="373A3C"/>
        </w:rPr>
        <w:t xml:space="preserve">Padel suggests that the Arthur mentioned in the Gododdin is more likely to relate to a legendary figure famous for his exploits against the English, than to offer any support for </w:t>
      </w:r>
      <w:r w:rsidR="001554B2">
        <w:rPr>
          <w:rFonts w:eastAsia="Times New Roman" w:cstheme="minorHAnsi"/>
          <w:color w:val="373A3C"/>
        </w:rPr>
        <w:t>this theory</w:t>
      </w:r>
      <w:r>
        <w:rPr>
          <w:rStyle w:val="FootnoteReference"/>
          <w:rFonts w:eastAsia="Times New Roman" w:cstheme="minorHAnsi"/>
          <w:color w:val="373A3C"/>
        </w:rPr>
        <w:footnoteReference w:id="24"/>
      </w:r>
      <w:r>
        <w:rPr>
          <w:rFonts w:eastAsia="Times New Roman" w:cstheme="minorHAnsi"/>
          <w:color w:val="373A3C"/>
        </w:rPr>
        <w:t xml:space="preserve">. </w:t>
      </w:r>
      <w:r w:rsidR="00630161">
        <w:rPr>
          <w:rFonts w:eastAsia="Times New Roman" w:cstheme="minorHAnsi"/>
          <w:color w:val="373A3C"/>
        </w:rPr>
        <w:t>Whether in reality or legend, however, it is clear that</w:t>
      </w:r>
      <w:r>
        <w:rPr>
          <w:rFonts w:eastAsia="Times New Roman" w:cstheme="minorHAnsi"/>
          <w:color w:val="373A3C"/>
        </w:rPr>
        <w:t xml:space="preserve"> the poet, in seeking to point out Gwawrddur’s heroism, perceived Arthur as the most fearless and famous military leader of the time.</w:t>
      </w:r>
    </w:p>
    <w:p w14:paraId="255A2DD9" w14:textId="27101ECF" w:rsidR="00F943B5" w:rsidRDefault="00120A64" w:rsidP="00F943B5">
      <w:pPr>
        <w:spacing w:before="100" w:beforeAutospacing="1" w:after="100" w:afterAutospacing="1" w:line="480" w:lineRule="auto"/>
      </w:pPr>
      <w:r>
        <w:rPr>
          <w:rFonts w:eastAsia="Times New Roman" w:cstheme="minorHAnsi"/>
          <w:color w:val="373A3C"/>
        </w:rPr>
        <w:t>The most important of the remaining texts</w:t>
      </w:r>
      <w:r w:rsidR="00C547C2">
        <w:rPr>
          <w:rFonts w:eastAsia="Times New Roman" w:cstheme="minorHAnsi"/>
          <w:color w:val="373A3C"/>
        </w:rPr>
        <w:t>,</w:t>
      </w:r>
      <w:r>
        <w:rPr>
          <w:rFonts w:eastAsia="Times New Roman" w:cstheme="minorHAnsi"/>
          <w:color w:val="373A3C"/>
        </w:rPr>
        <w:t xml:space="preserve"> the </w:t>
      </w:r>
      <w:r w:rsidRPr="0075752C">
        <w:rPr>
          <w:rFonts w:eastAsia="Times New Roman" w:cstheme="minorHAnsi"/>
          <w:i/>
          <w:color w:val="373A3C"/>
        </w:rPr>
        <w:t>Historia Brittonum</w:t>
      </w:r>
      <w:r>
        <w:rPr>
          <w:rFonts w:eastAsia="Times New Roman" w:cstheme="minorHAnsi"/>
          <w:color w:val="373A3C"/>
        </w:rPr>
        <w:t>,</w:t>
      </w:r>
      <w:r w:rsidR="00630161">
        <w:rPr>
          <w:rFonts w:eastAsia="Times New Roman" w:cstheme="minorHAnsi"/>
          <w:color w:val="373A3C"/>
        </w:rPr>
        <w:t xml:space="preserve"> has been the subject of much debate. It is</w:t>
      </w:r>
      <w:r w:rsidR="00255D5D">
        <w:rPr>
          <w:rFonts w:eastAsia="Times New Roman" w:cstheme="minorHAnsi"/>
          <w:color w:val="373A3C"/>
        </w:rPr>
        <w:t xml:space="preserve"> essentially a synthetic</w:t>
      </w:r>
      <w:r w:rsidR="00C547C2">
        <w:rPr>
          <w:rFonts w:eastAsia="Times New Roman" w:cstheme="minorHAnsi"/>
          <w:color w:val="373A3C"/>
        </w:rPr>
        <w:t>-</w:t>
      </w:r>
      <w:r w:rsidR="00255D5D">
        <w:rPr>
          <w:rFonts w:eastAsia="Times New Roman" w:cstheme="minorHAnsi"/>
          <w:color w:val="373A3C"/>
        </w:rPr>
        <w:t xml:space="preserve">historical account, dependent on a degree </w:t>
      </w:r>
      <w:r w:rsidR="001B412B">
        <w:rPr>
          <w:rFonts w:eastAsia="Times New Roman" w:cstheme="minorHAnsi"/>
          <w:color w:val="373A3C"/>
        </w:rPr>
        <w:t xml:space="preserve">of </w:t>
      </w:r>
      <w:r w:rsidR="00255D5D">
        <w:rPr>
          <w:rFonts w:eastAsia="Times New Roman" w:cstheme="minorHAnsi"/>
          <w:color w:val="373A3C"/>
        </w:rPr>
        <w:t>synchronisation between the histories of three peoples, the Romans, Irish and English.</w:t>
      </w:r>
      <w:r w:rsidR="00630161">
        <w:rPr>
          <w:rFonts w:eastAsia="Times New Roman" w:cstheme="minorHAnsi"/>
          <w:color w:val="373A3C"/>
        </w:rPr>
        <w:t xml:space="preserve"> and, according to Charles-Edwards</w:t>
      </w:r>
      <w:r w:rsidR="00C547C2">
        <w:rPr>
          <w:rFonts w:eastAsia="Times New Roman" w:cstheme="minorHAnsi"/>
          <w:color w:val="373A3C"/>
        </w:rPr>
        <w:t>,</w:t>
      </w:r>
      <w:r w:rsidR="00B007F3">
        <w:rPr>
          <w:rFonts w:eastAsia="Times New Roman" w:cstheme="minorHAnsi"/>
          <w:color w:val="373A3C"/>
        </w:rPr>
        <w:t xml:space="preserve"> </w:t>
      </w:r>
      <w:r w:rsidR="00630161">
        <w:t>provides the essential link between ecclesiastical history</w:t>
      </w:r>
      <w:r w:rsidR="00F943B5">
        <w:t>,</w:t>
      </w:r>
      <w:r w:rsidR="00630161">
        <w:t xml:space="preserve"> </w:t>
      </w:r>
      <w:r w:rsidR="00C547C2">
        <w:t>concern</w:t>
      </w:r>
      <w:r w:rsidR="00F943B5">
        <w:t>ed with</w:t>
      </w:r>
      <w:r w:rsidR="00C547C2">
        <w:t xml:space="preserve"> the state of Christianity </w:t>
      </w:r>
      <w:r w:rsidR="00450A2A">
        <w:t xml:space="preserve">as </w:t>
      </w:r>
      <w:r w:rsidR="00C547C2">
        <w:t>explained in</w:t>
      </w:r>
      <w:r w:rsidR="00630161">
        <w:t xml:space="preserve"> the </w:t>
      </w:r>
      <w:r w:rsidR="00C547C2">
        <w:t>section</w:t>
      </w:r>
      <w:r w:rsidR="00630161">
        <w:t xml:space="preserve"> on </w:t>
      </w:r>
      <w:r w:rsidR="00630161" w:rsidRPr="00C547C2">
        <w:rPr>
          <w:i/>
        </w:rPr>
        <w:t>The Life of Saint Patrick</w:t>
      </w:r>
      <w:r w:rsidR="00C547C2">
        <w:t>,</w:t>
      </w:r>
      <w:r w:rsidR="00630161">
        <w:t xml:space="preserve"> and the history of peoples</w:t>
      </w:r>
      <w:r w:rsidR="00BE5AA2">
        <w:rPr>
          <w:rStyle w:val="FootnoteReference"/>
          <w:i/>
        </w:rPr>
        <w:footnoteReference w:id="25"/>
      </w:r>
      <w:r w:rsidR="00630161">
        <w:t xml:space="preserve"> described in </w:t>
      </w:r>
      <w:r w:rsidR="00630161" w:rsidRPr="00C547C2">
        <w:rPr>
          <w:i/>
        </w:rPr>
        <w:t>The Campaigns of Arthur</w:t>
      </w:r>
      <w:r w:rsidR="00630161">
        <w:t>, which give</w:t>
      </w:r>
      <w:r w:rsidR="00450A2A">
        <w:t>s</w:t>
      </w:r>
      <w:r w:rsidR="00630161">
        <w:t xml:space="preserve"> an account of the fluctuati</w:t>
      </w:r>
      <w:r w:rsidR="00A039BC">
        <w:t>ng</w:t>
      </w:r>
      <w:r w:rsidR="00630161">
        <w:t xml:space="preserve"> power struggl</w:t>
      </w:r>
      <w:r w:rsidR="00C547C2">
        <w:t>e</w:t>
      </w:r>
      <w:r w:rsidR="00630161">
        <w:t xml:space="preserve"> </w:t>
      </w:r>
      <w:r w:rsidR="00C547C2">
        <w:t>between the Britons and the Anglo-Saxons.</w:t>
      </w:r>
      <w:r w:rsidR="00450A2A" w:rsidRPr="00450A2A">
        <w:t xml:space="preserve"> </w:t>
      </w:r>
      <w:r w:rsidR="00450A2A">
        <w:t xml:space="preserve">Britain, </w:t>
      </w:r>
      <w:r w:rsidR="00F943B5">
        <w:t xml:space="preserve">as explained </w:t>
      </w:r>
      <w:r w:rsidR="00450A2A">
        <w:t xml:space="preserve">in the </w:t>
      </w:r>
      <w:r w:rsidR="00450A2A" w:rsidRPr="00A2267E">
        <w:rPr>
          <w:i/>
        </w:rPr>
        <w:t>De Excidio Britanniae</w:t>
      </w:r>
      <w:r w:rsidR="00450A2A">
        <w:t>, had been devastated by the Anglo-Saxons as God’s punishment for the wickedness</w:t>
      </w:r>
      <w:r w:rsidR="00F943B5">
        <w:t xml:space="preserve"> of its people</w:t>
      </w:r>
      <w:r w:rsidR="00450A2A">
        <w:t xml:space="preserve">, whereas the author of the </w:t>
      </w:r>
      <w:r w:rsidR="00450A2A" w:rsidRPr="00A112A1">
        <w:rPr>
          <w:i/>
        </w:rPr>
        <w:t>Historia Bri</w:t>
      </w:r>
      <w:r w:rsidR="00436F1B">
        <w:rPr>
          <w:i/>
        </w:rPr>
        <w:t>t</w:t>
      </w:r>
      <w:r w:rsidR="00450A2A" w:rsidRPr="00A112A1">
        <w:rPr>
          <w:i/>
        </w:rPr>
        <w:t>tonum</w:t>
      </w:r>
      <w:r w:rsidR="00450A2A">
        <w:t xml:space="preserve">, </w:t>
      </w:r>
      <w:r w:rsidR="00F37C1D">
        <w:t xml:space="preserve">possibly working under the patronage of </w:t>
      </w:r>
      <w:r w:rsidR="00F37C1D" w:rsidRPr="00F45E9E">
        <w:rPr>
          <w:i/>
        </w:rPr>
        <w:t>Merfyn Frych</w:t>
      </w:r>
      <w:r w:rsidR="00F37C1D">
        <w:t xml:space="preserve">, </w:t>
      </w:r>
      <w:r w:rsidR="00F37C1D">
        <w:rPr>
          <w:rFonts w:eastAsia="Times New Roman" w:cstheme="minorHAnsi"/>
          <w:color w:val="373A3C"/>
        </w:rPr>
        <w:t xml:space="preserve">king of Gwynedd, </w:t>
      </w:r>
      <w:r w:rsidR="00450A2A">
        <w:t>appears to be reinterpreting this narrative to promote a new nationalism</w:t>
      </w:r>
      <w:r w:rsidR="00F45E9E">
        <w:rPr>
          <w:rStyle w:val="FootnoteReference"/>
        </w:rPr>
        <w:footnoteReference w:id="26"/>
      </w:r>
      <w:r w:rsidR="00450A2A">
        <w:t xml:space="preserve">. Vortigern alone is blamed for the ‘Ruin of Britain’, leaving the way for a succession of heroic British warriors, reconnected with God, to revive the nation. This is inferred by a Biblical metaphor which </w:t>
      </w:r>
      <w:r w:rsidR="00450A2A">
        <w:lastRenderedPageBreak/>
        <w:t xml:space="preserve">concludes the chapters </w:t>
      </w:r>
      <w:r w:rsidR="00F943B5">
        <w:t>concerning</w:t>
      </w:r>
      <w:r w:rsidR="00450A2A">
        <w:t xml:space="preserve"> </w:t>
      </w:r>
      <w:r w:rsidR="00450A2A" w:rsidRPr="00450A2A">
        <w:rPr>
          <w:i/>
        </w:rPr>
        <w:t>The Life of Saint Patrick</w:t>
      </w:r>
      <w:r w:rsidR="00450A2A" w:rsidRPr="006C6122">
        <w:t xml:space="preserve"> </w:t>
      </w:r>
      <w:r w:rsidR="00450A2A">
        <w:t>in which the saint is compared with Moses</w:t>
      </w:r>
      <w:r w:rsidR="00450A2A">
        <w:rPr>
          <w:rStyle w:val="FootnoteReference"/>
        </w:rPr>
        <w:footnoteReference w:id="27"/>
      </w:r>
      <w:r w:rsidR="00450A2A">
        <w:t>. This comparison has been taken to imply that, just as Moses precedes Joshua, so Patrick precedes Arthur</w:t>
      </w:r>
      <w:r w:rsidR="00450A2A">
        <w:rPr>
          <w:rStyle w:val="FootnoteReference"/>
        </w:rPr>
        <w:footnoteReference w:id="28"/>
      </w:r>
      <w:r w:rsidR="00450A2A">
        <w:t xml:space="preserve">, who is indeed introduced in the next chapter </w:t>
      </w:r>
      <w:r w:rsidR="00F45E9E">
        <w:t xml:space="preserve">which </w:t>
      </w:r>
      <w:r w:rsidR="00450A2A">
        <w:t>contain</w:t>
      </w:r>
      <w:r w:rsidR="00F45E9E">
        <w:t>s</w:t>
      </w:r>
      <w:r w:rsidR="00450A2A">
        <w:t xml:space="preserve"> a list of his campaigns</w:t>
      </w:r>
      <w:r w:rsidR="00450A2A">
        <w:rPr>
          <w:rStyle w:val="FootnoteReference"/>
        </w:rPr>
        <w:footnoteReference w:id="29"/>
      </w:r>
      <w:r w:rsidR="00450A2A">
        <w:t xml:space="preserve">. </w:t>
      </w:r>
      <w:r w:rsidR="00F943B5">
        <w:t xml:space="preserve"> </w:t>
      </w:r>
    </w:p>
    <w:p w14:paraId="291208D3" w14:textId="4655B80A" w:rsidR="00120A64" w:rsidRPr="00F943B5" w:rsidRDefault="00B007F3" w:rsidP="00F943B5">
      <w:pPr>
        <w:spacing w:before="100" w:beforeAutospacing="1" w:after="100" w:afterAutospacing="1" w:line="480" w:lineRule="auto"/>
      </w:pPr>
      <w:r>
        <w:rPr>
          <w:rFonts w:eastAsia="Times New Roman" w:cstheme="minorHAnsi"/>
          <w:color w:val="373A3C"/>
        </w:rPr>
        <w:t>T</w:t>
      </w:r>
      <w:r w:rsidR="00120A64">
        <w:rPr>
          <w:rFonts w:eastAsia="Times New Roman" w:cstheme="minorHAnsi"/>
          <w:color w:val="373A3C"/>
        </w:rPr>
        <w:t xml:space="preserve">he original </w:t>
      </w:r>
      <w:r w:rsidR="00F943B5">
        <w:rPr>
          <w:rFonts w:eastAsia="Times New Roman" w:cstheme="minorHAnsi"/>
          <w:color w:val="373A3C"/>
        </w:rPr>
        <w:t xml:space="preserve">manuscript </w:t>
      </w:r>
      <w:r w:rsidR="00120A64">
        <w:rPr>
          <w:rFonts w:eastAsia="Times New Roman" w:cstheme="minorHAnsi"/>
          <w:color w:val="373A3C"/>
        </w:rPr>
        <w:t>is unlikely to be much earlier than 800, just before the fourth regnal year (829/30) of Merfyn Frych</w:t>
      </w:r>
      <w:r w:rsidR="00F37C1D">
        <w:rPr>
          <w:rFonts w:eastAsia="Times New Roman" w:cstheme="minorHAnsi"/>
          <w:color w:val="373A3C"/>
        </w:rPr>
        <w:t xml:space="preserve"> who,</w:t>
      </w:r>
      <w:r w:rsidR="00F37C1D" w:rsidRPr="00850D24">
        <w:rPr>
          <w:rFonts w:eastAsia="Times New Roman" w:cstheme="minorHAnsi"/>
          <w:color w:val="373A3C"/>
        </w:rPr>
        <w:t xml:space="preserve"> </w:t>
      </w:r>
      <w:r w:rsidR="00F37C1D">
        <w:rPr>
          <w:rFonts w:eastAsia="Times New Roman" w:cstheme="minorHAnsi"/>
          <w:color w:val="373A3C"/>
        </w:rPr>
        <w:t xml:space="preserve">having moved from the Isle of Man into the strongly hierarchical Welsh society of the day </w:t>
      </w:r>
      <w:r w:rsidR="00DC2BC8">
        <w:rPr>
          <w:rFonts w:eastAsia="Times New Roman" w:cstheme="minorHAnsi"/>
          <w:color w:val="373A3C"/>
        </w:rPr>
        <w:t xml:space="preserve">may have influenced the author to manipulate the facts in order </w:t>
      </w:r>
      <w:r w:rsidR="00F37C1D">
        <w:rPr>
          <w:rFonts w:eastAsia="Times New Roman" w:cstheme="minorHAnsi"/>
          <w:color w:val="373A3C"/>
        </w:rPr>
        <w:t xml:space="preserve">to </w:t>
      </w:r>
      <w:r w:rsidR="00DC2BC8">
        <w:rPr>
          <w:rFonts w:eastAsia="Times New Roman" w:cstheme="minorHAnsi"/>
          <w:color w:val="373A3C"/>
        </w:rPr>
        <w:t xml:space="preserve">legitimise his claim to the throne of Gwynedd </w:t>
      </w:r>
      <w:r w:rsidR="00F37C1D">
        <w:t>by providing an ancient noble dynasty for himself</w:t>
      </w:r>
      <w:r w:rsidR="00C10EC7">
        <w:rPr>
          <w:rFonts w:eastAsia="Times New Roman" w:cstheme="minorHAnsi"/>
          <w:color w:val="373A3C"/>
        </w:rPr>
        <w:t xml:space="preserve">. A practice which was not unusual for </w:t>
      </w:r>
      <w:r w:rsidR="0033422B">
        <w:rPr>
          <w:rFonts w:eastAsia="Times New Roman" w:cstheme="minorHAnsi"/>
          <w:color w:val="373A3C"/>
        </w:rPr>
        <w:t>Welsh chieftains</w:t>
      </w:r>
      <w:r w:rsidR="00850D24">
        <w:rPr>
          <w:rFonts w:eastAsia="Times New Roman" w:cstheme="minorHAnsi"/>
          <w:color w:val="373A3C"/>
        </w:rPr>
        <w:t xml:space="preserve"> </w:t>
      </w:r>
      <w:r w:rsidR="00C10EC7">
        <w:rPr>
          <w:rFonts w:eastAsia="Times New Roman" w:cstheme="minorHAnsi"/>
          <w:color w:val="373A3C"/>
        </w:rPr>
        <w:t xml:space="preserve">who </w:t>
      </w:r>
      <w:r w:rsidR="00850D24">
        <w:rPr>
          <w:rFonts w:eastAsia="Times New Roman" w:cstheme="minorHAnsi"/>
          <w:color w:val="373A3C"/>
        </w:rPr>
        <w:t>often maintain</w:t>
      </w:r>
      <w:r w:rsidR="0033422B">
        <w:rPr>
          <w:rFonts w:eastAsia="Times New Roman" w:cstheme="minorHAnsi"/>
          <w:color w:val="373A3C"/>
        </w:rPr>
        <w:t>ed</w:t>
      </w:r>
      <w:r w:rsidR="00850D24">
        <w:rPr>
          <w:rFonts w:eastAsia="Times New Roman" w:cstheme="minorHAnsi"/>
          <w:color w:val="373A3C"/>
        </w:rPr>
        <w:t xml:space="preserve"> a retinue of scholars </w:t>
      </w:r>
      <w:r w:rsidR="0033422B">
        <w:rPr>
          <w:rFonts w:eastAsia="Times New Roman" w:cstheme="minorHAnsi"/>
          <w:color w:val="373A3C"/>
        </w:rPr>
        <w:t>focusing on</w:t>
      </w:r>
      <w:r w:rsidR="00850D24">
        <w:rPr>
          <w:rFonts w:eastAsia="Times New Roman" w:cstheme="minorHAnsi"/>
          <w:color w:val="373A3C"/>
        </w:rPr>
        <w:t xml:space="preserve"> the </w:t>
      </w:r>
      <w:r w:rsidR="00B96EB8">
        <w:rPr>
          <w:rFonts w:eastAsia="Times New Roman" w:cstheme="minorHAnsi"/>
          <w:color w:val="373A3C"/>
        </w:rPr>
        <w:t xml:space="preserve">available </w:t>
      </w:r>
      <w:r w:rsidR="00850D24">
        <w:rPr>
          <w:rFonts w:eastAsia="Times New Roman" w:cstheme="minorHAnsi"/>
          <w:color w:val="373A3C"/>
        </w:rPr>
        <w:t>resources</w:t>
      </w:r>
      <w:r w:rsidR="00C10EC7" w:rsidRPr="00C10EC7">
        <w:rPr>
          <w:rFonts w:eastAsia="Times New Roman" w:cstheme="minorHAnsi"/>
          <w:color w:val="373A3C"/>
        </w:rPr>
        <w:t xml:space="preserve"> </w:t>
      </w:r>
      <w:r w:rsidR="00C10EC7">
        <w:rPr>
          <w:rFonts w:eastAsia="Times New Roman" w:cstheme="minorHAnsi"/>
          <w:color w:val="373A3C"/>
        </w:rPr>
        <w:t>to carry out similar tasks</w:t>
      </w:r>
      <w:r w:rsidR="00C10EC7">
        <w:rPr>
          <w:rStyle w:val="FootnoteReference"/>
          <w:rFonts w:eastAsia="Times New Roman" w:cstheme="minorHAnsi"/>
          <w:color w:val="373A3C"/>
        </w:rPr>
        <w:footnoteReference w:id="30"/>
      </w:r>
      <w:r w:rsidR="00C10EC7">
        <w:rPr>
          <w:rFonts w:eastAsia="Times New Roman" w:cstheme="minorHAnsi"/>
          <w:color w:val="373A3C"/>
        </w:rPr>
        <w:t xml:space="preserve">. </w:t>
      </w:r>
      <w:r w:rsidR="009E5EA1">
        <w:rPr>
          <w:rFonts w:eastAsia="Times New Roman" w:cstheme="minorHAnsi"/>
          <w:color w:val="373A3C"/>
        </w:rPr>
        <w:t>Further alterations in the form of</w:t>
      </w:r>
      <w:r w:rsidR="009E5EA1" w:rsidRPr="009E5EA1">
        <w:rPr>
          <w:rFonts w:eastAsia="Times New Roman" w:cstheme="minorHAnsi"/>
          <w:color w:val="373A3C"/>
        </w:rPr>
        <w:t xml:space="preserve"> </w:t>
      </w:r>
      <w:r w:rsidR="009E5EA1">
        <w:rPr>
          <w:rFonts w:eastAsia="Times New Roman" w:cstheme="minorHAnsi"/>
          <w:color w:val="373A3C"/>
        </w:rPr>
        <w:t>numerous editorial glosses are also evident</w:t>
      </w:r>
      <w:r w:rsidR="009E5EA1">
        <w:rPr>
          <w:rStyle w:val="FootnoteReference"/>
          <w:rFonts w:eastAsia="Times New Roman" w:cstheme="minorHAnsi"/>
          <w:color w:val="373A3C"/>
        </w:rPr>
        <w:footnoteReference w:id="31"/>
      </w:r>
      <w:r w:rsidR="009E5EA1">
        <w:rPr>
          <w:rFonts w:eastAsia="Times New Roman" w:cstheme="minorHAnsi"/>
          <w:color w:val="373A3C"/>
        </w:rPr>
        <w:t xml:space="preserve"> in t</w:t>
      </w:r>
      <w:r w:rsidR="00120A64">
        <w:rPr>
          <w:rFonts w:eastAsia="Times New Roman" w:cstheme="minorHAnsi"/>
          <w:color w:val="373A3C"/>
        </w:rPr>
        <w:t>he earliest surviving copy of the complete text</w:t>
      </w:r>
      <w:r w:rsidR="00FC7DA7">
        <w:rPr>
          <w:rStyle w:val="FootnoteReference"/>
          <w:rFonts w:eastAsia="Times New Roman" w:cstheme="minorHAnsi"/>
          <w:color w:val="373A3C"/>
        </w:rPr>
        <w:footnoteReference w:id="32"/>
      </w:r>
      <w:r w:rsidR="003014CD">
        <w:rPr>
          <w:rFonts w:eastAsia="Times New Roman" w:cstheme="minorHAnsi"/>
          <w:color w:val="373A3C"/>
        </w:rPr>
        <w:t>,</w:t>
      </w:r>
      <w:r w:rsidR="00C10EC7">
        <w:rPr>
          <w:rFonts w:eastAsia="Times New Roman" w:cstheme="minorHAnsi"/>
          <w:color w:val="373A3C"/>
        </w:rPr>
        <w:t xml:space="preserve"> written</w:t>
      </w:r>
      <w:r w:rsidR="00120A64">
        <w:rPr>
          <w:rFonts w:eastAsia="Times New Roman" w:cstheme="minorHAnsi"/>
          <w:color w:val="373A3C"/>
        </w:rPr>
        <w:t xml:space="preserve"> about </w:t>
      </w:r>
      <w:r w:rsidR="00C10EC7">
        <w:rPr>
          <w:rFonts w:eastAsia="Times New Roman" w:cstheme="minorHAnsi"/>
          <w:color w:val="373A3C"/>
        </w:rPr>
        <w:t>three hundred years later</w:t>
      </w:r>
      <w:r w:rsidR="00120A64">
        <w:rPr>
          <w:rFonts w:eastAsia="Times New Roman" w:cstheme="minorHAnsi"/>
          <w:color w:val="373A3C"/>
        </w:rPr>
        <w:t xml:space="preserve">, </w:t>
      </w:r>
      <w:r w:rsidR="009E5EA1">
        <w:rPr>
          <w:rFonts w:eastAsia="Times New Roman" w:cstheme="minorHAnsi"/>
          <w:color w:val="373A3C"/>
        </w:rPr>
        <w:t>but</w:t>
      </w:r>
      <w:r w:rsidR="00120A64">
        <w:rPr>
          <w:rFonts w:eastAsia="Times New Roman" w:cstheme="minorHAnsi"/>
          <w:color w:val="373A3C"/>
        </w:rPr>
        <w:t xml:space="preserve"> </w:t>
      </w:r>
      <w:r w:rsidR="00C10EC7">
        <w:rPr>
          <w:rFonts w:eastAsia="Times New Roman" w:cstheme="minorHAnsi"/>
          <w:color w:val="373A3C"/>
        </w:rPr>
        <w:t xml:space="preserve">which </w:t>
      </w:r>
      <w:r w:rsidR="00120A64">
        <w:rPr>
          <w:rFonts w:eastAsia="Times New Roman" w:cstheme="minorHAnsi"/>
          <w:color w:val="373A3C"/>
        </w:rPr>
        <w:t xml:space="preserve">does not include the </w:t>
      </w:r>
      <w:r w:rsidR="00120A64" w:rsidRPr="003014CD">
        <w:rPr>
          <w:rFonts w:eastAsia="Times New Roman" w:cstheme="minorHAnsi"/>
          <w:i/>
          <w:color w:val="373A3C"/>
        </w:rPr>
        <w:t>Nennian preface</w:t>
      </w:r>
      <w:r w:rsidR="00120A64">
        <w:rPr>
          <w:rFonts w:eastAsia="Times New Roman" w:cstheme="minorHAnsi"/>
          <w:color w:val="373A3C"/>
        </w:rPr>
        <w:t xml:space="preserve"> which claim</w:t>
      </w:r>
      <w:r w:rsidR="00A039BC">
        <w:rPr>
          <w:rFonts w:eastAsia="Times New Roman" w:cstheme="minorHAnsi"/>
          <w:color w:val="373A3C"/>
        </w:rPr>
        <w:t>s that</w:t>
      </w:r>
      <w:r w:rsidR="00120A64">
        <w:rPr>
          <w:rFonts w:eastAsia="Times New Roman" w:cstheme="minorHAnsi"/>
          <w:color w:val="373A3C"/>
        </w:rPr>
        <w:t xml:space="preserve"> one author</w:t>
      </w:r>
      <w:r w:rsidR="00975AB6">
        <w:rPr>
          <w:rFonts w:eastAsia="Times New Roman" w:cstheme="minorHAnsi"/>
          <w:color w:val="373A3C"/>
        </w:rPr>
        <w:t xml:space="preserve"> develop</w:t>
      </w:r>
      <w:r w:rsidR="00A039BC">
        <w:rPr>
          <w:rFonts w:eastAsia="Times New Roman" w:cstheme="minorHAnsi"/>
          <w:color w:val="373A3C"/>
        </w:rPr>
        <w:t>ed</w:t>
      </w:r>
      <w:r w:rsidR="00975AB6">
        <w:rPr>
          <w:rFonts w:eastAsia="Times New Roman" w:cstheme="minorHAnsi"/>
          <w:color w:val="373A3C"/>
        </w:rPr>
        <w:t xml:space="preserve"> </w:t>
      </w:r>
      <w:r w:rsidR="00A039BC">
        <w:rPr>
          <w:rFonts w:eastAsia="Times New Roman" w:cstheme="minorHAnsi"/>
          <w:color w:val="373A3C"/>
        </w:rPr>
        <w:t>the</w:t>
      </w:r>
      <w:r w:rsidR="00975AB6">
        <w:rPr>
          <w:rFonts w:eastAsia="Times New Roman" w:cstheme="minorHAnsi"/>
          <w:color w:val="373A3C"/>
        </w:rPr>
        <w:t xml:space="preserve"> narrative</w:t>
      </w:r>
      <w:r w:rsidR="00120A64">
        <w:rPr>
          <w:rFonts w:eastAsia="Times New Roman" w:cstheme="minorHAnsi"/>
          <w:color w:val="373A3C"/>
        </w:rPr>
        <w:t xml:space="preserve">: </w:t>
      </w:r>
    </w:p>
    <w:p w14:paraId="33E9497D" w14:textId="38ABE57C" w:rsidR="00120A64" w:rsidRDefault="00120A64" w:rsidP="00120A64">
      <w:pPr>
        <w:spacing w:before="100" w:beforeAutospacing="1" w:after="100" w:afterAutospacing="1"/>
        <w:ind w:left="720"/>
      </w:pPr>
      <w:r>
        <w:rPr>
          <w:i/>
        </w:rPr>
        <w:t>……. from the writings of the Irish and the English, and out of the tradition of our elders</w:t>
      </w:r>
      <w:r>
        <w:rPr>
          <w:rStyle w:val="FootnoteReference"/>
          <w:i/>
        </w:rPr>
        <w:footnoteReference w:id="33"/>
      </w:r>
      <w:r w:rsidR="00E80D82">
        <w:rPr>
          <w:i/>
        </w:rPr>
        <w:t>.</w:t>
      </w:r>
    </w:p>
    <w:p w14:paraId="17B51B27" w14:textId="7DB0A2F9" w:rsidR="00120A64" w:rsidRDefault="00120A64" w:rsidP="00120A64">
      <w:pPr>
        <w:spacing w:before="100" w:beforeAutospacing="1" w:after="100" w:afterAutospacing="1" w:line="480" w:lineRule="auto"/>
      </w:pPr>
      <w:r>
        <w:rPr>
          <w:rFonts w:eastAsia="Times New Roman" w:cstheme="minorHAnsi"/>
          <w:color w:val="373A3C"/>
        </w:rPr>
        <w:t xml:space="preserve">It is sensible to assume that the original writer </w:t>
      </w:r>
      <w:r w:rsidR="00975AB6">
        <w:rPr>
          <w:rFonts w:eastAsia="Times New Roman" w:cstheme="minorHAnsi"/>
          <w:color w:val="373A3C"/>
        </w:rPr>
        <w:t xml:space="preserve">did </w:t>
      </w:r>
      <w:r>
        <w:rPr>
          <w:rFonts w:eastAsia="Times New Roman" w:cstheme="minorHAnsi"/>
          <w:color w:val="373A3C"/>
        </w:rPr>
        <w:t>dr</w:t>
      </w:r>
      <w:r w:rsidR="00975AB6">
        <w:rPr>
          <w:rFonts w:eastAsia="Times New Roman" w:cstheme="minorHAnsi"/>
          <w:color w:val="373A3C"/>
        </w:rPr>
        <w:t>a</w:t>
      </w:r>
      <w:r>
        <w:rPr>
          <w:rFonts w:eastAsia="Times New Roman" w:cstheme="minorHAnsi"/>
          <w:color w:val="373A3C"/>
        </w:rPr>
        <w:t>w on pre-existing texts</w:t>
      </w:r>
      <w:r w:rsidR="004B33EC">
        <w:rPr>
          <w:rFonts w:eastAsia="Times New Roman" w:cstheme="minorHAnsi"/>
          <w:color w:val="373A3C"/>
        </w:rPr>
        <w:t xml:space="preserve"> and oral folklore</w:t>
      </w:r>
      <w:r w:rsidR="00975AB6">
        <w:rPr>
          <w:rFonts w:eastAsia="Times New Roman" w:cstheme="minorHAnsi"/>
          <w:color w:val="373A3C"/>
        </w:rPr>
        <w:t>,</w:t>
      </w:r>
      <w:r>
        <w:rPr>
          <w:rFonts w:eastAsia="Times New Roman" w:cstheme="minorHAnsi"/>
          <w:color w:val="373A3C"/>
        </w:rPr>
        <w:t xml:space="preserve"> in an attempt to make sense of the past</w:t>
      </w:r>
      <w:r w:rsidR="00975AB6">
        <w:rPr>
          <w:rFonts w:eastAsia="Times New Roman" w:cstheme="minorHAnsi"/>
          <w:color w:val="373A3C"/>
        </w:rPr>
        <w:t>,</w:t>
      </w:r>
      <w:r>
        <w:rPr>
          <w:rFonts w:eastAsia="Times New Roman" w:cstheme="minorHAnsi"/>
          <w:color w:val="373A3C"/>
        </w:rPr>
        <w:t xml:space="preserve"> but </w:t>
      </w:r>
      <w:r w:rsidR="009E5EA1">
        <w:rPr>
          <w:rFonts w:eastAsia="Times New Roman" w:cstheme="minorHAnsi"/>
          <w:color w:val="373A3C"/>
        </w:rPr>
        <w:t>many</w:t>
      </w:r>
      <w:r>
        <w:rPr>
          <w:rFonts w:eastAsia="Times New Roman" w:cstheme="minorHAnsi"/>
          <w:color w:val="373A3C"/>
        </w:rPr>
        <w:t xml:space="preserve"> </w:t>
      </w:r>
      <w:r w:rsidR="00450A2A">
        <w:rPr>
          <w:rFonts w:eastAsia="Times New Roman" w:cstheme="minorHAnsi"/>
          <w:color w:val="373A3C"/>
        </w:rPr>
        <w:t xml:space="preserve">of his </w:t>
      </w:r>
      <w:r>
        <w:rPr>
          <w:rFonts w:eastAsia="Times New Roman" w:cstheme="minorHAnsi"/>
          <w:color w:val="373A3C"/>
        </w:rPr>
        <w:t>sources, such as the</w:t>
      </w:r>
      <w:r w:rsidRPr="00DB45EA">
        <w:rPr>
          <w:i/>
        </w:rPr>
        <w:t xml:space="preserve"> </w:t>
      </w:r>
      <w:r w:rsidRPr="00063FAA">
        <w:rPr>
          <w:i/>
        </w:rPr>
        <w:t>Life of Germanus</w:t>
      </w:r>
      <w:r w:rsidR="004B33EC">
        <w:rPr>
          <w:rStyle w:val="FootnoteReference"/>
          <w:i/>
        </w:rPr>
        <w:footnoteReference w:id="34"/>
      </w:r>
      <w:r>
        <w:t>, no longer ex</w:t>
      </w:r>
      <w:r w:rsidR="00846205">
        <w:t>ist</w:t>
      </w:r>
      <w:r>
        <w:t xml:space="preserve"> and </w:t>
      </w:r>
      <w:r w:rsidR="00846205">
        <w:t xml:space="preserve">are </w:t>
      </w:r>
      <w:r w:rsidR="00975AB6">
        <w:t xml:space="preserve">therefore impossible to date to the period </w:t>
      </w:r>
      <w:r>
        <w:t xml:space="preserve">he was </w:t>
      </w:r>
      <w:r>
        <w:lastRenderedPageBreak/>
        <w:t>attempting to describe. Both Higham and Barber</w:t>
      </w:r>
      <w:r w:rsidR="00975AB6">
        <w:t>, although they are also sceptical as to the accuracy of the record,</w:t>
      </w:r>
      <w:r>
        <w:t xml:space="preserve"> </w:t>
      </w:r>
      <w:r w:rsidR="00E80D82">
        <w:t xml:space="preserve">seem to agree </w:t>
      </w:r>
      <w:r w:rsidR="00450A2A">
        <w:t xml:space="preserve">with the account of a fluctuating power struggle culminating in, </w:t>
      </w:r>
      <w:r>
        <w:t xml:space="preserve">what was initially portrayed by Gildas as, </w:t>
      </w:r>
      <w:r w:rsidR="006E2FC7">
        <w:t xml:space="preserve">a </w:t>
      </w:r>
      <w:r>
        <w:t xml:space="preserve"> decisive </w:t>
      </w:r>
      <w:r w:rsidR="006E2FC7">
        <w:t xml:space="preserve">British </w:t>
      </w:r>
      <w:r>
        <w:t>victory at the siege of Badon Hill</w:t>
      </w:r>
      <w:r>
        <w:rPr>
          <w:rStyle w:val="FootnoteReference"/>
        </w:rPr>
        <w:footnoteReference w:id="35"/>
      </w:r>
      <w:r>
        <w:t xml:space="preserve"> </w:t>
      </w:r>
      <w:r>
        <w:rPr>
          <w:rStyle w:val="FootnoteReference"/>
        </w:rPr>
        <w:footnoteReference w:id="36"/>
      </w:r>
      <w:r w:rsidR="006D3B8D">
        <w:t>. T</w:t>
      </w:r>
      <w:r w:rsidR="00C2288E">
        <w:t>his</w:t>
      </w:r>
      <w:r w:rsidR="00450A2A">
        <w:t xml:space="preserve"> period of unrest</w:t>
      </w:r>
      <w:r w:rsidR="00C2288E">
        <w:t xml:space="preserve"> </w:t>
      </w:r>
      <w:r>
        <w:t xml:space="preserve">is represented </w:t>
      </w:r>
      <w:r w:rsidR="00A039BC">
        <w:t>by yet another metaphor, this time mythological,</w:t>
      </w:r>
      <w:r>
        <w:t xml:space="preserve"> in the story of the struggle between the red dragon of the Britons and white dragon of the Anglo-Saxons, the significance of which is explained to Vortigern by the boy Emrys</w:t>
      </w:r>
      <w:r>
        <w:rPr>
          <w:rStyle w:val="FootnoteReference"/>
        </w:rPr>
        <w:footnoteReference w:id="37"/>
      </w:r>
      <w:r w:rsidR="006E2FC7">
        <w:t>, so once again we have fact interwoven with legend.</w:t>
      </w:r>
      <w:r w:rsidR="00F938D9">
        <w:t xml:space="preserve"> </w:t>
      </w:r>
    </w:p>
    <w:p w14:paraId="184FB93C" w14:textId="5A818809" w:rsidR="0026183A" w:rsidRDefault="000E4398" w:rsidP="000E4398">
      <w:pPr>
        <w:spacing w:before="100" w:beforeAutospacing="1" w:after="100" w:afterAutospacing="1" w:line="480" w:lineRule="auto"/>
      </w:pPr>
      <w:r>
        <w:t xml:space="preserve">By fitting the jig-saw pieces together with the aid of some additional linking metaphor, an image can be created for </w:t>
      </w:r>
      <w:r w:rsidR="004C385E">
        <w:t>Arthur</w:t>
      </w:r>
      <w:r w:rsidR="00120A64">
        <w:t xml:space="preserve"> as the leader in battle, of the British kings, against the pagan invaders, </w:t>
      </w:r>
      <w:r w:rsidR="0026183A">
        <w:t xml:space="preserve">even as a type of the </w:t>
      </w:r>
      <w:r w:rsidR="0026183A" w:rsidRPr="00680A77">
        <w:rPr>
          <w:i/>
        </w:rPr>
        <w:t>warrior Christ</w:t>
      </w:r>
      <w:r w:rsidR="0026183A">
        <w:rPr>
          <w:rStyle w:val="FootnoteReference"/>
        </w:rPr>
        <w:footnoteReference w:id="38"/>
      </w:r>
      <w:r w:rsidR="0026183A">
        <w:t>, an image which can be discerned in some modern compositions</w:t>
      </w:r>
      <w:r w:rsidR="0026183A">
        <w:rPr>
          <w:rStyle w:val="FootnoteReference"/>
        </w:rPr>
        <w:footnoteReference w:id="39"/>
      </w:r>
      <w:r w:rsidR="00BD5C39">
        <w:t xml:space="preserve"> but is more explicit in the </w:t>
      </w:r>
      <w:r w:rsidR="00BD5C39" w:rsidRPr="00BD5C39">
        <w:rPr>
          <w:i/>
        </w:rPr>
        <w:t>Historia</w:t>
      </w:r>
      <w:r w:rsidR="00BD5C39">
        <w:t>.</w:t>
      </w:r>
    </w:p>
    <w:p w14:paraId="6C799000" w14:textId="77777777" w:rsidR="0026183A" w:rsidRPr="006D3B8D" w:rsidRDefault="0026183A" w:rsidP="000E4398">
      <w:pPr>
        <w:spacing w:before="100" w:beforeAutospacing="1" w:after="100" w:afterAutospacing="1"/>
        <w:ind w:left="720"/>
      </w:pPr>
      <w:r w:rsidRPr="00076F3A">
        <w:rPr>
          <w:i/>
        </w:rPr>
        <w:t>Then Arthur fought against them in those days, together with the kings of the British; but he was their leader in battle</w:t>
      </w:r>
      <w:r>
        <w:rPr>
          <w:rStyle w:val="FootnoteReference"/>
          <w:i/>
        </w:rPr>
        <w:footnoteReference w:id="40"/>
      </w:r>
      <w:r w:rsidRPr="00076F3A">
        <w:rPr>
          <w:i/>
        </w:rPr>
        <w:t>.</w:t>
      </w:r>
    </w:p>
    <w:p w14:paraId="486A0653" w14:textId="33EFF275" w:rsidR="00C525CB" w:rsidRDefault="00120A64" w:rsidP="00C525CB">
      <w:pPr>
        <w:spacing w:before="100" w:beforeAutospacing="1" w:after="100" w:afterAutospacing="1" w:line="480" w:lineRule="auto"/>
      </w:pPr>
      <w:r>
        <w:t>That there are twelve battles listed</w:t>
      </w:r>
      <w:r w:rsidR="00BD5C39">
        <w:t>,</w:t>
      </w:r>
      <w:r>
        <w:t xml:space="preserve"> </w:t>
      </w:r>
      <w:r w:rsidR="002E5578">
        <w:t>four of which take place</w:t>
      </w:r>
      <w:r w:rsidR="002E5578" w:rsidRPr="002E5578">
        <w:t xml:space="preserve"> </w:t>
      </w:r>
      <w:r w:rsidR="002E5578">
        <w:t>on the banks of the same river,</w:t>
      </w:r>
      <w:r w:rsidR="00C525CB">
        <w:t xml:space="preserve"> </w:t>
      </w:r>
    </w:p>
    <w:p w14:paraId="4DFC72EE" w14:textId="77777777" w:rsidR="00C525CB" w:rsidRDefault="002E5578" w:rsidP="00C525CB">
      <w:pPr>
        <w:spacing w:before="100" w:beforeAutospacing="1" w:after="100" w:afterAutospacing="1" w:line="480" w:lineRule="auto"/>
        <w:ind w:firstLine="720"/>
      </w:pPr>
      <w:r w:rsidRPr="00EA0C58">
        <w:rPr>
          <w:i/>
        </w:rPr>
        <w:t>called the Douglas, which is in the country of Lindsey</w:t>
      </w:r>
      <w:r>
        <w:rPr>
          <w:rStyle w:val="FootnoteReference"/>
        </w:rPr>
        <w:footnoteReference w:id="41"/>
      </w:r>
      <w:r w:rsidR="00C525CB">
        <w:t>,</w:t>
      </w:r>
      <w:r w:rsidR="00120A64" w:rsidRPr="00E102F2">
        <w:t xml:space="preserve"> </w:t>
      </w:r>
    </w:p>
    <w:p w14:paraId="2ECFF971" w14:textId="00B1A0A1" w:rsidR="00FC5544" w:rsidRDefault="00120A64" w:rsidP="00FC5544">
      <w:pPr>
        <w:spacing w:before="100" w:beforeAutospacing="1" w:after="100" w:afterAutospacing="1" w:line="480" w:lineRule="auto"/>
      </w:pPr>
      <w:r>
        <w:t>appears to be deliberately contrived in order to</w:t>
      </w:r>
      <w:r w:rsidR="00C525CB" w:rsidRPr="00C525CB">
        <w:t xml:space="preserve"> </w:t>
      </w:r>
      <w:r w:rsidR="00C525CB">
        <w:t>boost the number of his campaigns to twelve</w:t>
      </w:r>
      <w:r w:rsidR="00C525CB">
        <w:rPr>
          <w:rStyle w:val="FootnoteReference"/>
        </w:rPr>
        <w:footnoteReference w:id="42"/>
      </w:r>
      <w:r w:rsidR="00C525CB">
        <w:t>,</w:t>
      </w:r>
      <w:r>
        <w:t xml:space="preserve"> </w:t>
      </w:r>
      <w:r w:rsidR="00C525CB">
        <w:t xml:space="preserve">thereby </w:t>
      </w:r>
      <w:r>
        <w:t>continu</w:t>
      </w:r>
      <w:r w:rsidR="00C525CB">
        <w:t>ing</w:t>
      </w:r>
      <w:r>
        <w:t xml:space="preserve"> the Joshua, metaphor, with its twelve tribes and reference to twelve stones from the River Jordan. Arthur </w:t>
      </w:r>
      <w:r w:rsidR="00FB155C">
        <w:t xml:space="preserve">is portrayed, </w:t>
      </w:r>
      <w:r>
        <w:t>not only as a national, warrior-</w:t>
      </w:r>
      <w:r>
        <w:lastRenderedPageBreak/>
        <w:t>leader of the Britons, but also, as one who restores Britain from the ruin, described by Gildas, through his Christian allegiance</w:t>
      </w:r>
      <w:r w:rsidR="00D87AFF">
        <w:t>. This theme of repentance and restoration</w:t>
      </w:r>
      <w:r w:rsidR="004F1684">
        <w:t xml:space="preserve"> </w:t>
      </w:r>
      <w:r w:rsidR="00D87AFF">
        <w:t>i</w:t>
      </w:r>
      <w:r w:rsidR="004F1684">
        <w:t xml:space="preserve">s </w:t>
      </w:r>
      <w:r w:rsidR="000E2750">
        <w:t>expressed through</w:t>
      </w:r>
      <w:r>
        <w:t xml:space="preserve"> repeated </w:t>
      </w:r>
      <w:r w:rsidR="001F3E92">
        <w:t>Christian</w:t>
      </w:r>
      <w:r>
        <w:t xml:space="preserve"> references includ</w:t>
      </w:r>
      <w:r w:rsidR="004F1684">
        <w:t>ing</w:t>
      </w:r>
      <w:r>
        <w:t xml:space="preserve">, his carrying, </w:t>
      </w:r>
    </w:p>
    <w:p w14:paraId="2A3DFB29" w14:textId="3C1FE639" w:rsidR="00120A64" w:rsidRPr="00437C1F" w:rsidRDefault="00120A64" w:rsidP="00FC5544">
      <w:pPr>
        <w:spacing w:before="100" w:beforeAutospacing="1" w:after="100" w:afterAutospacing="1"/>
        <w:ind w:firstLine="720"/>
        <w:rPr>
          <w:i/>
        </w:rPr>
      </w:pPr>
      <w:r w:rsidRPr="00437C1F">
        <w:rPr>
          <w:i/>
        </w:rPr>
        <w:t>the image of  the holy Mary, the everlasting Virgin, on his [shield],</w:t>
      </w:r>
      <w:r w:rsidRPr="00437C1F">
        <w:rPr>
          <w:rStyle w:val="FootnoteReference"/>
          <w:i/>
        </w:rPr>
        <w:footnoteReference w:id="43"/>
      </w:r>
    </w:p>
    <w:p w14:paraId="30014453" w14:textId="718A47D4" w:rsidR="002A02EE" w:rsidRDefault="00120A64" w:rsidP="00120A64">
      <w:pPr>
        <w:spacing w:before="100" w:beforeAutospacing="1" w:after="100" w:afterAutospacing="1" w:line="480" w:lineRule="auto"/>
      </w:pPr>
      <w:r>
        <w:t xml:space="preserve">(Old-Welsh: </w:t>
      </w:r>
      <w:r w:rsidRPr="001B373F">
        <w:rPr>
          <w:i/>
        </w:rPr>
        <w:t xml:space="preserve">yscuit </w:t>
      </w:r>
      <w:r>
        <w:t>shield) at the battle of Guinnion Fort</w:t>
      </w:r>
      <w:r w:rsidR="00D87AFF">
        <w:t xml:space="preserve"> and</w:t>
      </w:r>
      <w:r w:rsidR="007F311B">
        <w:t xml:space="preserve"> </w:t>
      </w:r>
      <w:r>
        <w:t xml:space="preserve">a similar </w:t>
      </w:r>
      <w:r w:rsidR="007F311B">
        <w:t>account</w:t>
      </w:r>
      <w:r w:rsidR="00D20AB8">
        <w:t>,</w:t>
      </w:r>
      <w:r>
        <w:t xml:space="preserve"> </w:t>
      </w:r>
      <w:r w:rsidR="00D20AB8">
        <w:t xml:space="preserve">in the Annales Cambriae, </w:t>
      </w:r>
      <w:r w:rsidR="00437C1F">
        <w:t>in which</w:t>
      </w:r>
      <w:r>
        <w:t xml:space="preserve"> </w:t>
      </w:r>
      <w:r w:rsidR="000E2750">
        <w:t>he</w:t>
      </w:r>
      <w:r>
        <w:t xml:space="preserve"> carr</w:t>
      </w:r>
      <w:r w:rsidR="00437C1F">
        <w:t>ies</w:t>
      </w:r>
      <w:r w:rsidR="00D20AB8">
        <w:t xml:space="preserve"> the Cross of Christ</w:t>
      </w:r>
      <w:r>
        <w:t xml:space="preserve"> on his shoulders (Old-Welsh: </w:t>
      </w:r>
      <w:r w:rsidRPr="001B373F">
        <w:rPr>
          <w:i/>
        </w:rPr>
        <w:t>yscuid</w:t>
      </w:r>
      <w:r>
        <w:t xml:space="preserve"> shoulder)</w:t>
      </w:r>
      <w:r w:rsidR="00D20AB8">
        <w:t xml:space="preserve"> at the Battle of Badon</w:t>
      </w:r>
      <w:r w:rsidR="00D25791">
        <w:t xml:space="preserve"> in 516</w:t>
      </w:r>
      <w:r>
        <w:t xml:space="preserve">. The </w:t>
      </w:r>
      <w:r w:rsidR="000E2750">
        <w:t>theory that</w:t>
      </w:r>
      <w:r>
        <w:t xml:space="preserve"> this as </w:t>
      </w:r>
      <w:r w:rsidR="00D25791">
        <w:t>a misinterpretation</w:t>
      </w:r>
      <w:r>
        <w:t xml:space="preserve">, occurring in both texts, is </w:t>
      </w:r>
      <w:r w:rsidR="00D87AFF">
        <w:t>supported by the fact that there is no record of</w:t>
      </w:r>
      <w:r>
        <w:t xml:space="preserve"> such detailed emblems on shields of that date</w:t>
      </w:r>
      <w:r>
        <w:rPr>
          <w:rStyle w:val="FootnoteReference"/>
        </w:rPr>
        <w:footnoteReference w:id="44"/>
      </w:r>
      <w:r>
        <w:t xml:space="preserve"> and suggests that</w:t>
      </w:r>
      <w:r w:rsidR="007F311B">
        <w:t>, either</w:t>
      </w:r>
      <w:r>
        <w:t xml:space="preserve"> one is based on the other</w:t>
      </w:r>
      <w:r w:rsidR="007F311B">
        <w:t>,</w:t>
      </w:r>
      <w:r>
        <w:t xml:space="preserve"> or that they had access to a common source,</w:t>
      </w:r>
      <w:r w:rsidR="00D20AB8">
        <w:t xml:space="preserve"> </w:t>
      </w:r>
      <w:r w:rsidR="007F311B">
        <w:t>which</w:t>
      </w:r>
      <w:r>
        <w:t xml:space="preserve"> Dumville</w:t>
      </w:r>
      <w:r w:rsidR="007F311B">
        <w:t>, argues must be</w:t>
      </w:r>
      <w:r>
        <w:t xml:space="preserve"> a set of annals</w:t>
      </w:r>
      <w:r>
        <w:rPr>
          <w:rStyle w:val="FootnoteReference"/>
        </w:rPr>
        <w:footnoteReference w:id="45"/>
      </w:r>
      <w:r>
        <w:t>.</w:t>
      </w:r>
      <w:r w:rsidRPr="00401C3B">
        <w:t xml:space="preserve"> </w:t>
      </w:r>
      <w:r w:rsidR="00D25791">
        <w:t>Such</w:t>
      </w:r>
      <w:r>
        <w:t xml:space="preserve"> references to Arthur in the </w:t>
      </w:r>
      <w:r w:rsidRPr="0003768A">
        <w:rPr>
          <w:i/>
        </w:rPr>
        <w:t>Annales Cambriae</w:t>
      </w:r>
      <w:r w:rsidR="00D20AB8">
        <w:rPr>
          <w:i/>
        </w:rPr>
        <w:t xml:space="preserve">, </w:t>
      </w:r>
      <w:r w:rsidR="00D20AB8">
        <w:t>as well as giving greater detail of</w:t>
      </w:r>
      <w:r w:rsidR="00D25791">
        <w:t xml:space="preserve"> </w:t>
      </w:r>
      <w:r w:rsidR="00467AB6">
        <w:t>his</w:t>
      </w:r>
      <w:r w:rsidR="00D25791">
        <w:t xml:space="preserve"> role in the  battles, also</w:t>
      </w:r>
      <w:r>
        <w:t xml:space="preserve"> </w:t>
      </w:r>
      <w:r w:rsidR="000E2750">
        <w:t>provide</w:t>
      </w:r>
      <w:r>
        <w:t xml:space="preserve"> dates</w:t>
      </w:r>
      <w:r w:rsidR="00D25791">
        <w:t xml:space="preserve">, </w:t>
      </w:r>
      <w:r w:rsidR="009A2D04">
        <w:t xml:space="preserve">and other </w:t>
      </w:r>
      <w:r w:rsidR="00D25791">
        <w:t xml:space="preserve">details </w:t>
      </w:r>
      <w:r w:rsidR="00D20AB8">
        <w:t>missing from</w:t>
      </w:r>
      <w:r>
        <w:t xml:space="preserve"> the </w:t>
      </w:r>
      <w:r w:rsidRPr="0003768A">
        <w:rPr>
          <w:i/>
        </w:rPr>
        <w:t xml:space="preserve">De Excidio Britanniae </w:t>
      </w:r>
      <w:r>
        <w:t xml:space="preserve">and the </w:t>
      </w:r>
      <w:r w:rsidRPr="0003768A">
        <w:rPr>
          <w:i/>
        </w:rPr>
        <w:t>Historia Brittonum</w:t>
      </w:r>
      <w:r>
        <w:rPr>
          <w:i/>
        </w:rPr>
        <w:t>.</w:t>
      </w:r>
      <w:r>
        <w:t xml:space="preserve"> There is also reference to Arthur’s last battle in 537, the Battle of </w:t>
      </w:r>
      <w:r w:rsidRPr="00D25791">
        <w:rPr>
          <w:i/>
        </w:rPr>
        <w:t>Camlann</w:t>
      </w:r>
      <w:r>
        <w:t xml:space="preserve">, in which Arthur and </w:t>
      </w:r>
      <w:r w:rsidRPr="00D25791">
        <w:rPr>
          <w:i/>
        </w:rPr>
        <w:t>Medraut</w:t>
      </w:r>
      <w:r>
        <w:t xml:space="preserve"> fell</w:t>
      </w:r>
      <w:r>
        <w:rPr>
          <w:rStyle w:val="FootnoteReference"/>
        </w:rPr>
        <w:footnoteReference w:id="46"/>
      </w:r>
      <w:r>
        <w:t xml:space="preserve">. </w:t>
      </w:r>
    </w:p>
    <w:p w14:paraId="26D92E69" w14:textId="216495DF" w:rsidR="00120A64" w:rsidRDefault="00120A64" w:rsidP="00120A64">
      <w:pPr>
        <w:spacing w:before="100" w:beforeAutospacing="1" w:after="100" w:afterAutospacing="1" w:line="480" w:lineRule="auto"/>
      </w:pPr>
      <w:r>
        <w:t xml:space="preserve">As with all of these early sources there is </w:t>
      </w:r>
      <w:r w:rsidR="00D25791">
        <w:t>disagreement</w:t>
      </w:r>
      <w:r w:rsidR="00437C1F">
        <w:t xml:space="preserve"> about interpretation</w:t>
      </w:r>
      <w:r w:rsidR="00FC5544">
        <w:t>,</w:t>
      </w:r>
      <w:r>
        <w:t xml:space="preserve"> but the detail</w:t>
      </w:r>
      <w:r w:rsidR="00D25791">
        <w:t xml:space="preserve"> provided</w:t>
      </w:r>
      <w:r>
        <w:t xml:space="preserve"> begin</w:t>
      </w:r>
      <w:r w:rsidR="000E2750">
        <w:t>s</w:t>
      </w:r>
      <w:r>
        <w:t xml:space="preserve"> to lay the foundation for Arthur’s portrayal as a figure from history. </w:t>
      </w:r>
      <w:r w:rsidR="002A02EE">
        <w:t>On the other hand, t</w:t>
      </w:r>
      <w:r>
        <w:t xml:space="preserve">he account of his single-handed slaughter of almost a thousand English warriors at Badon Hill, a battle previously mentioned </w:t>
      </w:r>
      <w:r w:rsidR="002A02EE">
        <w:t>by</w:t>
      </w:r>
      <w:r>
        <w:t xml:space="preserve"> Gildas</w:t>
      </w:r>
      <w:r w:rsidR="00F9121A">
        <w:t>,</w:t>
      </w:r>
    </w:p>
    <w:p w14:paraId="74D635CD" w14:textId="3FBF3CB5" w:rsidR="00120A64" w:rsidRPr="00760DA1" w:rsidRDefault="00120A64" w:rsidP="00120A64">
      <w:pPr>
        <w:spacing w:before="100" w:beforeAutospacing="1" w:after="100" w:afterAutospacing="1"/>
        <w:ind w:left="720"/>
      </w:pPr>
      <w:r w:rsidRPr="005C5EA4">
        <w:rPr>
          <w:i/>
        </w:rPr>
        <w:lastRenderedPageBreak/>
        <w:t>and in it</w:t>
      </w:r>
      <w:r>
        <w:rPr>
          <w:i/>
        </w:rPr>
        <w:t xml:space="preserve"> </w:t>
      </w:r>
      <w:r w:rsidRPr="008A399D">
        <w:t>(the battle)</w:t>
      </w:r>
      <w:r w:rsidRPr="005C5EA4">
        <w:rPr>
          <w:i/>
        </w:rPr>
        <w:t xml:space="preserve"> nine hundred and sixty men fell</w:t>
      </w:r>
      <w:r>
        <w:rPr>
          <w:i/>
        </w:rPr>
        <w:t xml:space="preserve"> </w:t>
      </w:r>
      <w:r w:rsidRPr="005C5EA4">
        <w:rPr>
          <w:i/>
        </w:rPr>
        <w:t>in one day, from a single charge of Arthur’s, and no one laid them low save he alone; and he was victorious in all his campaigns</w:t>
      </w:r>
      <w:r>
        <w:rPr>
          <w:rStyle w:val="FootnoteReference"/>
          <w:i/>
        </w:rPr>
        <w:footnoteReference w:id="47"/>
      </w:r>
    </w:p>
    <w:p w14:paraId="58DAFA7F" w14:textId="33775790" w:rsidR="00120A64" w:rsidRDefault="00120A64" w:rsidP="00120A64">
      <w:pPr>
        <w:spacing w:before="100" w:beforeAutospacing="1" w:after="100" w:afterAutospacing="1" w:line="480" w:lineRule="auto"/>
      </w:pPr>
      <w:r>
        <w:t>if considered with the two Arthurian place-name stories</w:t>
      </w:r>
      <w:r w:rsidR="00F9121A">
        <w:t>, Carn Cafal and the tomb of Amr,</w:t>
      </w:r>
      <w:r>
        <w:t xml:space="preserve"> recounted in</w:t>
      </w:r>
      <w:r w:rsidR="001605D0">
        <w:t xml:space="preserve"> </w:t>
      </w:r>
      <w:r w:rsidR="001605D0" w:rsidRPr="001605D0">
        <w:t>the</w:t>
      </w:r>
      <w:r w:rsidR="001605D0" w:rsidRPr="001605D0">
        <w:rPr>
          <w:i/>
        </w:rPr>
        <w:t xml:space="preserve"> Mirabilia</w:t>
      </w:r>
      <w:r w:rsidR="002A02EE">
        <w:rPr>
          <w:rStyle w:val="FootnoteReference"/>
        </w:rPr>
        <w:footnoteReference w:id="48"/>
      </w:r>
      <w:r>
        <w:t xml:space="preserve">, </w:t>
      </w:r>
      <w:r w:rsidR="00D87AFF">
        <w:t>presents</w:t>
      </w:r>
      <w:r w:rsidR="00437C1F">
        <w:t xml:space="preserve"> him</w:t>
      </w:r>
      <w:r>
        <w:t xml:space="preserve"> as a </w:t>
      </w:r>
      <w:r w:rsidR="00D87AFF">
        <w:t xml:space="preserve">mythological </w:t>
      </w:r>
      <w:r>
        <w:t>figure of folklore</w:t>
      </w:r>
      <w:r w:rsidR="004454CB">
        <w:t xml:space="preserve"> with supernatural powers and</w:t>
      </w:r>
      <w:r>
        <w:t xml:space="preserve"> linked with particular places, </w:t>
      </w:r>
      <w:r w:rsidR="00D87AFF">
        <w:t xml:space="preserve">rather </w:t>
      </w:r>
      <w:r w:rsidR="007B517E">
        <w:t>than</w:t>
      </w:r>
      <w:r>
        <w:t xml:space="preserve"> the Christian, warrior</w:t>
      </w:r>
      <w:r w:rsidR="007B517E">
        <w:t xml:space="preserve">- </w:t>
      </w:r>
      <w:r>
        <w:t xml:space="preserve">leader of the Britons revealed in chapter 56 of the </w:t>
      </w:r>
      <w:r w:rsidRPr="008C3E41">
        <w:rPr>
          <w:i/>
        </w:rPr>
        <w:t>Historia</w:t>
      </w:r>
      <w:r w:rsidR="00FB155C">
        <w:t>.</w:t>
      </w:r>
      <w:r>
        <w:t xml:space="preserve"> </w:t>
      </w:r>
    </w:p>
    <w:p w14:paraId="7968BADA" w14:textId="639BAC7D" w:rsidR="00CE274E" w:rsidRDefault="00FC5544" w:rsidP="00FC5544">
      <w:pPr>
        <w:spacing w:before="100" w:beforeAutospacing="1" w:after="100" w:afterAutospacing="1" w:line="480" w:lineRule="auto"/>
      </w:pPr>
      <w:r>
        <w:t xml:space="preserve">In addition to these </w:t>
      </w:r>
      <w:r w:rsidR="001605D0">
        <w:t>ostensibly</w:t>
      </w:r>
      <w:r>
        <w:t xml:space="preserve"> historical documents, there are other pre-Galfridian texts, in the form of poetry and story, which throw some light on the character of Arthur, although they reveal more about Arthur’s world</w:t>
      </w:r>
      <w:r>
        <w:rPr>
          <w:rStyle w:val="FootnoteReference"/>
        </w:rPr>
        <w:footnoteReference w:id="49"/>
      </w:r>
      <w:r w:rsidR="007B517E">
        <w:t xml:space="preserve"> than evidence of his existence</w:t>
      </w:r>
      <w:r>
        <w:t>. Again, we must be careful, when considering these, to re</w:t>
      </w:r>
      <w:r w:rsidR="00467AB6">
        <w:t>cognise</w:t>
      </w:r>
      <w:r>
        <w:t xml:space="preserve"> that the written form in which some of the</w:t>
      </w:r>
      <w:r w:rsidR="00FA4C3F">
        <w:t xml:space="preserve">m </w:t>
      </w:r>
      <w:r>
        <w:t>survive</w:t>
      </w:r>
      <w:r w:rsidR="007B517E">
        <w:t>,</w:t>
      </w:r>
      <w:r>
        <w:t xml:space="preserve"> </w:t>
      </w:r>
      <w:r w:rsidR="007B517E">
        <w:t>reveal patterns and</w:t>
      </w:r>
      <w:r>
        <w:t xml:space="preserve"> variation</w:t>
      </w:r>
      <w:r w:rsidR="007B517E">
        <w:t>s</w:t>
      </w:r>
      <w:r>
        <w:t xml:space="preserve"> consistent with the oral tradition of the </w:t>
      </w:r>
      <w:r w:rsidRPr="001874BC">
        <w:rPr>
          <w:i/>
        </w:rPr>
        <w:t>cyfarwyddiaid</w:t>
      </w:r>
      <w:r>
        <w:t xml:space="preserve"> and therefore, suggestive of an earlier oral transmission</w:t>
      </w:r>
      <w:r>
        <w:rPr>
          <w:rStyle w:val="FootnoteReference"/>
        </w:rPr>
        <w:footnoteReference w:id="50"/>
      </w:r>
      <w:r w:rsidR="007B517E">
        <w:t>.</w:t>
      </w:r>
      <w:r>
        <w:t xml:space="preserve"> </w:t>
      </w:r>
      <w:r w:rsidR="007B517E">
        <w:t>D</w:t>
      </w:r>
      <w:r>
        <w:t xml:space="preserve">espite the well-developed skill of the story tellers and bards </w:t>
      </w:r>
      <w:r w:rsidR="00933503">
        <w:t xml:space="preserve">in the use of references such as </w:t>
      </w:r>
      <w:r w:rsidR="00933503" w:rsidRPr="009059C0">
        <w:rPr>
          <w:i/>
        </w:rPr>
        <w:t xml:space="preserve">Trioedd Ynys Prydein </w:t>
      </w:r>
      <w:r w:rsidR="00933503">
        <w:t>to</w:t>
      </w:r>
      <w:r>
        <w:t xml:space="preserve"> memoris</w:t>
      </w:r>
      <w:r w:rsidR="00933503">
        <w:t>e</w:t>
      </w:r>
      <w:r>
        <w:t xml:space="preserve"> and transmit these narratives faithfully, </w:t>
      </w:r>
      <w:r w:rsidR="007B517E">
        <w:t>they were</w:t>
      </w:r>
      <w:r>
        <w:t xml:space="preserve"> always liable to a degree of error</w:t>
      </w:r>
      <w:r>
        <w:rPr>
          <w:rStyle w:val="FootnoteReference"/>
        </w:rPr>
        <w:footnoteReference w:id="51"/>
      </w:r>
      <w:r>
        <w:t xml:space="preserve">. The two copies of the story of </w:t>
      </w:r>
      <w:r w:rsidRPr="007B517E">
        <w:rPr>
          <w:i/>
        </w:rPr>
        <w:t>Culhwch ac Olwen</w:t>
      </w:r>
      <w:r>
        <w:t xml:space="preserve"> from the Red Book of Hergest and the White Book of Rhydderch, however, are by an author well versed in the techniques of the cyfarwydd</w:t>
      </w:r>
      <w:r w:rsidR="000A7C93">
        <w:t>iaid</w:t>
      </w:r>
      <w:r>
        <w:t xml:space="preserve"> both in structure and delivery. He makes use of a basic Tale-Type</w:t>
      </w:r>
      <w:r w:rsidR="00933503">
        <w:t xml:space="preserve"> (AT513A)</w:t>
      </w:r>
      <w:r w:rsidR="00404C2D">
        <w:rPr>
          <w:rStyle w:val="FootnoteReference"/>
        </w:rPr>
        <w:footnoteReference w:id="52"/>
      </w:r>
      <w:r>
        <w:t xml:space="preserve"> to bring together existing stories into one narrative</w:t>
      </w:r>
      <w:r w:rsidR="00467AB6">
        <w:t>,</w:t>
      </w:r>
      <w:r>
        <w:t xml:space="preserve"> culminating in the hunting of the boar, </w:t>
      </w:r>
      <w:r w:rsidRPr="00BB65E8">
        <w:rPr>
          <w:i/>
        </w:rPr>
        <w:t>Twrch Trwyth</w:t>
      </w:r>
      <w:r w:rsidR="00106EBB">
        <w:rPr>
          <w:i/>
        </w:rPr>
        <w:t xml:space="preserve"> </w:t>
      </w:r>
      <w:r>
        <w:t>and in so doing reveals something of the structure of Arthur’s world, his court, his closest companions</w:t>
      </w:r>
      <w:r w:rsidR="001701CD">
        <w:t>,</w:t>
      </w:r>
      <w:r>
        <w:t xml:space="preserve"> Cai, Bedwyr, and Gwalchmai, and his </w:t>
      </w:r>
      <w:r w:rsidR="001701CD">
        <w:t>role</w:t>
      </w:r>
      <w:r>
        <w:t xml:space="preserve"> </w:t>
      </w:r>
      <w:r>
        <w:lastRenderedPageBreak/>
        <w:t>as leader, defender and monster slayer; Chief of the Kings of Britain</w:t>
      </w:r>
      <w:r>
        <w:rPr>
          <w:rStyle w:val="FootnoteReference"/>
        </w:rPr>
        <w:footnoteReference w:id="53"/>
      </w:r>
      <w:r>
        <w:t xml:space="preserve">, but more concerned with leading than ruling. The extensive Court-List, which Culhwch uses to </w:t>
      </w:r>
      <w:r w:rsidR="000A7C93">
        <w:t>persuade</w:t>
      </w:r>
      <w:r>
        <w:t xml:space="preserve"> Arthur to stick to his promise, is a particularly useful source of detail, but is a device more usually employed to enhance the hero’s stature as, for example, in the poem </w:t>
      </w:r>
      <w:r w:rsidRPr="00655CB9">
        <w:rPr>
          <w:i/>
        </w:rPr>
        <w:t>Pa ŵr yw’r porthor?</w:t>
      </w:r>
      <w:r>
        <w:rPr>
          <w:i/>
        </w:rPr>
        <w:t>,</w:t>
      </w:r>
      <w:r>
        <w:t xml:space="preserve"> one of a series of poems in the Black Book of Carmarthen. </w:t>
      </w:r>
      <w:r w:rsidR="000A7C93">
        <w:t>This</w:t>
      </w:r>
      <w:r>
        <w:t xml:space="preserve"> begins with a dialogue between Arthur and the gatekeeper in which Arthur lists his men and their heroic exploits. It has been </w:t>
      </w:r>
      <w:r w:rsidR="00F76AD2">
        <w:t>claim</w:t>
      </w:r>
      <w:r>
        <w:t>ed that this poem, despite some historical references, moves the figure of Arthur from a suggested historical context to one of mythology</w:t>
      </w:r>
      <w:r>
        <w:rPr>
          <w:rStyle w:val="FootnoteReference"/>
        </w:rPr>
        <w:footnoteReference w:id="54"/>
      </w:r>
      <w:r>
        <w:t xml:space="preserve">. Similarly, in </w:t>
      </w:r>
      <w:r w:rsidRPr="007C7B37">
        <w:rPr>
          <w:i/>
        </w:rPr>
        <w:t>Preiddiau Annwn</w:t>
      </w:r>
      <w:r>
        <w:rPr>
          <w:i/>
        </w:rPr>
        <w:t>,</w:t>
      </w:r>
      <w:r>
        <w:t xml:space="preserve"> Taliesin draws on existing folklore, concerning an overseas expedition undertaken by Arthur, to compose a story about the rescue of a person in distress, in this case </w:t>
      </w:r>
      <w:r w:rsidRPr="00C120BE">
        <w:rPr>
          <w:i/>
        </w:rPr>
        <w:t>Gweir ap Gweirioed</w:t>
      </w:r>
      <w:r>
        <w:t xml:space="preserve">, one of the </w:t>
      </w:r>
      <w:r w:rsidRPr="00C120BE">
        <w:rPr>
          <w:i/>
        </w:rPr>
        <w:t>Tri Goruchel Garchara</w:t>
      </w:r>
      <w:r>
        <w:rPr>
          <w:i/>
        </w:rPr>
        <w:t>w</w:t>
      </w:r>
      <w:r w:rsidRPr="00C120BE">
        <w:rPr>
          <w:i/>
        </w:rPr>
        <w:t>r Ynys Brydein</w:t>
      </w:r>
      <w:r>
        <w:rPr>
          <w:rStyle w:val="FootnoteReference"/>
          <w:i/>
        </w:rPr>
        <w:footnoteReference w:id="55"/>
      </w:r>
      <w:r>
        <w:t xml:space="preserve"> who was imprisoned overseas</w:t>
      </w:r>
      <w:r w:rsidR="00C01BDB">
        <w:t>.</w:t>
      </w:r>
      <w:r>
        <w:t xml:space="preserve"> </w:t>
      </w:r>
      <w:r w:rsidR="00C01BDB">
        <w:t>This</w:t>
      </w:r>
      <w:r>
        <w:t xml:space="preserve"> presages the</w:t>
      </w:r>
      <w:r w:rsidR="00C01BDB">
        <w:t xml:space="preserve"> </w:t>
      </w:r>
      <w:r w:rsidR="000A7C93">
        <w:t xml:space="preserve">later literary interpretations carrying a strong </w:t>
      </w:r>
      <w:r w:rsidR="008E6DF5">
        <w:t>moral</w:t>
      </w:r>
      <w:r w:rsidR="000A7C93">
        <w:t xml:space="preserve"> message through the ideal of chivalry</w:t>
      </w:r>
      <w:r>
        <w:rPr>
          <w:rStyle w:val="FootnoteReference"/>
        </w:rPr>
        <w:footnoteReference w:id="56"/>
      </w:r>
      <w:r>
        <w:t>.</w:t>
      </w:r>
      <w:r w:rsidR="00A265B4">
        <w:t xml:space="preserve"> The jig-saw </w:t>
      </w:r>
      <w:r w:rsidR="007D73F6">
        <w:t xml:space="preserve">begins to reveal an image of Arthur but </w:t>
      </w:r>
      <w:r w:rsidR="00912FA5">
        <w:t xml:space="preserve">within </w:t>
      </w:r>
      <w:r w:rsidR="002A1620">
        <w:t>an indistinct border of historical probability</w:t>
      </w:r>
      <w:r w:rsidR="007D73F6">
        <w:t>.</w:t>
      </w:r>
      <w:bookmarkStart w:id="0" w:name="_GoBack"/>
      <w:bookmarkEnd w:id="0"/>
    </w:p>
    <w:p w14:paraId="7FD598D6" w14:textId="30DA8C34" w:rsidR="00FC5544" w:rsidRDefault="00FC5544" w:rsidP="00FC5544">
      <w:pPr>
        <w:spacing w:before="100" w:beforeAutospacing="1" w:after="100" w:afterAutospacing="1" w:line="480" w:lineRule="auto"/>
      </w:pPr>
      <w:r>
        <w:t>The evidence considered so far suggests that, while it may be possible to claim some biographical detail</w:t>
      </w:r>
      <w:r w:rsidR="001605D0">
        <w:t>s</w:t>
      </w:r>
      <w:r>
        <w:t xml:space="preserve"> for a historical Arthur, these are obfuscated by his </w:t>
      </w:r>
      <w:r w:rsidR="00C00B8E">
        <w:t>portrayal</w:t>
      </w:r>
      <w:r>
        <w:t xml:space="preserve"> as a mythological character, capable of entry to a parallel land of magic where he overcomes giants, witches and other monsters.</w:t>
      </w:r>
      <w:r w:rsidR="00F504C0">
        <w:t xml:space="preserve"> </w:t>
      </w:r>
      <w:r>
        <w:t xml:space="preserve">The </w:t>
      </w:r>
      <w:r w:rsidRPr="001701CD">
        <w:rPr>
          <w:i/>
        </w:rPr>
        <w:t>Annales Cambriae</w:t>
      </w:r>
      <w:r>
        <w:t xml:space="preserve"> provides dates for two of Arthur’s battles, Badon (516) and Camlann (537), but doubts have been expressed as to their accuracy. </w:t>
      </w:r>
      <w:r w:rsidR="003C5B11">
        <w:t xml:space="preserve">Many believe </w:t>
      </w:r>
      <w:r>
        <w:t xml:space="preserve">that they probably took place about fifteen years earlier, which </w:t>
      </w:r>
      <w:r>
        <w:lastRenderedPageBreak/>
        <w:t xml:space="preserve">is consistent with Gildas who </w:t>
      </w:r>
      <w:r w:rsidR="003C5B11">
        <w:t xml:space="preserve">was born </w:t>
      </w:r>
      <w:r w:rsidR="009368B1">
        <w:t>in about 496</w:t>
      </w:r>
      <w:r w:rsidR="003C5B11">
        <w:t>, the same year as Badon.</w:t>
      </w:r>
      <w:r>
        <w:t xml:space="preserve"> This implies that Arthur could not have been born later than about 465</w:t>
      </w:r>
      <w:r>
        <w:rPr>
          <w:rStyle w:val="FootnoteReference"/>
        </w:rPr>
        <w:footnoteReference w:id="57"/>
      </w:r>
      <w:r>
        <w:t xml:space="preserve">, which </w:t>
      </w:r>
      <w:r w:rsidR="00D4561E">
        <w:t xml:space="preserve">also </w:t>
      </w:r>
      <w:r w:rsidR="008E6DF5">
        <w:t>matches up</w:t>
      </w:r>
      <w:r>
        <w:t xml:space="preserve"> with the reference to an Arthur in the </w:t>
      </w:r>
      <w:r w:rsidRPr="00657D0E">
        <w:rPr>
          <w:i/>
        </w:rPr>
        <w:t>Gododdin</w:t>
      </w:r>
      <w:r w:rsidR="00F76AD2">
        <w:rPr>
          <w:i/>
        </w:rPr>
        <w:t>,</w:t>
      </w:r>
      <w:r>
        <w:t xml:space="preserve"> </w:t>
      </w:r>
      <w:r w:rsidR="00CB30F3">
        <w:t xml:space="preserve">but </w:t>
      </w:r>
      <w:r w:rsidR="001701CD">
        <w:t xml:space="preserve">which of the </w:t>
      </w:r>
      <w:r>
        <w:t>four or five</w:t>
      </w:r>
      <w:r w:rsidR="009368B1">
        <w:t xml:space="preserve"> Bri</w:t>
      </w:r>
      <w:r w:rsidR="003C5B11">
        <w:t>tish Arthurs</w:t>
      </w:r>
      <w:r>
        <w:t xml:space="preserve"> of tha</w:t>
      </w:r>
      <w:r w:rsidR="003C5B11">
        <w:t>t</w:t>
      </w:r>
      <w:r>
        <w:t xml:space="preserve"> </w:t>
      </w:r>
      <w:r w:rsidR="00106EBB">
        <w:t>period</w:t>
      </w:r>
      <w:r w:rsidR="001701CD">
        <w:t xml:space="preserve"> is unclear</w:t>
      </w:r>
      <w:r w:rsidR="005A68FF">
        <w:t xml:space="preserve"> and the beginnings of a solution to the puzzle remain tantalisingly out of reach</w:t>
      </w:r>
      <w:r>
        <w:t>. His name appears to be derived from the common Roman name Artorius, and he may have been one of a series of post-Roman, British chieftains who led the resistance against the Saxons, following the departure of Ambrosius Aurelianus</w:t>
      </w:r>
      <w:r w:rsidR="003C5B11">
        <w:t xml:space="preserve"> and</w:t>
      </w:r>
      <w:r>
        <w:t xml:space="preserve"> may have been practised in Roman military tactics</w:t>
      </w:r>
      <w:r w:rsidR="003C5B11">
        <w:t>.</w:t>
      </w:r>
      <w:r>
        <w:t xml:space="preserve"> </w:t>
      </w:r>
      <w:r w:rsidR="003C5B11">
        <w:t>These</w:t>
      </w:r>
      <w:r>
        <w:t xml:space="preserve"> skill</w:t>
      </w:r>
      <w:r w:rsidR="003C5B11">
        <w:t>s,</w:t>
      </w:r>
      <w:r w:rsidR="003C5B11" w:rsidRPr="003C5B11">
        <w:t xml:space="preserve"> </w:t>
      </w:r>
      <w:r w:rsidR="003C5B11">
        <w:t>although there is no archaeological evidence to support a cavalry force</w:t>
      </w:r>
      <w:r w:rsidR="00ED0836">
        <w:t xml:space="preserve">, </w:t>
      </w:r>
      <w:r>
        <w:t>may have helped establish his position, as the leader of the British tribal forces, in their campaign</w:t>
      </w:r>
      <w:r w:rsidR="00800375">
        <w:t>s</w:t>
      </w:r>
      <w:r>
        <w:t xml:space="preserve"> against the Saxons</w:t>
      </w:r>
      <w:r>
        <w:rPr>
          <w:rStyle w:val="FootnoteReference"/>
        </w:rPr>
        <w:footnoteReference w:id="58"/>
      </w:r>
      <w:r>
        <w:t xml:space="preserve">. The list of his campaigns in the </w:t>
      </w:r>
      <w:r w:rsidRPr="003C5B11">
        <w:rPr>
          <w:i/>
        </w:rPr>
        <w:t>Historia Brittonum</w:t>
      </w:r>
      <w:r>
        <w:t xml:space="preserve"> identifies twelve battles but it is difficult to identify where many of these took place, or indeed whether some were added to </w:t>
      </w:r>
      <w:r w:rsidR="00693812">
        <w:t xml:space="preserve">create a Biblical parallel </w:t>
      </w:r>
      <w:r w:rsidR="003C5B11">
        <w:t xml:space="preserve">in </w:t>
      </w:r>
      <w:r>
        <w:t>support</w:t>
      </w:r>
      <w:r w:rsidR="003C5B11">
        <w:t xml:space="preserve"> of</w:t>
      </w:r>
      <w:r>
        <w:t xml:space="preserve"> the writer’s </w:t>
      </w:r>
      <w:r w:rsidR="003C5B11">
        <w:t>main</w:t>
      </w:r>
      <w:r w:rsidR="00D364C9">
        <w:t xml:space="preserve"> intention</w:t>
      </w:r>
      <w:r>
        <w:t>. Their suggested locations, however, cover a huge area extending from southern Scotland, through northern England, Wales, Cornwall and south-east England, so while there are possible pointers towards a historical</w:t>
      </w:r>
      <w:r w:rsidR="003C5B11">
        <w:t>,</w:t>
      </w:r>
      <w:r>
        <w:t xml:space="preserve"> </w:t>
      </w:r>
      <w:r w:rsidR="003C5B11">
        <w:t xml:space="preserve">Brythonic </w:t>
      </w:r>
      <w:r>
        <w:t xml:space="preserve">Arthur, </w:t>
      </w:r>
      <w:r w:rsidR="00C77448">
        <w:t xml:space="preserve">the </w:t>
      </w:r>
      <w:r w:rsidR="00A613B2">
        <w:t>constant</w:t>
      </w:r>
      <w:r w:rsidR="00C77448">
        <w:t xml:space="preserve"> possibility of authorial bias towards </w:t>
      </w:r>
      <w:r w:rsidR="00A613B2">
        <w:t xml:space="preserve">a </w:t>
      </w:r>
      <w:r w:rsidR="00C77448">
        <w:t>particular objective, m</w:t>
      </w:r>
      <w:r w:rsidR="00A613B2">
        <w:t>ake it difficult</w:t>
      </w:r>
      <w:r w:rsidR="00C77448">
        <w:t xml:space="preserve"> </w:t>
      </w:r>
      <w:r w:rsidR="00F95920">
        <w:t>t</w:t>
      </w:r>
      <w:r w:rsidR="00933503">
        <w:t>o</w:t>
      </w:r>
      <w:r w:rsidR="00F95920">
        <w:t xml:space="preserve"> show that </w:t>
      </w:r>
      <w:r w:rsidR="003C5B11">
        <w:t>he</w:t>
      </w:r>
      <w:r>
        <w:t xml:space="preserve"> exist</w:t>
      </w:r>
      <w:r w:rsidR="003C5B11">
        <w:t>ed</w:t>
      </w:r>
      <w:r>
        <w:t xml:space="preserve"> outside the world of mythology and legend</w:t>
      </w:r>
      <w:r w:rsidR="00ED0836">
        <w:t>.</w:t>
      </w:r>
    </w:p>
    <w:p w14:paraId="5F32F6D1" w14:textId="3CD11DB1" w:rsidR="009368B1" w:rsidRDefault="003C5B11" w:rsidP="009368B1">
      <w:pPr>
        <w:spacing w:before="100" w:beforeAutospacing="1" w:after="100" w:afterAutospacing="1" w:line="480" w:lineRule="auto"/>
      </w:pPr>
      <w:r>
        <w:t>It is from this</w:t>
      </w:r>
      <w:r w:rsidR="00C1754A">
        <w:t xml:space="preserve">, </w:t>
      </w:r>
      <w:r w:rsidR="00D364C9">
        <w:t>uncertain</w:t>
      </w:r>
      <w:r w:rsidR="00C1754A">
        <w:t>,</w:t>
      </w:r>
      <w:r>
        <w:t xml:space="preserve"> starting</w:t>
      </w:r>
      <w:r w:rsidR="009368B1">
        <w:t xml:space="preserve"> point </w:t>
      </w:r>
      <w:r w:rsidR="00C1754A">
        <w:t xml:space="preserve">that </w:t>
      </w:r>
      <w:r w:rsidR="009368B1">
        <w:t xml:space="preserve">we must consider Geoffrey of Monmouth’s History of the Kings of Britain, which appeared by January 1139. It was written for a Norman audience by a man, probably born in Wales but with strong Breton connections. He </w:t>
      </w:r>
      <w:r w:rsidR="00C1754A">
        <w:t>may have</w:t>
      </w:r>
      <w:r w:rsidR="009368B1">
        <w:t xml:space="preserve"> had access to the </w:t>
      </w:r>
      <w:r w:rsidR="00800375">
        <w:t xml:space="preserve">earlier </w:t>
      </w:r>
      <w:r w:rsidR="009368B1">
        <w:t xml:space="preserve">Arthurian material already discussed, as well as a knowledge </w:t>
      </w:r>
      <w:r w:rsidR="009368B1">
        <w:lastRenderedPageBreak/>
        <w:t>of Welsh and Breton folklore, but also claims to have in his possession a</w:t>
      </w:r>
      <w:r w:rsidR="00C85DC4">
        <w:t>n</w:t>
      </w:r>
      <w:r w:rsidR="00035813">
        <w:t xml:space="preserve"> additional</w:t>
      </w:r>
      <w:r w:rsidR="00C85DC4">
        <w:t xml:space="preserve"> text</w:t>
      </w:r>
      <w:r w:rsidR="005E5BD5">
        <w:t>,</w:t>
      </w:r>
      <w:r w:rsidR="004F3361">
        <w:t xml:space="preserve"> now lost,</w:t>
      </w:r>
    </w:p>
    <w:p w14:paraId="4133A6EA" w14:textId="11FDA600" w:rsidR="009368B1" w:rsidRPr="0041356A" w:rsidRDefault="00035813" w:rsidP="009368B1">
      <w:pPr>
        <w:spacing w:before="100" w:beforeAutospacing="1" w:after="100" w:afterAutospacing="1"/>
        <w:ind w:left="720"/>
        <w:rPr>
          <w:i/>
        </w:rPr>
      </w:pPr>
      <w:r>
        <w:rPr>
          <w:i/>
        </w:rPr>
        <w:t xml:space="preserve">a </w:t>
      </w:r>
      <w:r w:rsidR="009368B1" w:rsidRPr="0041356A">
        <w:rPr>
          <w:i/>
        </w:rPr>
        <w:t>very ancient book in the British language which set out in a consecutive and</w:t>
      </w:r>
      <w:r w:rsidR="009368B1">
        <w:rPr>
          <w:i/>
        </w:rPr>
        <w:t xml:space="preserve"> </w:t>
      </w:r>
      <w:r w:rsidR="009368B1" w:rsidRPr="0041356A">
        <w:rPr>
          <w:i/>
        </w:rPr>
        <w:t>orderly fashion the acts of all (the kings) from Brutus, the first king of the Britons, down to Cadwaladrus, the son of Cadwallo, in a style of great beauty.</w:t>
      </w:r>
    </w:p>
    <w:p w14:paraId="5DDE6C75" w14:textId="46D5F1FD" w:rsidR="00557687" w:rsidRDefault="009368B1" w:rsidP="00106EBB">
      <w:pPr>
        <w:spacing w:before="100" w:beforeAutospacing="1" w:after="100" w:afterAutospacing="1" w:line="480" w:lineRule="auto"/>
      </w:pPr>
      <w:r>
        <w:t xml:space="preserve">brought to him from Brittany by Walter, Archdeacon of Oxford. Geoffrey may have had only fragmentary knowledge of the early history of Britain, but this </w:t>
      </w:r>
      <w:r w:rsidR="00F95920">
        <w:t xml:space="preserve">allowed him the freedom to </w:t>
      </w:r>
      <w:r w:rsidR="005A68FF">
        <w:t xml:space="preserve">invent new episodes and characters </w:t>
      </w:r>
      <w:r w:rsidR="00F95920">
        <w:t>in order</w:t>
      </w:r>
      <w:r>
        <w:t xml:space="preserve"> to fill in any gaps in the narrative history </w:t>
      </w:r>
      <w:r w:rsidR="005A68FF">
        <w:t xml:space="preserve">and to </w:t>
      </w:r>
      <w:r>
        <w:t xml:space="preserve">construct a continuous, </w:t>
      </w:r>
      <w:r w:rsidR="005D3B5D">
        <w:t>animated</w:t>
      </w:r>
      <w:r>
        <w:t xml:space="preserve"> account of events, with Arthur </w:t>
      </w:r>
      <w:r w:rsidR="004F3361">
        <w:t>playing a pivotal role</w:t>
      </w:r>
      <w:r>
        <w:rPr>
          <w:rStyle w:val="FootnoteReference"/>
        </w:rPr>
        <w:footnoteReference w:id="59"/>
      </w:r>
      <w:r w:rsidR="00205E9C">
        <w:t>, giving a</w:t>
      </w:r>
      <w:r w:rsidR="005170AF">
        <w:t xml:space="preserve"> perceived</w:t>
      </w:r>
      <w:r w:rsidR="00205E9C">
        <w:t xml:space="preserve"> authenticity to the whole</w:t>
      </w:r>
      <w:r w:rsidR="007D73F6">
        <w:t>,</w:t>
      </w:r>
      <w:r w:rsidR="00205E9C">
        <w:t xml:space="preserve"> greater than the fragments of historical fact which prompted its composition</w:t>
      </w:r>
      <w:r>
        <w:t>.</w:t>
      </w:r>
      <w:r w:rsidR="00035813" w:rsidRPr="00035813">
        <w:t xml:space="preserve"> </w:t>
      </w:r>
      <w:r w:rsidR="00035813">
        <w:t xml:space="preserve">At the heart of the </w:t>
      </w:r>
      <w:r w:rsidR="00035813" w:rsidRPr="00800375">
        <w:rPr>
          <w:i/>
        </w:rPr>
        <w:t xml:space="preserve">Historia Regum Britanniae </w:t>
      </w:r>
      <w:r w:rsidR="00035813">
        <w:t xml:space="preserve">is the concept of </w:t>
      </w:r>
      <w:r w:rsidR="00134914">
        <w:t>one nation</w:t>
      </w:r>
      <w:r w:rsidR="005A68FF">
        <w:t>,</w:t>
      </w:r>
      <w:r w:rsidR="00134914">
        <w:t xml:space="preserve"> led by </w:t>
      </w:r>
      <w:r w:rsidR="00035813">
        <w:t xml:space="preserve">a single king, which loses sovereignty to the Saxons, </w:t>
      </w:r>
      <w:r w:rsidR="00134914">
        <w:t>but</w:t>
      </w:r>
      <w:r w:rsidR="00035813">
        <w:t xml:space="preserve">, as prophesised, experiences a period of success under Arthur’s leadership </w:t>
      </w:r>
      <w:r w:rsidR="0036599F">
        <w:t xml:space="preserve">and, because of the ambiguous nature of his demise, </w:t>
      </w:r>
      <w:r w:rsidR="005A68FF">
        <w:t>provokes</w:t>
      </w:r>
      <w:r w:rsidR="00FE2BF6">
        <w:t xml:space="preserve"> </w:t>
      </w:r>
      <w:r w:rsidR="004F3361">
        <w:t>the suggestion of future</w:t>
      </w:r>
      <w:r w:rsidR="0036599F">
        <w:t xml:space="preserve"> </w:t>
      </w:r>
      <w:r w:rsidR="00A613B2">
        <w:t>triumphs</w:t>
      </w:r>
      <w:r w:rsidR="00035813">
        <w:t>.</w:t>
      </w:r>
      <w:r>
        <w:t xml:space="preserve"> </w:t>
      </w:r>
    </w:p>
    <w:p w14:paraId="2C5B5895" w14:textId="3D7E648C" w:rsidR="00CA200D" w:rsidRDefault="009368B1" w:rsidP="00155C2D">
      <w:pPr>
        <w:spacing w:before="100" w:beforeAutospacing="1" w:after="100" w:afterAutospacing="1" w:line="480" w:lineRule="auto"/>
      </w:pPr>
      <w:r>
        <w:t xml:space="preserve">Such was the popularity of Geoffrey’s history, that it </w:t>
      </w:r>
      <w:r w:rsidR="00106EBB">
        <w:t>marks a watershed in Arthurian literature with Arthur emerging from a purely Brythonic background into a wider European context wh</w:t>
      </w:r>
      <w:r w:rsidR="005D3B5D">
        <w:t>ere</w:t>
      </w:r>
      <w:r w:rsidR="00106EBB">
        <w:t xml:space="preserve"> subsequent writers have continued to develop a narrative and character for </w:t>
      </w:r>
      <w:r w:rsidR="00951F8F">
        <w:t>him</w:t>
      </w:r>
      <w:r w:rsidR="00106EBB">
        <w:t xml:space="preserve"> to suit the needs </w:t>
      </w:r>
      <w:r w:rsidR="00FD1EA6">
        <w:t xml:space="preserve">and fashions </w:t>
      </w:r>
      <w:r w:rsidR="00106EBB">
        <w:t>of the time.</w:t>
      </w:r>
      <w:r w:rsidR="00F976B5">
        <w:t xml:space="preserve"> </w:t>
      </w:r>
      <w:r w:rsidR="00D14D17">
        <w:t>It is, in my view, this</w:t>
      </w:r>
      <w:r w:rsidR="00F976B5">
        <w:t xml:space="preserve"> lack of</w:t>
      </w:r>
      <w:r w:rsidR="00D14D17">
        <w:t xml:space="preserve"> </w:t>
      </w:r>
      <w:r w:rsidR="00F976B5">
        <w:t xml:space="preserve">incontestable biographical detail, within </w:t>
      </w:r>
      <w:r w:rsidR="005D3B5D">
        <w:t>a</w:t>
      </w:r>
      <w:r w:rsidR="00F976B5">
        <w:t xml:space="preserve"> minimal historical record</w:t>
      </w:r>
      <w:r w:rsidR="005D3B5D">
        <w:t xml:space="preserve"> but</w:t>
      </w:r>
      <w:r w:rsidR="00D14D17">
        <w:t xml:space="preserve"> </w:t>
      </w:r>
      <w:r w:rsidR="005D3B5D">
        <w:t>immersed in traditional oral material</w:t>
      </w:r>
      <w:r w:rsidR="00951F8F">
        <w:t>,</w:t>
      </w:r>
      <w:r w:rsidR="00F976B5">
        <w:t xml:space="preserve"> </w:t>
      </w:r>
      <w:r w:rsidR="0036599F">
        <w:t>which</w:t>
      </w:r>
      <w:r w:rsidR="00F976B5">
        <w:t xml:space="preserve"> allowed</w:t>
      </w:r>
      <w:r w:rsidR="002132ED">
        <w:t xml:space="preserve"> </w:t>
      </w:r>
      <w:r w:rsidR="00F976B5">
        <w:t>Geoffrey</w:t>
      </w:r>
      <w:r w:rsidR="00D14D17">
        <w:t xml:space="preserve"> the</w:t>
      </w:r>
      <w:r w:rsidR="00F976B5">
        <w:t xml:space="preserve"> </w:t>
      </w:r>
      <w:r w:rsidR="00205CBF">
        <w:t xml:space="preserve">freedom </w:t>
      </w:r>
      <w:r w:rsidR="00F976B5">
        <w:t>to weave his knowledge of Breton and British</w:t>
      </w:r>
      <w:r w:rsidR="00D35472">
        <w:t xml:space="preserve"> folklore</w:t>
      </w:r>
      <w:r w:rsidR="00740F9D">
        <w:t>,</w:t>
      </w:r>
      <w:r w:rsidR="00D35472">
        <w:t xml:space="preserve"> inc</w:t>
      </w:r>
      <w:r w:rsidR="00751A57">
        <w:t>luding</w:t>
      </w:r>
      <w:r w:rsidR="00D35472">
        <w:t xml:space="preserve"> </w:t>
      </w:r>
      <w:r w:rsidR="00F976B5">
        <w:t>place-names with</w:t>
      </w:r>
      <w:r w:rsidR="00F976B5" w:rsidRPr="006F7944">
        <w:t xml:space="preserve"> </w:t>
      </w:r>
      <w:r w:rsidR="00F976B5">
        <w:t>Arthurian links, into the framework</w:t>
      </w:r>
      <w:r w:rsidR="005D3B5D">
        <w:t xml:space="preserve"> of</w:t>
      </w:r>
      <w:r w:rsidR="00F976B5">
        <w:t xml:space="preserve"> the </w:t>
      </w:r>
      <w:r w:rsidR="00F976B5" w:rsidRPr="005D3B5D">
        <w:rPr>
          <w:i/>
        </w:rPr>
        <w:t>Historia Brittonum</w:t>
      </w:r>
      <w:r w:rsidR="00751A57">
        <w:t>. Chrétien de Troyes</w:t>
      </w:r>
      <w:r w:rsidR="0091313A">
        <w:t>, writing in the third quarter of the twelfth-century</w:t>
      </w:r>
      <w:r w:rsidR="00751A57">
        <w:t>, w</w:t>
      </w:r>
      <w:r w:rsidR="002132ED">
        <w:t>as</w:t>
      </w:r>
      <w:r w:rsidR="00751A57">
        <w:t xml:space="preserve"> </w:t>
      </w:r>
      <w:r w:rsidR="00751A57">
        <w:lastRenderedPageBreak/>
        <w:t>similarly able</w:t>
      </w:r>
      <w:r w:rsidR="00D14D17" w:rsidRPr="00D14D17">
        <w:t xml:space="preserve"> </w:t>
      </w:r>
      <w:r w:rsidR="00D14D17">
        <w:t xml:space="preserve">to </w:t>
      </w:r>
      <w:r w:rsidR="002132ED">
        <w:t>draw on</w:t>
      </w:r>
      <w:r w:rsidR="00A613B2" w:rsidRPr="00A613B2">
        <w:t xml:space="preserve"> </w:t>
      </w:r>
      <w:r w:rsidR="00A613B2">
        <w:t>oral sources of Breton lore and Celtic myth, as well as</w:t>
      </w:r>
      <w:r w:rsidR="00D14D17">
        <w:t xml:space="preserve"> </w:t>
      </w:r>
      <w:r w:rsidR="0091313A">
        <w:t>a limited range of texts</w:t>
      </w:r>
      <w:r w:rsidR="002132ED">
        <w:t>,</w:t>
      </w:r>
      <w:r w:rsidR="0091313A">
        <w:t xml:space="preserve"> </w:t>
      </w:r>
      <w:r w:rsidR="002132ED">
        <w:t>including a French translation of Geoffrey’s Historia</w:t>
      </w:r>
      <w:r w:rsidR="00A613B2">
        <w:t xml:space="preserve">, </w:t>
      </w:r>
      <w:r w:rsidR="002132ED">
        <w:t xml:space="preserve">to </w:t>
      </w:r>
      <w:r w:rsidR="00D14D17">
        <w:t>invent new detail, consistent with international folk themes</w:t>
      </w:r>
      <w:r w:rsidR="00951F8F">
        <w:t>,</w:t>
      </w:r>
      <w:r w:rsidR="00751A57">
        <w:t xml:space="preserve"> </w:t>
      </w:r>
      <w:r w:rsidR="0091313A">
        <w:t xml:space="preserve">in </w:t>
      </w:r>
      <w:r w:rsidR="002132ED">
        <w:t>his</w:t>
      </w:r>
      <w:r w:rsidR="00751A57">
        <w:t xml:space="preserve"> composi</w:t>
      </w:r>
      <w:r w:rsidR="0091313A">
        <w:t>tion of</w:t>
      </w:r>
      <w:r w:rsidR="00751A57">
        <w:t xml:space="preserve"> the first</w:t>
      </w:r>
      <w:r w:rsidR="0091313A">
        <w:t xml:space="preserve"> romances set in the Arthurian court with its familiar cast of characters</w:t>
      </w:r>
      <w:r w:rsidR="00C35D5C">
        <w:rPr>
          <w:rStyle w:val="FootnoteReference"/>
        </w:rPr>
        <w:footnoteReference w:id="60"/>
      </w:r>
      <w:r w:rsidR="00D14D17">
        <w:t xml:space="preserve">. </w:t>
      </w:r>
      <w:r w:rsidR="0091313A">
        <w:t>The</w:t>
      </w:r>
      <w:r w:rsidR="005D3B5D">
        <w:t xml:space="preserve">y, rather than the </w:t>
      </w:r>
      <w:r w:rsidR="00F6026A">
        <w:t>weak historical record,</w:t>
      </w:r>
      <w:r w:rsidR="00FD20DD">
        <w:t xml:space="preserve"> have inspired later writers</w:t>
      </w:r>
      <w:r w:rsidR="00E91F31">
        <w:t>, such as Thomas Malory</w:t>
      </w:r>
      <w:r w:rsidR="00CA414C">
        <w:rPr>
          <w:rStyle w:val="FootnoteReference"/>
        </w:rPr>
        <w:footnoteReference w:id="61"/>
      </w:r>
      <w:r w:rsidR="00DE6F2B">
        <w:t xml:space="preserve"> </w:t>
      </w:r>
      <w:r w:rsidR="009F4F08">
        <w:t>working at</w:t>
      </w:r>
      <w:r w:rsidR="00DE6F2B">
        <w:t xml:space="preserve"> the end of the fifteenth-century</w:t>
      </w:r>
      <w:r w:rsidR="00E91F31">
        <w:t>,</w:t>
      </w:r>
      <w:r w:rsidR="00FD20DD">
        <w:t xml:space="preserve"> to </w:t>
      </w:r>
      <w:r w:rsidR="0091313A">
        <w:t xml:space="preserve">develop the </w:t>
      </w:r>
      <w:r w:rsidR="009F4F08">
        <w:t xml:space="preserve">themes of </w:t>
      </w:r>
      <w:r w:rsidR="0091313A">
        <w:t>chivalr</w:t>
      </w:r>
      <w:r w:rsidR="009F4F08">
        <w:t>y</w:t>
      </w:r>
      <w:r w:rsidR="0091313A">
        <w:t xml:space="preserve"> and, in the Grail quest, </w:t>
      </w:r>
      <w:r w:rsidR="00F6026A">
        <w:t xml:space="preserve">to continue the theme of </w:t>
      </w:r>
      <w:r w:rsidR="0091313A">
        <w:t xml:space="preserve">the </w:t>
      </w:r>
      <w:r w:rsidR="00E91F31">
        <w:t xml:space="preserve">transformation of </w:t>
      </w:r>
      <w:r w:rsidR="00B36BBA">
        <w:t>the repentant</w:t>
      </w:r>
      <w:r w:rsidR="00E91F31">
        <w:t xml:space="preserve"> sinner (Lancelot) to saintly hermit</w:t>
      </w:r>
      <w:r w:rsidR="00E91F31">
        <w:rPr>
          <w:rStyle w:val="FootnoteReference"/>
        </w:rPr>
        <w:footnoteReference w:id="62"/>
      </w:r>
      <w:r w:rsidR="009F4F08">
        <w:t>. They</w:t>
      </w:r>
      <w:r w:rsidR="00E91F31">
        <w:t xml:space="preserve"> </w:t>
      </w:r>
      <w:r w:rsidR="0091313A">
        <w:t>provid</w:t>
      </w:r>
      <w:r w:rsidR="009F4F08">
        <w:t>e</w:t>
      </w:r>
      <w:r w:rsidR="0091313A">
        <w:t xml:space="preserve"> a</w:t>
      </w:r>
      <w:r w:rsidR="00FD20DD">
        <w:t xml:space="preserve"> pattern</w:t>
      </w:r>
      <w:r w:rsidR="0091313A">
        <w:t xml:space="preserve"> for living</w:t>
      </w:r>
      <w:r w:rsidR="00E70B2C">
        <w:t>,</w:t>
      </w:r>
      <w:r w:rsidR="0091313A">
        <w:t xml:space="preserve"> reminiscent of the </w:t>
      </w:r>
      <w:r w:rsidR="0091313A" w:rsidRPr="00EF39C8">
        <w:rPr>
          <w:i/>
        </w:rPr>
        <w:t>mirror for princes</w:t>
      </w:r>
      <w:r w:rsidR="0091313A">
        <w:t xml:space="preserve"> model proposed for the </w:t>
      </w:r>
      <w:r w:rsidR="0091313A" w:rsidRPr="00EF39C8">
        <w:rPr>
          <w:i/>
        </w:rPr>
        <w:t>Mabinogi</w:t>
      </w:r>
      <w:r w:rsidR="00F65AD7">
        <w:rPr>
          <w:rStyle w:val="FootnoteReference"/>
        </w:rPr>
        <w:footnoteReference w:id="63"/>
      </w:r>
      <w:r w:rsidR="0091313A">
        <w:t xml:space="preserve">. </w:t>
      </w:r>
      <w:r w:rsidR="00B36BBA">
        <w:t xml:space="preserve">Malory’s narrative </w:t>
      </w:r>
      <w:r w:rsidR="00DE6F2B">
        <w:t xml:space="preserve">was composed at a time when Geoffrey of Monmouth’s </w:t>
      </w:r>
      <w:r w:rsidR="00DE6F2B" w:rsidRPr="009F4F08">
        <w:rPr>
          <w:i/>
        </w:rPr>
        <w:t xml:space="preserve">Historia </w:t>
      </w:r>
      <w:r w:rsidR="00DE6F2B">
        <w:t>was believed to be largely factual and Arthur</w:t>
      </w:r>
      <w:r w:rsidR="009F4F08">
        <w:t xml:space="preserve">, therefore, a historical figure whose exploits, and those of his knights, </w:t>
      </w:r>
      <w:r w:rsidR="00B00331">
        <w:t>had been</w:t>
      </w:r>
      <w:r w:rsidR="009F4F08">
        <w:t xml:space="preserve"> recorded</w:t>
      </w:r>
      <w:r w:rsidR="00DA316E">
        <w:t xml:space="preserve"> in </w:t>
      </w:r>
      <w:r w:rsidR="00951F8F">
        <w:t>the</w:t>
      </w:r>
      <w:r w:rsidR="00DA316E">
        <w:t xml:space="preserve"> French romance sources</w:t>
      </w:r>
      <w:r w:rsidR="009F4F08">
        <w:t xml:space="preserve"> by contemporary observers</w:t>
      </w:r>
      <w:r w:rsidR="00DA316E">
        <w:rPr>
          <w:rStyle w:val="FootnoteReference"/>
        </w:rPr>
        <w:footnoteReference w:id="64"/>
      </w:r>
      <w:r w:rsidR="009F4F08">
        <w:t xml:space="preserve">. </w:t>
      </w:r>
      <w:r w:rsidR="00B00331">
        <w:t>While t</w:t>
      </w:r>
      <w:r w:rsidR="00DA316E">
        <w:t>hese pseudo-historical sources, as the discussion has shown,</w:t>
      </w:r>
      <w:r w:rsidR="00B00331">
        <w:t xml:space="preserve"> cannot be verified,</w:t>
      </w:r>
      <w:r w:rsidR="00DA316E">
        <w:t xml:space="preserve"> they do reveal something of </w:t>
      </w:r>
      <w:r w:rsidR="00F6026A">
        <w:t xml:space="preserve">the strength of belief in the veracity of the </w:t>
      </w:r>
      <w:r w:rsidR="00951F8F">
        <w:t>Arthurian literature available to medieval audiences</w:t>
      </w:r>
      <w:r w:rsidR="00E6736F">
        <w:t>.</w:t>
      </w:r>
    </w:p>
    <w:p w14:paraId="6AFB17C5" w14:textId="447352AC" w:rsidR="00740F9D" w:rsidRDefault="00F6026A" w:rsidP="00B36C79">
      <w:pPr>
        <w:spacing w:line="480" w:lineRule="auto"/>
      </w:pPr>
      <w:r>
        <w:t>While writers from Shakespeare to the present day have always felt able to loosen the constraining chains of historical fact in the pursuit of a convincing tale</w:t>
      </w:r>
      <w:r w:rsidR="004061FA">
        <w:t>,</w:t>
      </w:r>
      <w:r>
        <w:t xml:space="preserve"> or </w:t>
      </w:r>
      <w:r w:rsidR="0069099D">
        <w:t xml:space="preserve">to provide propaganda for political, </w:t>
      </w:r>
      <w:r w:rsidR="00601AE2">
        <w:t xml:space="preserve">or </w:t>
      </w:r>
      <w:r w:rsidR="0069099D">
        <w:t>religious causes, the exist</w:t>
      </w:r>
      <w:r w:rsidR="00037C73">
        <w:t>ing</w:t>
      </w:r>
      <w:r w:rsidR="0069099D">
        <w:t xml:space="preserve"> contemporary record expose</w:t>
      </w:r>
      <w:r w:rsidR="00037C73">
        <w:t>s</w:t>
      </w:r>
      <w:r w:rsidR="0069099D">
        <w:t xml:space="preserve"> the extent of their invention. There is nothing like this for Arthur, so pseudo-histories and folklore </w:t>
      </w:r>
      <w:r w:rsidR="004061FA">
        <w:t>take on an authenticity which is less easy to challenge</w:t>
      </w:r>
      <w:r w:rsidR="00857768">
        <w:t xml:space="preserve">. </w:t>
      </w:r>
      <w:r w:rsidR="00823F09">
        <w:t xml:space="preserve">Geoffrey aspired to present </w:t>
      </w:r>
      <w:r w:rsidR="00823F09">
        <w:lastRenderedPageBreak/>
        <w:t>Arthur as a credible historical figure, acceptable in contemporary terms, both literary and realistic</w:t>
      </w:r>
      <w:r w:rsidR="00823F09">
        <w:rPr>
          <w:rStyle w:val="FootnoteReference"/>
        </w:rPr>
        <w:footnoteReference w:id="65"/>
      </w:r>
      <w:r w:rsidR="004061FA">
        <w:t xml:space="preserve">. </w:t>
      </w:r>
      <w:r w:rsidR="00037C73">
        <w:t xml:space="preserve">The </w:t>
      </w:r>
      <w:r w:rsidR="00037C73" w:rsidRPr="00037C73">
        <w:rPr>
          <w:i/>
        </w:rPr>
        <w:t>Historia</w:t>
      </w:r>
      <w:r w:rsidR="00697443">
        <w:rPr>
          <w:i/>
        </w:rPr>
        <w:t xml:space="preserve"> Regum Britanniae</w:t>
      </w:r>
      <w:r w:rsidR="00037C73">
        <w:t xml:space="preserve"> </w:t>
      </w:r>
      <w:r w:rsidR="004061FA">
        <w:t>established</w:t>
      </w:r>
      <w:r w:rsidR="00037C73">
        <w:t xml:space="preserve"> Arthur</w:t>
      </w:r>
      <w:r w:rsidR="0025701F">
        <w:t xml:space="preserve"> </w:t>
      </w:r>
      <w:r w:rsidR="004061FA">
        <w:t xml:space="preserve">as a figure so important </w:t>
      </w:r>
      <w:r w:rsidR="0025701F">
        <w:t>to medieval society that</w:t>
      </w:r>
      <w:r w:rsidR="008F5604">
        <w:t xml:space="preserve"> </w:t>
      </w:r>
      <w:r w:rsidR="004061FA">
        <w:t xml:space="preserve">writers were </w:t>
      </w:r>
      <w:r w:rsidR="002A1620">
        <w:t>motivated</w:t>
      </w:r>
      <w:r w:rsidR="004061FA">
        <w:t xml:space="preserve"> to </w:t>
      </w:r>
      <w:r w:rsidR="00037C73">
        <w:t>manipulate his story for their own purposes</w:t>
      </w:r>
      <w:r w:rsidR="00FE2BF6">
        <w:t>,</w:t>
      </w:r>
      <w:r w:rsidR="006850FB">
        <w:t xml:space="preserve"> as i</w:t>
      </w:r>
      <w:r w:rsidR="00037C73">
        <w:t>n t</w:t>
      </w:r>
      <w:r w:rsidR="00D35472">
        <w:t xml:space="preserve">he twelfth century </w:t>
      </w:r>
      <w:r w:rsidR="00D35472" w:rsidRPr="00F6026A">
        <w:rPr>
          <w:i/>
        </w:rPr>
        <w:t>Vitae Sanctorum Cambriae</w:t>
      </w:r>
      <w:r w:rsidR="00857768">
        <w:rPr>
          <w:i/>
        </w:rPr>
        <w:t>,</w:t>
      </w:r>
      <w:r w:rsidR="00857768">
        <w:t xml:space="preserve"> </w:t>
      </w:r>
      <w:r w:rsidR="006850FB">
        <w:t>where Arthur as a temporal lord</w:t>
      </w:r>
      <w:r w:rsidR="00106EBB">
        <w:t xml:space="preserve"> is used as a foil for the saint </w:t>
      </w:r>
      <w:r w:rsidR="00557687">
        <w:t xml:space="preserve">in order </w:t>
      </w:r>
      <w:r w:rsidR="00106EBB">
        <w:t>to raise the profile of the associated religious house and thereby establish</w:t>
      </w:r>
      <w:r w:rsidR="00823F09">
        <w:t xml:space="preserve"> </w:t>
      </w:r>
      <w:r w:rsidR="00857768">
        <w:t>property rights</w:t>
      </w:r>
      <w:r w:rsidR="00106EBB">
        <w:t xml:space="preserve"> recorded in </w:t>
      </w:r>
      <w:r w:rsidR="006850FB">
        <w:t xml:space="preserve">legal </w:t>
      </w:r>
      <w:r w:rsidR="00106EBB">
        <w:t>charters</w:t>
      </w:r>
      <w:r w:rsidR="006850FB">
        <w:t>.</w:t>
      </w:r>
      <w:r w:rsidR="00106EBB">
        <w:t xml:space="preserve"> </w:t>
      </w:r>
      <w:r w:rsidR="00B36C79">
        <w:t xml:space="preserve">These added to the growing range of Arthurian material allowing </w:t>
      </w:r>
      <w:r w:rsidR="00037C73">
        <w:t>subsequent</w:t>
      </w:r>
      <w:r w:rsidR="00B36C79">
        <w:t xml:space="preserve"> authors</w:t>
      </w:r>
      <w:r w:rsidR="008F5604">
        <w:t xml:space="preserve"> </w:t>
      </w:r>
      <w:r w:rsidR="00B36C79">
        <w:t xml:space="preserve">to </w:t>
      </w:r>
      <w:r w:rsidR="00037C73">
        <w:t>add new layers</w:t>
      </w:r>
      <w:r w:rsidR="00B36C79">
        <w:t xml:space="preserve"> </w:t>
      </w:r>
      <w:r w:rsidR="00037C73">
        <w:t xml:space="preserve">to </w:t>
      </w:r>
      <w:r w:rsidR="00B36C79">
        <w:t xml:space="preserve">the cycle of </w:t>
      </w:r>
      <w:r w:rsidR="00601AE2">
        <w:t>tales</w:t>
      </w:r>
      <w:r w:rsidR="00037C73">
        <w:t xml:space="preserve"> and to adapt them for developing media</w:t>
      </w:r>
      <w:r w:rsidR="00797C96">
        <w:t>.</w:t>
      </w:r>
      <w:r w:rsidR="00E70B2C">
        <w:t xml:space="preserve"> </w:t>
      </w:r>
      <w:r w:rsidR="00485514">
        <w:t xml:space="preserve">This </w:t>
      </w:r>
      <w:r w:rsidR="00764C76">
        <w:t xml:space="preserve">can </w:t>
      </w:r>
      <w:r w:rsidR="00485514">
        <w:t>no longer</w:t>
      </w:r>
      <w:r w:rsidR="00EE2D5A">
        <w:t xml:space="preserve"> be compared to</w:t>
      </w:r>
      <w:r w:rsidR="00485514">
        <w:t xml:space="preserve"> a traditional two</w:t>
      </w:r>
      <w:r w:rsidR="00EE2D5A">
        <w:t>-</w:t>
      </w:r>
      <w:r w:rsidR="00485514">
        <w:t>dimensional rectangular jig-saw but</w:t>
      </w:r>
      <w:r w:rsidR="00EE2D5A">
        <w:t xml:space="preserve"> </w:t>
      </w:r>
      <w:r w:rsidR="00697443">
        <w:t>rather to</w:t>
      </w:r>
      <w:r w:rsidR="00EE2D5A">
        <w:t xml:space="preserve"> a</w:t>
      </w:r>
      <w:r w:rsidR="00485514">
        <w:t xml:space="preserve"> developing spiral</w:t>
      </w:r>
      <w:r w:rsidR="007E619E">
        <w:rPr>
          <w:rStyle w:val="FootnoteReference"/>
        </w:rPr>
        <w:footnoteReference w:id="66"/>
      </w:r>
      <w:r w:rsidR="00485514">
        <w:t xml:space="preserve"> with a few, possibly factual</w:t>
      </w:r>
      <w:r w:rsidR="00EE2D5A">
        <w:t xml:space="preserve"> but more probably mythical,</w:t>
      </w:r>
      <w:r w:rsidR="00485514">
        <w:t xml:space="preserve"> biographical details</w:t>
      </w:r>
      <w:r w:rsidR="00EE2D5A">
        <w:t xml:space="preserve"> </w:t>
      </w:r>
      <w:r w:rsidR="00485514">
        <w:t>at the centre</w:t>
      </w:r>
      <w:r w:rsidR="00EE2D5A">
        <w:t>.</w:t>
      </w:r>
      <w:r w:rsidR="00485514">
        <w:t xml:space="preserve"> </w:t>
      </w:r>
      <w:r w:rsidR="00697443">
        <w:t>I believe that w</w:t>
      </w:r>
      <w:r w:rsidR="00EE2D5A">
        <w:t>ithin such a structure,</w:t>
      </w:r>
      <w:r w:rsidR="00485514">
        <w:t xml:space="preserve"> writers </w:t>
      </w:r>
      <w:r w:rsidR="00EE2D5A">
        <w:t>can</w:t>
      </w:r>
      <w:r w:rsidR="00697443">
        <w:t>,</w:t>
      </w:r>
      <w:r w:rsidR="00EE2D5A">
        <w:t xml:space="preserve"> and have been able to </w:t>
      </w:r>
      <w:r w:rsidR="00764C76">
        <w:t xml:space="preserve">build on both the original material and </w:t>
      </w:r>
      <w:r w:rsidR="00697443">
        <w:t xml:space="preserve">the </w:t>
      </w:r>
      <w:r w:rsidR="00764C76">
        <w:t>later literature, in all its forms, to create new narratives around the figure of Arthur which meet new objectives.</w:t>
      </w:r>
    </w:p>
    <w:sdt>
      <w:sdtPr>
        <w:rPr>
          <w:rFonts w:asciiTheme="minorHAnsi" w:eastAsiaTheme="minorHAnsi" w:hAnsiTheme="minorHAnsi" w:cstheme="minorBidi"/>
          <w:b w:val="0"/>
          <w:bCs w:val="0"/>
          <w:color w:val="auto"/>
          <w:sz w:val="24"/>
          <w:szCs w:val="24"/>
          <w:lang w:val="en-GB" w:bidi="ar-SA"/>
        </w:rPr>
        <w:id w:val="1383518227"/>
        <w:docPartObj>
          <w:docPartGallery w:val="Bibliographies"/>
          <w:docPartUnique/>
        </w:docPartObj>
      </w:sdtPr>
      <w:sdtEndPr/>
      <w:sdtContent>
        <w:p w14:paraId="640427ED" w14:textId="35B8E9D0" w:rsidR="00C247E8" w:rsidRDefault="00C247E8" w:rsidP="00C247E8">
          <w:pPr>
            <w:pStyle w:val="Heading1"/>
          </w:pPr>
          <w:r>
            <w:t>Bibliography</w:t>
          </w:r>
        </w:p>
        <w:p w14:paraId="64C67DFA" w14:textId="77777777" w:rsidR="00D87483" w:rsidRPr="0053268B" w:rsidRDefault="00D87483" w:rsidP="0053268B">
          <w:pPr>
            <w:rPr>
              <w:lang w:val="en-US" w:bidi="en-US"/>
            </w:rPr>
          </w:pPr>
        </w:p>
        <w:p w14:paraId="3DC41577" w14:textId="77777777" w:rsidR="0053268B" w:rsidRPr="0053268B" w:rsidRDefault="0053268B" w:rsidP="0053268B">
          <w:pPr>
            <w:rPr>
              <w:b/>
              <w:lang w:val="en-US" w:bidi="en-US"/>
            </w:rPr>
          </w:pPr>
          <w:r w:rsidRPr="0053268B">
            <w:rPr>
              <w:b/>
              <w:lang w:val="en-US" w:bidi="en-US"/>
            </w:rPr>
            <w:t>Manuscript Sources</w:t>
          </w:r>
        </w:p>
        <w:p w14:paraId="26785DC9" w14:textId="77777777" w:rsidR="0053268B" w:rsidRDefault="0053268B" w:rsidP="0053268B">
          <w:pPr>
            <w:rPr>
              <w:lang w:val="en-US" w:bidi="en-US"/>
            </w:rPr>
          </w:pPr>
        </w:p>
        <w:p w14:paraId="72B29C8B" w14:textId="77777777" w:rsidR="0053268B" w:rsidRDefault="0053268B" w:rsidP="0053268B">
          <w:pPr>
            <w:spacing w:line="480" w:lineRule="auto"/>
          </w:pPr>
          <w:r>
            <w:t>Aberystwyth, Llyfrgell Genedlaethol Cymru</w:t>
          </w:r>
        </w:p>
        <w:p w14:paraId="68FEDFEB" w14:textId="7BEAC558" w:rsidR="0053268B" w:rsidRDefault="0053268B" w:rsidP="0053268B">
          <w:pPr>
            <w:spacing w:line="480" w:lineRule="auto"/>
          </w:pPr>
          <w:r>
            <w:t xml:space="preserve">Peniarth MSS 4-5 </w:t>
          </w:r>
          <w:r>
            <w:tab/>
            <w:t>Llyfr Gwyn Rhydderch</w:t>
          </w:r>
        </w:p>
        <w:p w14:paraId="230F1A4B" w14:textId="5338F243" w:rsidR="006011DA" w:rsidRDefault="00D87483" w:rsidP="0053268B">
          <w:pPr>
            <w:spacing w:line="480" w:lineRule="auto"/>
          </w:pPr>
          <w:r>
            <w:t>Peniarth MS 1</w:t>
          </w:r>
          <w:r>
            <w:tab/>
          </w:r>
          <w:r>
            <w:tab/>
            <w:t xml:space="preserve">Llyfr Du </w:t>
          </w:r>
          <w:proofErr w:type="spellStart"/>
          <w:r>
            <w:t>Caerfyrddin</w:t>
          </w:r>
          <w:proofErr w:type="spellEnd"/>
        </w:p>
        <w:p w14:paraId="14E1218D" w14:textId="77777777" w:rsidR="0053268B" w:rsidRDefault="0053268B" w:rsidP="0053268B">
          <w:pPr>
            <w:spacing w:line="480" w:lineRule="auto"/>
          </w:pPr>
          <w:r>
            <w:t>Oxford, Jesus College</w:t>
          </w:r>
        </w:p>
        <w:p w14:paraId="493712AC" w14:textId="4AB2DA3E" w:rsidR="0053268B" w:rsidRDefault="0053268B" w:rsidP="0053268B">
          <w:pPr>
            <w:spacing w:line="480" w:lineRule="auto"/>
          </w:pPr>
          <w:r>
            <w:t>MS111</w:t>
          </w:r>
          <w:r>
            <w:tab/>
          </w:r>
          <w:r>
            <w:tab/>
          </w:r>
          <w:r>
            <w:tab/>
            <w:t>Llyfr Coch Hergest</w:t>
          </w:r>
        </w:p>
        <w:p w14:paraId="55136376" w14:textId="345A1005" w:rsidR="004751CD" w:rsidRDefault="004751CD" w:rsidP="0053268B">
          <w:pPr>
            <w:spacing w:line="480" w:lineRule="auto"/>
          </w:pPr>
          <w:r>
            <w:lastRenderedPageBreak/>
            <w:t>London, British Library</w:t>
          </w:r>
        </w:p>
        <w:p w14:paraId="494582D9" w14:textId="47502B41" w:rsidR="0053268B" w:rsidRPr="009A0056" w:rsidRDefault="0053268B" w:rsidP="0053268B">
          <w:pPr>
            <w:spacing w:line="480" w:lineRule="auto"/>
          </w:pPr>
          <w:r w:rsidRPr="005A25E6">
            <w:rPr>
              <w:rFonts w:eastAsia="Times New Roman" w:cstheme="minorHAnsi"/>
              <w:color w:val="373A3C"/>
            </w:rPr>
            <w:t>Harleian MS 3859</w:t>
          </w:r>
          <w:r w:rsidR="004751CD">
            <w:rPr>
              <w:rFonts w:eastAsia="Times New Roman" w:cstheme="minorHAnsi"/>
              <w:color w:val="373A3C"/>
            </w:rPr>
            <w:tab/>
          </w:r>
          <w:r w:rsidR="004751CD" w:rsidRPr="0053268B">
            <w:rPr>
              <w:rFonts w:eastAsia="Times New Roman" w:cstheme="minorHAnsi"/>
              <w:color w:val="373A3C"/>
            </w:rPr>
            <w:t>Historia Brittonum,</w:t>
          </w:r>
          <w:r w:rsidR="004751CD">
            <w:rPr>
              <w:rFonts w:eastAsia="Times New Roman" w:cstheme="minorHAnsi"/>
              <w:color w:val="373A3C"/>
            </w:rPr>
            <w:t xml:space="preserve"> Annales Cambriae, Harleian Genealogies</w:t>
          </w:r>
        </w:p>
        <w:p w14:paraId="12509094" w14:textId="77777777" w:rsidR="004751CD" w:rsidRPr="0053268B" w:rsidRDefault="004751CD" w:rsidP="00C247E8">
          <w:pPr>
            <w:rPr>
              <w:lang w:bidi="en-US"/>
            </w:rPr>
          </w:pPr>
        </w:p>
        <w:p w14:paraId="5AAF7015" w14:textId="77777777" w:rsidR="00C247E8" w:rsidRPr="0017179C" w:rsidRDefault="00C247E8" w:rsidP="00C247E8">
          <w:pPr>
            <w:rPr>
              <w:b/>
              <w:lang w:val="en-US" w:bidi="en-US"/>
            </w:rPr>
          </w:pPr>
          <w:r w:rsidRPr="0017179C">
            <w:rPr>
              <w:b/>
              <w:lang w:val="en-US" w:bidi="en-US"/>
            </w:rPr>
            <w:t>Printed Primary Sources</w:t>
          </w:r>
        </w:p>
        <w:p w14:paraId="176BBCA8" w14:textId="77777777" w:rsidR="00C247E8" w:rsidRDefault="00C247E8" w:rsidP="00C247E8">
          <w:pPr>
            <w:rPr>
              <w:lang w:val="en-US" w:bidi="en-US"/>
            </w:rPr>
          </w:pPr>
        </w:p>
        <w:p w14:paraId="1B314982" w14:textId="77777777" w:rsidR="00C247E8" w:rsidRDefault="00C247E8" w:rsidP="00C247E8">
          <w:pPr>
            <w:rPr>
              <w:lang w:val="en-US" w:bidi="en-US"/>
            </w:rPr>
          </w:pPr>
          <w:r w:rsidRPr="00400689">
            <w:rPr>
              <w:i/>
              <w:lang w:val="en-US" w:bidi="en-US"/>
            </w:rPr>
            <w:t>Trioedd Ynys Prydein: The Triads of the Island of Britain</w:t>
          </w:r>
          <w:r>
            <w:rPr>
              <w:lang w:val="en-US" w:bidi="en-US"/>
            </w:rPr>
            <w:t xml:space="preserve">, ed. and trans. Rachel Bromwich (Cardiff: University of Wales Press, 2014). </w:t>
          </w:r>
        </w:p>
        <w:p w14:paraId="4CDDB6D9" w14:textId="77777777" w:rsidR="00C247E8" w:rsidRDefault="00C247E8" w:rsidP="00C247E8">
          <w:pPr>
            <w:rPr>
              <w:lang w:val="en-US" w:bidi="en-US"/>
            </w:rPr>
          </w:pPr>
        </w:p>
        <w:p w14:paraId="70BC8CA1" w14:textId="77777777" w:rsidR="00C247E8" w:rsidRDefault="00C247E8" w:rsidP="00C247E8">
          <w:r w:rsidRPr="00D82D14">
            <w:rPr>
              <w:i/>
              <w:lang w:val="en-US" w:bidi="en-US"/>
            </w:rPr>
            <w:t>The Mabinogion,</w:t>
          </w:r>
          <w:r>
            <w:rPr>
              <w:lang w:val="en-US" w:bidi="en-US"/>
            </w:rPr>
            <w:t xml:space="preserve"> trans. </w:t>
          </w:r>
          <w:r>
            <w:t>Sioned Davies (Oxford: Oxford University Press, 2007).</w:t>
          </w:r>
        </w:p>
        <w:p w14:paraId="0C6BE89D" w14:textId="77777777" w:rsidR="00C247E8" w:rsidRDefault="00C247E8" w:rsidP="00C247E8"/>
        <w:p w14:paraId="22C786B6" w14:textId="77777777" w:rsidR="00C247E8" w:rsidRDefault="00C247E8" w:rsidP="00C247E8">
          <w:r w:rsidRPr="0041079A">
            <w:rPr>
              <w:i/>
            </w:rPr>
            <w:t xml:space="preserve">Aneirin: Y Gododdin, </w:t>
          </w:r>
          <w:r w:rsidRPr="0041079A">
            <w:t>trans. A.O.H. Jarman (Llandysul: Gomer Press, 1988).</w:t>
          </w:r>
        </w:p>
        <w:p w14:paraId="5B87A605" w14:textId="77777777" w:rsidR="00C247E8" w:rsidRDefault="00C247E8" w:rsidP="00C247E8"/>
        <w:p w14:paraId="7DF8E69A" w14:textId="77777777" w:rsidR="00C247E8" w:rsidRPr="00DD08F8" w:rsidRDefault="00C247E8" w:rsidP="00C247E8">
          <w:pPr>
            <w:rPr>
              <w:lang w:val="nb-NO"/>
            </w:rPr>
          </w:pPr>
          <w:r w:rsidRPr="00DD08F8">
            <w:rPr>
              <w:i/>
            </w:rPr>
            <w:t>Hywel Dda: The Law</w:t>
          </w:r>
          <w:r>
            <w:t xml:space="preserve">, ed. and trans. </w:t>
          </w:r>
          <w:r w:rsidRPr="00DD08F8">
            <w:rPr>
              <w:lang w:val="nb-NO"/>
            </w:rPr>
            <w:t>Dafydd Jenkins (Llandysul: Gomer P</w:t>
          </w:r>
          <w:r>
            <w:rPr>
              <w:lang w:val="nb-NO"/>
            </w:rPr>
            <w:t>ress, 1986).</w:t>
          </w:r>
        </w:p>
        <w:p w14:paraId="50B3AB83" w14:textId="77777777" w:rsidR="00C247E8" w:rsidRPr="00DD08F8" w:rsidRDefault="00C247E8" w:rsidP="00C247E8">
          <w:pPr>
            <w:rPr>
              <w:lang w:val="nb-NO" w:bidi="en-US"/>
            </w:rPr>
          </w:pPr>
        </w:p>
        <w:p w14:paraId="49F23FB0" w14:textId="60A8C88D" w:rsidR="00C247E8" w:rsidRPr="0053268B" w:rsidRDefault="00C247E8" w:rsidP="0053268B">
          <w:pPr>
            <w:rPr>
              <w:lang w:val="en-US" w:bidi="en-US"/>
            </w:rPr>
          </w:pPr>
          <w:r w:rsidRPr="00E270A4">
            <w:rPr>
              <w:i/>
              <w:lang w:val="en-US" w:bidi="en-US"/>
            </w:rPr>
            <w:t>Nennius: British History and the Welsh Annals,</w:t>
          </w:r>
          <w:r>
            <w:rPr>
              <w:lang w:val="en-US" w:bidi="en-US"/>
            </w:rPr>
            <w:t xml:space="preserve"> ed. and trans. John Morris (London: Phillimore &amp; Co. Ltd., 1980).</w:t>
          </w:r>
        </w:p>
        <w:p w14:paraId="6D8222D8" w14:textId="77777777" w:rsidR="00C247E8" w:rsidRDefault="00C247E8" w:rsidP="00C247E8">
          <w:pPr>
            <w:rPr>
              <w:lang w:val="en-US" w:bidi="en-US"/>
            </w:rPr>
          </w:pPr>
        </w:p>
        <w:p w14:paraId="347FA57E" w14:textId="77777777" w:rsidR="00C247E8" w:rsidRDefault="00C247E8" w:rsidP="00C247E8">
          <w:pPr>
            <w:rPr>
              <w:lang w:val="en-US" w:bidi="en-US"/>
            </w:rPr>
          </w:pPr>
          <w:r w:rsidRPr="00E270A4">
            <w:rPr>
              <w:i/>
              <w:lang w:val="en-US" w:bidi="en-US"/>
            </w:rPr>
            <w:t>Geoffrey of Monmouth: The History of the Kings of Britain</w:t>
          </w:r>
          <w:r>
            <w:rPr>
              <w:lang w:val="en-US" w:bidi="en-US"/>
            </w:rPr>
            <w:t>, trans. Lewis Thorpe (London: Penguin Books, 1966).</w:t>
          </w:r>
        </w:p>
        <w:p w14:paraId="1FFC9157" w14:textId="77777777" w:rsidR="00C247E8" w:rsidRDefault="00C247E8" w:rsidP="00C247E8">
          <w:pPr>
            <w:rPr>
              <w:lang w:val="en-US" w:bidi="en-US"/>
            </w:rPr>
          </w:pPr>
        </w:p>
        <w:p w14:paraId="376083C8" w14:textId="77777777" w:rsidR="00C247E8" w:rsidRDefault="00C247E8" w:rsidP="00C247E8">
          <w:pPr>
            <w:rPr>
              <w:lang w:val="en-US" w:bidi="en-US"/>
            </w:rPr>
          </w:pPr>
          <w:r w:rsidRPr="0020395E">
            <w:rPr>
              <w:i/>
              <w:lang w:val="en-US" w:bidi="en-US"/>
            </w:rPr>
            <w:t>Gerald of Wales: The Journey Through Wales and The Description of Wales,</w:t>
          </w:r>
          <w:r>
            <w:rPr>
              <w:lang w:val="en-US" w:bidi="en-US"/>
            </w:rPr>
            <w:t xml:space="preserve"> trans. Lewis Thorpe (London: Penguin Books, 1988).</w:t>
          </w:r>
        </w:p>
        <w:p w14:paraId="0CAC6CF2" w14:textId="77777777" w:rsidR="00C247E8" w:rsidRDefault="00C247E8" w:rsidP="00C247E8">
          <w:pPr>
            <w:rPr>
              <w:lang w:val="en-US" w:bidi="en-US"/>
            </w:rPr>
          </w:pPr>
        </w:p>
        <w:p w14:paraId="4DDC38DC" w14:textId="77777777" w:rsidR="00C247E8" w:rsidRDefault="00C247E8" w:rsidP="00C247E8">
          <w:pPr>
            <w:rPr>
              <w:lang w:val="en-US" w:bidi="en-US"/>
            </w:rPr>
          </w:pPr>
          <w:r w:rsidRPr="00244D35">
            <w:rPr>
              <w:i/>
              <w:lang w:val="en-US" w:bidi="en-US"/>
            </w:rPr>
            <w:t>Gildas: The Ruin of Britain and other works</w:t>
          </w:r>
          <w:r>
            <w:rPr>
              <w:lang w:val="en-US" w:bidi="en-US"/>
            </w:rPr>
            <w:t>, ed. and trans. Michael Winterbottom (London: Phillimore &amp; Co. Ltd., 1978).</w:t>
          </w:r>
        </w:p>
        <w:p w14:paraId="147E2B90" w14:textId="37C73FDA" w:rsidR="00C247E8" w:rsidRDefault="00C247E8" w:rsidP="00C247E8">
          <w:pPr>
            <w:rPr>
              <w:lang w:val="en-US" w:bidi="en-US"/>
            </w:rPr>
          </w:pPr>
        </w:p>
        <w:p w14:paraId="0CC4B95B" w14:textId="77777777" w:rsidR="004751CD" w:rsidRDefault="004751CD" w:rsidP="00C247E8">
          <w:pPr>
            <w:rPr>
              <w:lang w:val="en-US" w:bidi="en-US"/>
            </w:rPr>
          </w:pPr>
        </w:p>
        <w:p w14:paraId="4759EC68" w14:textId="77777777" w:rsidR="00C247E8" w:rsidRDefault="00C247E8" w:rsidP="00C247E8">
          <w:pPr>
            <w:rPr>
              <w:b/>
              <w:lang w:val="en-US" w:bidi="en-US"/>
            </w:rPr>
          </w:pPr>
          <w:r w:rsidRPr="0017179C">
            <w:rPr>
              <w:b/>
              <w:lang w:val="en-US" w:bidi="en-US"/>
            </w:rPr>
            <w:t>Secondary Sources</w:t>
          </w:r>
        </w:p>
        <w:p w14:paraId="5FCF3B5B" w14:textId="77777777" w:rsidR="00C247E8" w:rsidRDefault="00C247E8" w:rsidP="00C247E8">
          <w:pPr>
            <w:rPr>
              <w:b/>
              <w:lang w:val="en-US" w:bidi="en-US"/>
            </w:rPr>
          </w:pPr>
        </w:p>
        <w:p w14:paraId="2C24E947" w14:textId="77777777" w:rsidR="00C247E8" w:rsidRDefault="00C247E8" w:rsidP="00C247E8">
          <w:r>
            <w:t xml:space="preserve">Leslie Alcock, </w:t>
          </w:r>
          <w:r w:rsidRPr="005E5661">
            <w:rPr>
              <w:i/>
            </w:rPr>
            <w:t>Arthur’s Britain</w:t>
          </w:r>
          <w:r>
            <w:t xml:space="preserve"> (Harmondsworth: Penguin Books Ltd., 1973).</w:t>
          </w:r>
        </w:p>
        <w:p w14:paraId="1F160CC1" w14:textId="77777777" w:rsidR="00C247E8" w:rsidRDefault="00C247E8" w:rsidP="00C247E8"/>
        <w:p w14:paraId="2BF4184A" w14:textId="77777777" w:rsidR="00C247E8" w:rsidRPr="00F90355" w:rsidRDefault="00C247E8" w:rsidP="00C247E8">
          <w:pPr>
            <w:pStyle w:val="FootnoteText"/>
            <w:rPr>
              <w:sz w:val="24"/>
              <w:szCs w:val="24"/>
            </w:rPr>
          </w:pPr>
          <w:r w:rsidRPr="00F90355">
            <w:rPr>
              <w:sz w:val="24"/>
              <w:szCs w:val="24"/>
            </w:rPr>
            <w:t xml:space="preserve">Antti Aarne and Stith Thompson, </w:t>
          </w:r>
          <w:r w:rsidRPr="00F90355">
            <w:rPr>
              <w:i/>
              <w:sz w:val="24"/>
              <w:szCs w:val="24"/>
            </w:rPr>
            <w:t>Types of the Folktale</w:t>
          </w:r>
          <w:r w:rsidRPr="00F90355">
            <w:rPr>
              <w:sz w:val="24"/>
              <w:szCs w:val="24"/>
            </w:rPr>
            <w:t>, (Helsinki: 1928).</w:t>
          </w:r>
        </w:p>
        <w:p w14:paraId="4E548FFF" w14:textId="77777777" w:rsidR="00C247E8" w:rsidRDefault="00C247E8" w:rsidP="00C247E8"/>
        <w:p w14:paraId="1D24FD8F" w14:textId="77777777" w:rsidR="00C247E8" w:rsidRPr="004823BA" w:rsidRDefault="00C247E8" w:rsidP="00C247E8">
          <w:r>
            <w:t xml:space="preserve">Richard Barber, </w:t>
          </w:r>
          <w:r w:rsidRPr="004823BA">
            <w:rPr>
              <w:i/>
            </w:rPr>
            <w:t>The Figure of Arthur</w:t>
          </w:r>
          <w:r>
            <w:t xml:space="preserve"> (London: Longman, 1972).</w:t>
          </w:r>
        </w:p>
        <w:p w14:paraId="2F201B36" w14:textId="77777777" w:rsidR="00C247E8" w:rsidRDefault="00C247E8" w:rsidP="00C247E8">
          <w:pPr>
            <w:rPr>
              <w:i/>
            </w:rPr>
          </w:pPr>
        </w:p>
        <w:p w14:paraId="7DC0AC4C" w14:textId="77777777" w:rsidR="00C247E8" w:rsidRDefault="00C247E8" w:rsidP="00C247E8">
          <w:r w:rsidRPr="00E270A4">
            <w:rPr>
              <w:i/>
            </w:rPr>
            <w:t>The Arthur of the Welsh: The Arthurian Legend in Medieval Welsh Literature</w:t>
          </w:r>
          <w:r>
            <w:t>, eds. Rachel Bromwich, A.O.H. Jarman, Brynley F. Roberts (Cardiff: University of Wales Press, 1991).</w:t>
          </w:r>
        </w:p>
        <w:p w14:paraId="639EDCF6" w14:textId="77777777" w:rsidR="00C247E8" w:rsidRDefault="00C247E8" w:rsidP="00C247E8">
          <w:pPr>
            <w:rPr>
              <w:sz w:val="16"/>
              <w:szCs w:val="16"/>
            </w:rPr>
          </w:pPr>
        </w:p>
        <w:p w14:paraId="608FC539" w14:textId="77777777" w:rsidR="00C247E8" w:rsidRPr="00B20233" w:rsidRDefault="00C247E8" w:rsidP="00C247E8">
          <w:r w:rsidRPr="00B20233">
            <w:t xml:space="preserve">H.M. Chadwick and N.K. Chadwick, </w:t>
          </w:r>
          <w:r w:rsidRPr="00B20233">
            <w:rPr>
              <w:i/>
            </w:rPr>
            <w:t>The Growth of Literature</w:t>
          </w:r>
          <w:r w:rsidRPr="00B20233">
            <w:t>, vol 1 (Cambridge: Cambridge University Press, 1932)</w:t>
          </w:r>
          <w:r>
            <w:t>.</w:t>
          </w:r>
        </w:p>
        <w:p w14:paraId="068DFF37" w14:textId="77777777" w:rsidR="00C247E8" w:rsidRDefault="00C247E8" w:rsidP="00C247E8"/>
        <w:p w14:paraId="10849CDA" w14:textId="77777777" w:rsidR="00C247E8" w:rsidRPr="00AD6436" w:rsidRDefault="00C247E8" w:rsidP="00C247E8">
          <w:pPr>
            <w:rPr>
              <w:rFonts w:eastAsia="Times New Roman" w:cstheme="minorHAnsi"/>
            </w:rPr>
          </w:pPr>
          <w:r>
            <w:rPr>
              <w:rFonts w:eastAsia="Times New Roman" w:cstheme="minorHAnsi"/>
              <w:color w:val="373A3C"/>
              <w:shd w:val="clear" w:color="auto" w:fill="FFFFFF"/>
            </w:rPr>
            <w:t>T.M.</w:t>
          </w:r>
          <w:r w:rsidRPr="00AD6436">
            <w:rPr>
              <w:rFonts w:eastAsia="Times New Roman" w:cstheme="minorHAnsi"/>
              <w:color w:val="373A3C"/>
              <w:shd w:val="clear" w:color="auto" w:fill="FFFFFF"/>
            </w:rPr>
            <w:t xml:space="preserve"> Charles-Edwards, ‘Language and Society among the Insular Celts AD 400-1000’, in </w:t>
          </w:r>
          <w:r w:rsidRPr="00AD6436">
            <w:rPr>
              <w:rFonts w:eastAsia="Times New Roman" w:cstheme="minorHAnsi"/>
              <w:i/>
              <w:iCs/>
              <w:color w:val="373A3C"/>
            </w:rPr>
            <w:t>The Celtic World, </w:t>
          </w:r>
          <w:r w:rsidRPr="00AD6436">
            <w:rPr>
              <w:rFonts w:eastAsia="Times New Roman" w:cstheme="minorHAnsi"/>
              <w:color w:val="373A3C"/>
              <w:shd w:val="clear" w:color="auto" w:fill="FFFFFF"/>
            </w:rPr>
            <w:t>ed. Miranda J. Green (London and New York, 1995), 703-36.</w:t>
          </w:r>
        </w:p>
        <w:p w14:paraId="4A820FB1" w14:textId="77777777" w:rsidR="00C247E8" w:rsidRDefault="00C247E8" w:rsidP="00C247E8"/>
        <w:p w14:paraId="7AA0D17D" w14:textId="77777777" w:rsidR="00C247E8" w:rsidRDefault="00C247E8" w:rsidP="00C247E8">
          <w:r>
            <w:lastRenderedPageBreak/>
            <w:t xml:space="preserve">T.M. Charles-Edwards, </w:t>
          </w:r>
          <w:r w:rsidRPr="009D0DEC">
            <w:rPr>
              <w:i/>
            </w:rPr>
            <w:t>Wales and the Britons</w:t>
          </w:r>
          <w:r>
            <w:rPr>
              <w:i/>
            </w:rPr>
            <w:t>;</w:t>
          </w:r>
          <w:r w:rsidRPr="009D0DEC">
            <w:rPr>
              <w:i/>
            </w:rPr>
            <w:t xml:space="preserve"> 350-1064</w:t>
          </w:r>
          <w:r>
            <w:t xml:space="preserve"> (Oxford: Oxford University Press, 2014).</w:t>
          </w:r>
        </w:p>
        <w:p w14:paraId="0691A099" w14:textId="77777777" w:rsidR="00C247E8" w:rsidRDefault="00C247E8" w:rsidP="00C247E8"/>
        <w:p w14:paraId="1BCACE8C" w14:textId="77777777" w:rsidR="00C247E8" w:rsidRDefault="00C247E8" w:rsidP="00C247E8">
          <w:r>
            <w:t xml:space="preserve">Jon B. Coe and Simon Young, </w:t>
          </w:r>
          <w:r w:rsidRPr="00B50C21">
            <w:rPr>
              <w:i/>
            </w:rPr>
            <w:t>The Celtic Sources for the Arthurian Legend</w:t>
          </w:r>
          <w:r>
            <w:t xml:space="preserve"> (Burnham-on-Sea: Llanerch Press, 1995).</w:t>
          </w:r>
        </w:p>
        <w:p w14:paraId="4E6296D8" w14:textId="77777777" w:rsidR="00C247E8" w:rsidRDefault="00C247E8" w:rsidP="00C247E8"/>
        <w:p w14:paraId="3741A8F9" w14:textId="77777777" w:rsidR="00C247E8" w:rsidRPr="002D6CAE" w:rsidRDefault="00C247E8" w:rsidP="00C247E8">
          <w:r w:rsidRPr="002D6CAE">
            <w:t>D</w:t>
          </w:r>
          <w:r>
            <w:t>.</w:t>
          </w:r>
          <w:r w:rsidRPr="002D6CAE">
            <w:t xml:space="preserve"> N. Dumville, Sub-Roman Britain: History an</w:t>
          </w:r>
          <w:r>
            <w:t xml:space="preserve">d Legend, </w:t>
          </w:r>
          <w:r w:rsidRPr="002D6CAE">
            <w:rPr>
              <w:i/>
            </w:rPr>
            <w:t>History</w:t>
          </w:r>
          <w:r>
            <w:t>, No.62: (1977) pp.173-92.</w:t>
          </w:r>
        </w:p>
        <w:p w14:paraId="6CFC1D63" w14:textId="5457B721" w:rsidR="00C247E8" w:rsidRDefault="00C247E8" w:rsidP="00C247E8">
          <w:r>
            <w:t xml:space="preserve">David N. Dumville, </w:t>
          </w:r>
          <w:r w:rsidRPr="00694A43">
            <w:rPr>
              <w:i/>
            </w:rPr>
            <w:t>Histories and Pseudo-histories of the Insular Middle Ages</w:t>
          </w:r>
          <w:r>
            <w:t xml:space="preserve"> (Aldershot: Variorum, 1990).</w:t>
          </w:r>
        </w:p>
        <w:p w14:paraId="1F00635E" w14:textId="77777777" w:rsidR="00C247E8" w:rsidRDefault="00C247E8" w:rsidP="00C247E8"/>
        <w:p w14:paraId="6CF0BF20" w14:textId="77777777" w:rsidR="00C247E8" w:rsidRPr="0041079A" w:rsidRDefault="00C247E8" w:rsidP="00C247E8">
          <w:r w:rsidRPr="0041079A">
            <w:rPr>
              <w:i/>
            </w:rPr>
            <w:t>Celts: Art and Identity</w:t>
          </w:r>
          <w:r>
            <w:t xml:space="preserve">, eds. </w:t>
          </w:r>
          <w:r w:rsidRPr="0041079A">
            <w:t>Julia Farley, Fraser Hunter (London: British</w:t>
          </w:r>
          <w:r>
            <w:t xml:space="preserve"> Museum Press, 2015)</w:t>
          </w:r>
        </w:p>
        <w:p w14:paraId="6AE10E62" w14:textId="77777777" w:rsidR="00C247E8" w:rsidRPr="0041079A" w:rsidRDefault="00C247E8" w:rsidP="00C247E8"/>
        <w:p w14:paraId="56F1A4D6" w14:textId="77777777" w:rsidR="00C247E8" w:rsidRDefault="00C247E8" w:rsidP="00C247E8">
          <w:r w:rsidRPr="00D54C49">
            <w:rPr>
              <w:i/>
            </w:rPr>
            <w:t>A Companion to Arthurian Literature</w:t>
          </w:r>
          <w:r>
            <w:t>, ed. Helen Fulton (Chichester: Wiley-Blackwell, 2009)</w:t>
          </w:r>
        </w:p>
        <w:p w14:paraId="0F4D7A7D" w14:textId="77777777" w:rsidR="00C247E8" w:rsidRDefault="00C247E8" w:rsidP="00C247E8"/>
        <w:p w14:paraId="2A60D199" w14:textId="77777777" w:rsidR="00C247E8" w:rsidRDefault="00C247E8" w:rsidP="00C247E8">
          <w:r>
            <w:t xml:space="preserve">N.J. Higham, </w:t>
          </w:r>
          <w:r w:rsidRPr="00737CA2">
            <w:rPr>
              <w:i/>
            </w:rPr>
            <w:t>King Arthur: Myth-Making and History</w:t>
          </w:r>
          <w:r>
            <w:t xml:space="preserve"> (London: Routledge, 2009).</w:t>
          </w:r>
        </w:p>
        <w:p w14:paraId="5F55994C" w14:textId="77777777" w:rsidR="00C247E8" w:rsidRDefault="00C247E8" w:rsidP="00C247E8"/>
        <w:p w14:paraId="71E6D3B8" w14:textId="77777777" w:rsidR="00C247E8" w:rsidRDefault="00C247E8" w:rsidP="00C247E8">
          <w:r>
            <w:t xml:space="preserve">Dafydd a Rhiannon Ifans, </w:t>
          </w:r>
          <w:r w:rsidRPr="0047028E">
            <w:rPr>
              <w:i/>
            </w:rPr>
            <w:t xml:space="preserve">Y Mabinogion </w:t>
          </w:r>
          <w:r>
            <w:t>(Llandysul: Gwasg Gomer, 2007).</w:t>
          </w:r>
        </w:p>
        <w:p w14:paraId="3F553540" w14:textId="77777777" w:rsidR="00C247E8" w:rsidRDefault="00C247E8" w:rsidP="00C247E8"/>
        <w:p w14:paraId="42E8B862" w14:textId="77777777" w:rsidR="00C247E8" w:rsidRDefault="00C247E8" w:rsidP="00C247E8">
          <w:r>
            <w:t xml:space="preserve">Branwen Jarvis, </w:t>
          </w:r>
          <w:r w:rsidRPr="0047028E">
            <w:rPr>
              <w:i/>
            </w:rPr>
            <w:t>A Guide to Welsh Literature c. 1700-1800</w:t>
          </w:r>
          <w:r>
            <w:t xml:space="preserve"> (Cardiff: University of Wales Press, 2000).</w:t>
          </w:r>
        </w:p>
        <w:p w14:paraId="74F66329" w14:textId="77777777" w:rsidR="00C247E8" w:rsidRDefault="00C247E8" w:rsidP="00C247E8"/>
        <w:p w14:paraId="2B471AC0" w14:textId="23896BBB" w:rsidR="00C247E8" w:rsidRDefault="00C247E8" w:rsidP="00C247E8">
          <w:r w:rsidRPr="00864732">
            <w:t xml:space="preserve">David Jones, The Sleeping Lord and </w:t>
          </w:r>
          <w:r>
            <w:t>o</w:t>
          </w:r>
          <w:r w:rsidRPr="00864732">
            <w:t>ther fragments (London: Faber and Faber, 2017).</w:t>
          </w:r>
        </w:p>
        <w:p w14:paraId="03C57C0D" w14:textId="77777777" w:rsidR="007E619E" w:rsidRDefault="007E619E" w:rsidP="007E619E">
          <w:pPr>
            <w:pStyle w:val="NormalWeb"/>
            <w:spacing w:before="0" w:beforeAutospacing="0" w:after="0" w:afterAutospacing="0" w:line="216" w:lineRule="auto"/>
            <w:rPr>
              <w:rFonts w:asciiTheme="minorHAnsi" w:hAnsiTheme="minorHAnsi" w:cstheme="minorHAnsi"/>
              <w:bCs/>
              <w:color w:val="000000" w:themeColor="text1"/>
              <w:kern w:val="24"/>
              <w:sz w:val="24"/>
              <w:szCs w:val="24"/>
            </w:rPr>
          </w:pPr>
        </w:p>
        <w:p w14:paraId="69F69DBA" w14:textId="27ABE77F" w:rsidR="007E619E" w:rsidRPr="007E619E" w:rsidRDefault="007E619E" w:rsidP="007E619E">
          <w:pPr>
            <w:pStyle w:val="NormalWeb"/>
            <w:spacing w:before="0" w:beforeAutospacing="0" w:after="0" w:afterAutospacing="0" w:line="216" w:lineRule="auto"/>
            <w:rPr>
              <w:rFonts w:asciiTheme="minorHAnsi" w:hAnsiTheme="minorHAnsi" w:cstheme="minorHAnsi"/>
              <w:sz w:val="24"/>
              <w:szCs w:val="24"/>
            </w:rPr>
          </w:pPr>
          <w:r w:rsidRPr="007E619E">
            <w:rPr>
              <w:rFonts w:asciiTheme="minorHAnsi" w:hAnsiTheme="minorHAnsi" w:cstheme="minorHAnsi"/>
              <w:bCs/>
              <w:color w:val="000000" w:themeColor="text1"/>
              <w:kern w:val="24"/>
              <w:sz w:val="24"/>
              <w:szCs w:val="24"/>
            </w:rPr>
            <w:t>Ceridwen Lloyd-Morgan,</w:t>
          </w:r>
          <w:r w:rsidR="00B10300">
            <w:rPr>
              <w:rFonts w:asciiTheme="minorHAnsi" w:hAnsiTheme="minorHAnsi" w:cstheme="minorHAnsi"/>
              <w:bCs/>
              <w:color w:val="000000" w:themeColor="text1"/>
              <w:kern w:val="24"/>
              <w:sz w:val="24"/>
              <w:szCs w:val="24"/>
            </w:rPr>
            <w:t xml:space="preserve"> 2016</w:t>
          </w:r>
          <w:r w:rsidR="00031402">
            <w:rPr>
              <w:rFonts w:asciiTheme="minorHAnsi" w:hAnsiTheme="minorHAnsi" w:cstheme="minorHAnsi"/>
              <w:bCs/>
              <w:color w:val="000000" w:themeColor="text1"/>
              <w:kern w:val="24"/>
              <w:sz w:val="24"/>
              <w:szCs w:val="24"/>
            </w:rPr>
            <w:t>.</w:t>
          </w:r>
          <w:r w:rsidRPr="007E619E">
            <w:rPr>
              <w:rFonts w:asciiTheme="minorHAnsi" w:hAnsiTheme="minorHAnsi" w:cstheme="minorHAnsi"/>
              <w:bCs/>
              <w:color w:val="000000" w:themeColor="text1"/>
              <w:kern w:val="24"/>
              <w:sz w:val="24"/>
              <w:szCs w:val="24"/>
            </w:rPr>
            <w:t xml:space="preserve"> </w:t>
          </w:r>
          <w:r w:rsidRPr="007E619E">
            <w:rPr>
              <w:rFonts w:asciiTheme="minorHAnsi" w:eastAsiaTheme="majorEastAsia" w:hAnsiTheme="minorHAnsi" w:cstheme="minorHAnsi"/>
              <w:bCs/>
              <w:i/>
              <w:iCs/>
              <w:color w:val="000000" w:themeColor="text1"/>
              <w:kern w:val="24"/>
              <w:sz w:val="24"/>
              <w:szCs w:val="24"/>
            </w:rPr>
            <w:t>Evolution and instability:  Reading Welsh Arthurian literature</w:t>
          </w:r>
        </w:p>
        <w:p w14:paraId="61D9FF28" w14:textId="77777777" w:rsidR="00C247E8" w:rsidRDefault="00C247E8" w:rsidP="00C247E8"/>
        <w:p w14:paraId="031E7F58" w14:textId="007B31F3" w:rsidR="00C247E8" w:rsidRDefault="00C247E8" w:rsidP="00C247E8">
          <w:r w:rsidRPr="0047399F">
            <w:rPr>
              <w:i/>
            </w:rPr>
            <w:t xml:space="preserve">Arthurian Literature in the Middle Ages: </w:t>
          </w:r>
          <w:r>
            <w:rPr>
              <w:i/>
            </w:rPr>
            <w:t>A</w:t>
          </w:r>
          <w:r w:rsidRPr="0047399F">
            <w:rPr>
              <w:i/>
            </w:rPr>
            <w:t xml:space="preserve"> Collaborative History,</w:t>
          </w:r>
          <w:r>
            <w:t xml:space="preserve"> ed. Roger Sherman Loomis (Oxford: Clarendon Press, 1959).</w:t>
          </w:r>
        </w:p>
        <w:sdt>
          <w:sdtPr>
            <w:id w:val="111145805"/>
            <w:bibliography/>
          </w:sdtPr>
          <w:sdtEndPr/>
          <w:sdtContent>
            <w:p w14:paraId="44081654" w14:textId="77777777" w:rsidR="00C247E8" w:rsidRDefault="00C247E8" w:rsidP="00C247E8"/>
            <w:p w14:paraId="054D79AD" w14:textId="77777777" w:rsidR="00C247E8" w:rsidRDefault="00C247E8" w:rsidP="00C247E8">
              <w:r>
                <w:t xml:space="preserve">O.J. Padel, </w:t>
              </w:r>
              <w:r w:rsidRPr="002127DE">
                <w:rPr>
                  <w:i/>
                </w:rPr>
                <w:t>Arthur in Medieval Welsh Literature</w:t>
              </w:r>
              <w:r>
                <w:t xml:space="preserve"> (Cardiff: University of Wales Press, 2000).</w:t>
              </w:r>
            </w:p>
            <w:p w14:paraId="08418E35" w14:textId="77777777" w:rsidR="00C247E8" w:rsidRDefault="00C247E8" w:rsidP="00C247E8"/>
            <w:p w14:paraId="55F94F1C" w14:textId="77777777" w:rsidR="00C247E8" w:rsidRPr="00060727" w:rsidRDefault="00C247E8" w:rsidP="00C247E8">
              <w:r w:rsidRPr="00060727">
                <w:t xml:space="preserve">D. Parry-Jones, </w:t>
              </w:r>
              <w:r w:rsidRPr="00060727">
                <w:rPr>
                  <w:i/>
                </w:rPr>
                <w:t>Welsh Legends and Fairy Lore</w:t>
              </w:r>
              <w:r w:rsidRPr="00060727">
                <w:t xml:space="preserve"> (London: B.T. Batsford, 1953).</w:t>
              </w:r>
            </w:p>
            <w:p w14:paraId="585CC66D" w14:textId="77777777" w:rsidR="00C247E8" w:rsidRDefault="00C247E8" w:rsidP="00C247E8"/>
            <w:p w14:paraId="7A353AF5" w14:textId="77777777" w:rsidR="00C247E8" w:rsidRDefault="00C247E8" w:rsidP="00C247E8">
              <w:r>
                <w:t xml:space="preserve">Patrick Sims-Williams, </w:t>
              </w:r>
              <w:r w:rsidRPr="009D0DEC">
                <w:rPr>
                  <w:i/>
                </w:rPr>
                <w:t>Irish Influence on Medieval Welsh Literature</w:t>
              </w:r>
              <w:r>
                <w:t xml:space="preserve"> (Oxford: Oxford University Press, 2011).</w:t>
              </w:r>
            </w:p>
            <w:p w14:paraId="6723B067" w14:textId="77777777" w:rsidR="00C247E8" w:rsidRDefault="00C247E8" w:rsidP="00C247E8"/>
            <w:p w14:paraId="5F3352BB" w14:textId="77777777" w:rsidR="00C247E8" w:rsidRDefault="00B80B9B" w:rsidP="00C247E8">
              <w:hyperlink r:id="rId8" w:history="1">
                <w:r w:rsidR="00C247E8" w:rsidRPr="00307AF5">
                  <w:rPr>
                    <w:rStyle w:val="Hyperlink"/>
                  </w:rPr>
                  <w:t>https://sourcebooks.fordham.edu/basis/1150-Caradoc-LifeofGildas.asp</w:t>
                </w:r>
              </w:hyperlink>
              <w:r w:rsidR="00C247E8">
                <w:t xml:space="preserve"> accessed 02/10/2018</w:t>
              </w:r>
            </w:p>
            <w:p w14:paraId="4EF9BEAD" w14:textId="77777777" w:rsidR="00C247E8" w:rsidRDefault="00C247E8" w:rsidP="00C247E8"/>
            <w:p w14:paraId="5E14DE85" w14:textId="77777777" w:rsidR="00C247E8" w:rsidRDefault="00B80B9B" w:rsidP="00C247E8">
              <w:hyperlink r:id="rId9" w:history="1">
                <w:r w:rsidR="00C247E8" w:rsidRPr="00080161">
                  <w:rPr>
                    <w:rStyle w:val="Hyperlink"/>
                  </w:rPr>
                  <w:t xml:space="preserve">http://www.arthuriana.co.uk/historicity/arthur.htm </w:t>
                </w:r>
              </w:hyperlink>
              <w:r w:rsidR="00C247E8" w:rsidRPr="00080161">
                <w:t xml:space="preserve"> accessed</w:t>
              </w:r>
              <w:r w:rsidR="00C247E8">
                <w:t xml:space="preserve"> 26/10/2018 </w:t>
              </w:r>
            </w:p>
            <w:p w14:paraId="61A96ED4" w14:textId="77777777" w:rsidR="00C247E8" w:rsidRDefault="00C247E8" w:rsidP="00C247E8"/>
            <w:p w14:paraId="3C0DA50A" w14:textId="77777777" w:rsidR="00C247E8" w:rsidRDefault="00C247E8" w:rsidP="00C247E8"/>
            <w:p w14:paraId="72814B4B" w14:textId="77777777" w:rsidR="00C247E8" w:rsidRPr="00590EED" w:rsidRDefault="00C247E8" w:rsidP="00C247E8"/>
            <w:p w14:paraId="65327434" w14:textId="77777777" w:rsidR="00C247E8" w:rsidRPr="00590EED" w:rsidRDefault="00C247E8" w:rsidP="00C247E8"/>
            <w:p w14:paraId="7BAF1883" w14:textId="3DCBC858" w:rsidR="00601AE2" w:rsidRDefault="00B80B9B" w:rsidP="00740F9D"/>
          </w:sdtContent>
        </w:sdt>
      </w:sdtContent>
    </w:sdt>
    <w:sectPr w:rsidR="00601AE2" w:rsidSect="00164D95">
      <w:headerReference w:type="even" r:id="rId10"/>
      <w:headerReference w:type="default" r:id="rId11"/>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93495" w14:textId="77777777" w:rsidR="00B80B9B" w:rsidRDefault="00B80B9B" w:rsidP="00120A64">
      <w:r>
        <w:separator/>
      </w:r>
    </w:p>
  </w:endnote>
  <w:endnote w:type="continuationSeparator" w:id="0">
    <w:p w14:paraId="07DCBF12" w14:textId="77777777" w:rsidR="00B80B9B" w:rsidRDefault="00B80B9B" w:rsidP="00120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9EFB7" w14:textId="77777777" w:rsidR="00B80B9B" w:rsidRDefault="00B80B9B" w:rsidP="00120A64">
      <w:r>
        <w:separator/>
      </w:r>
    </w:p>
  </w:footnote>
  <w:footnote w:type="continuationSeparator" w:id="0">
    <w:p w14:paraId="78BD56E8" w14:textId="77777777" w:rsidR="00B80B9B" w:rsidRDefault="00B80B9B" w:rsidP="00120A64">
      <w:r>
        <w:continuationSeparator/>
      </w:r>
    </w:p>
  </w:footnote>
  <w:footnote w:id="1">
    <w:p w14:paraId="5F0A2563" w14:textId="77777777" w:rsidR="00C95E28" w:rsidRDefault="00C95E28" w:rsidP="00C95E28">
      <w:r w:rsidRPr="00A7760F">
        <w:rPr>
          <w:rStyle w:val="FootnoteReference"/>
          <w:sz w:val="16"/>
          <w:szCs w:val="16"/>
        </w:rPr>
        <w:footnoteRef/>
      </w:r>
      <w:r w:rsidRPr="00A7760F">
        <w:rPr>
          <w:sz w:val="16"/>
          <w:szCs w:val="16"/>
        </w:rPr>
        <w:t xml:space="preserve"> </w:t>
      </w:r>
      <w:r w:rsidRPr="00B54213">
        <w:rPr>
          <w:sz w:val="16"/>
          <w:szCs w:val="16"/>
        </w:rPr>
        <w:t xml:space="preserve">Kenneth Hurlstone Jackson, </w:t>
      </w:r>
      <w:r w:rsidRPr="00B54213">
        <w:rPr>
          <w:i/>
          <w:sz w:val="16"/>
          <w:szCs w:val="16"/>
        </w:rPr>
        <w:t>The Arthur of History</w:t>
      </w:r>
      <w:r w:rsidRPr="00B54213">
        <w:rPr>
          <w:sz w:val="16"/>
          <w:szCs w:val="16"/>
        </w:rPr>
        <w:t xml:space="preserve"> in</w:t>
      </w:r>
      <w:r>
        <w:t xml:space="preserve"> </w:t>
      </w:r>
      <w:r w:rsidRPr="00B54213">
        <w:rPr>
          <w:i/>
          <w:sz w:val="16"/>
          <w:szCs w:val="16"/>
        </w:rPr>
        <w:t>Arthurian Literature in the Middle Ages: A Collaborative History,</w:t>
      </w:r>
      <w:r w:rsidRPr="00B54213">
        <w:rPr>
          <w:sz w:val="16"/>
          <w:szCs w:val="16"/>
        </w:rPr>
        <w:t xml:space="preserve"> ed. Roger Sherman Loomis (Oxford: Clarendon Press, 1959).</w:t>
      </w:r>
      <w:r>
        <w:rPr>
          <w:sz w:val="16"/>
          <w:szCs w:val="16"/>
        </w:rPr>
        <w:t xml:space="preserve"> p.10</w:t>
      </w:r>
    </w:p>
  </w:footnote>
  <w:footnote w:id="2">
    <w:p w14:paraId="7AF96500" w14:textId="77777777" w:rsidR="00754DC2" w:rsidRDefault="00754DC2" w:rsidP="00754DC2">
      <w:r w:rsidRPr="00A7760F">
        <w:rPr>
          <w:rStyle w:val="FootnoteReference"/>
          <w:sz w:val="16"/>
          <w:szCs w:val="16"/>
        </w:rPr>
        <w:footnoteRef/>
      </w:r>
      <w:r>
        <w:t xml:space="preserve"> </w:t>
      </w:r>
      <w:hyperlink r:id="rId1" w:history="1">
        <w:r w:rsidRPr="00F83074">
          <w:rPr>
            <w:rStyle w:val="Hyperlink"/>
            <w:sz w:val="16"/>
            <w:szCs w:val="16"/>
          </w:rPr>
          <w:t xml:space="preserve">http://www.arthuriana.co.uk/historicity/arthur.htm </w:t>
        </w:r>
      </w:hyperlink>
      <w:r w:rsidRPr="00F83074">
        <w:rPr>
          <w:sz w:val="16"/>
          <w:szCs w:val="16"/>
        </w:rPr>
        <w:t xml:space="preserve"> accessed 26/10/2018</w:t>
      </w:r>
      <w:r>
        <w:t xml:space="preserve"> </w:t>
      </w:r>
    </w:p>
  </w:footnote>
  <w:footnote w:id="3">
    <w:p w14:paraId="3B450E98" w14:textId="77777777" w:rsidR="00CF7600" w:rsidRDefault="00CF7600" w:rsidP="00CF7600">
      <w:r w:rsidRPr="00A7760F">
        <w:rPr>
          <w:rStyle w:val="FootnoteReference"/>
          <w:sz w:val="16"/>
          <w:szCs w:val="16"/>
        </w:rPr>
        <w:footnoteRef/>
      </w:r>
      <w:r>
        <w:t xml:space="preserve"> </w:t>
      </w:r>
      <w:r w:rsidRPr="00190051">
        <w:rPr>
          <w:sz w:val="16"/>
          <w:szCs w:val="16"/>
        </w:rPr>
        <w:t xml:space="preserve">T.M. Charles-Edwards, </w:t>
      </w:r>
      <w:r w:rsidRPr="00190051">
        <w:rPr>
          <w:i/>
          <w:sz w:val="16"/>
          <w:szCs w:val="16"/>
        </w:rPr>
        <w:t>Wales and the Britons; 350-1064</w:t>
      </w:r>
      <w:r w:rsidRPr="00190051">
        <w:rPr>
          <w:sz w:val="16"/>
          <w:szCs w:val="16"/>
        </w:rPr>
        <w:t xml:space="preserve"> (Oxford: Oxford University Press, 2014).</w:t>
      </w:r>
      <w:r>
        <w:rPr>
          <w:sz w:val="16"/>
          <w:szCs w:val="16"/>
        </w:rPr>
        <w:t xml:space="preserve"> pp.414-9</w:t>
      </w:r>
    </w:p>
  </w:footnote>
  <w:footnote w:id="4">
    <w:p w14:paraId="28CFAB53" w14:textId="77777777" w:rsidR="00381606" w:rsidRPr="009750CB" w:rsidRDefault="00381606" w:rsidP="00381606">
      <w:pPr>
        <w:rPr>
          <w:lang w:val="en-US" w:bidi="en-US"/>
        </w:rPr>
      </w:pPr>
      <w:r w:rsidRPr="008C486B">
        <w:rPr>
          <w:rStyle w:val="FootnoteReference"/>
          <w:sz w:val="16"/>
          <w:szCs w:val="16"/>
        </w:rPr>
        <w:footnoteRef/>
      </w:r>
      <w:r w:rsidRPr="008C486B">
        <w:rPr>
          <w:sz w:val="16"/>
          <w:szCs w:val="16"/>
        </w:rPr>
        <w:t xml:space="preserve"> </w:t>
      </w:r>
      <w:r w:rsidRPr="008C486B">
        <w:rPr>
          <w:i/>
          <w:sz w:val="16"/>
          <w:szCs w:val="16"/>
          <w:lang w:val="en-US" w:bidi="en-US"/>
        </w:rPr>
        <w:t>Gerald of Wales: The Journey Through Wales and The Description of Wales,</w:t>
      </w:r>
      <w:r w:rsidRPr="008C486B">
        <w:rPr>
          <w:sz w:val="16"/>
          <w:szCs w:val="16"/>
          <w:lang w:val="en-US" w:bidi="en-US"/>
        </w:rPr>
        <w:t xml:space="preserve"> trans. Lewis Thorpe (London: Penguin Books, 1988).</w:t>
      </w:r>
      <w:r>
        <w:rPr>
          <w:sz w:val="16"/>
          <w:szCs w:val="16"/>
          <w:lang w:val="en-US" w:bidi="en-US"/>
        </w:rPr>
        <w:t xml:space="preserve"> pp.281-8</w:t>
      </w:r>
    </w:p>
  </w:footnote>
  <w:footnote w:id="5">
    <w:p w14:paraId="596A2D17" w14:textId="1B327C1B" w:rsidR="00E769B0" w:rsidRPr="0045648A" w:rsidRDefault="00E769B0" w:rsidP="00E769B0">
      <w:pPr>
        <w:pStyle w:val="FootnoteText"/>
        <w:rPr>
          <w:sz w:val="16"/>
          <w:szCs w:val="16"/>
        </w:rPr>
      </w:pPr>
      <w:r w:rsidRPr="0045648A">
        <w:rPr>
          <w:rStyle w:val="FootnoteReference"/>
          <w:sz w:val="16"/>
          <w:szCs w:val="16"/>
        </w:rPr>
        <w:footnoteRef/>
      </w:r>
      <w:r w:rsidRPr="0045648A">
        <w:rPr>
          <w:sz w:val="16"/>
          <w:szCs w:val="16"/>
        </w:rPr>
        <w:t xml:space="preserve"> </w:t>
      </w:r>
      <w:r>
        <w:rPr>
          <w:sz w:val="16"/>
          <w:szCs w:val="16"/>
        </w:rPr>
        <w:t>Alan Lane,</w:t>
      </w:r>
      <w:r w:rsidR="00016A21">
        <w:rPr>
          <w:sz w:val="16"/>
          <w:szCs w:val="16"/>
        </w:rPr>
        <w:t xml:space="preserve"> ‘The End of Roman Britain and the Coming of the Saxons: An Archaeological Context for Arthur’,</w:t>
      </w:r>
      <w:r>
        <w:rPr>
          <w:sz w:val="16"/>
          <w:szCs w:val="16"/>
        </w:rPr>
        <w:t xml:space="preserve"> in </w:t>
      </w:r>
      <w:r w:rsidRPr="008256F7">
        <w:rPr>
          <w:i/>
          <w:sz w:val="16"/>
          <w:szCs w:val="16"/>
        </w:rPr>
        <w:t>A Companion to Arthurian Literature</w:t>
      </w:r>
      <w:r w:rsidRPr="008256F7">
        <w:rPr>
          <w:sz w:val="16"/>
          <w:szCs w:val="16"/>
        </w:rPr>
        <w:t>, ed. Helen Fulton (Chichester: Wiley-Blackwell, 2009)</w:t>
      </w:r>
      <w:r>
        <w:rPr>
          <w:sz w:val="16"/>
          <w:szCs w:val="16"/>
        </w:rPr>
        <w:t>. p. 15</w:t>
      </w:r>
    </w:p>
  </w:footnote>
  <w:footnote w:id="6">
    <w:p w14:paraId="1092E4D3" w14:textId="77777777" w:rsidR="00381606" w:rsidRPr="00397931" w:rsidRDefault="00381606" w:rsidP="00381606">
      <w:pPr>
        <w:rPr>
          <w:sz w:val="16"/>
          <w:szCs w:val="16"/>
        </w:rPr>
      </w:pPr>
      <w:r w:rsidRPr="00A7760F">
        <w:rPr>
          <w:rStyle w:val="FootnoteReference"/>
          <w:sz w:val="16"/>
          <w:szCs w:val="16"/>
        </w:rPr>
        <w:footnoteRef/>
      </w:r>
      <w:r w:rsidRPr="00A7760F">
        <w:rPr>
          <w:sz w:val="16"/>
          <w:szCs w:val="16"/>
        </w:rPr>
        <w:t xml:space="preserve"> Leslie Alcock, </w:t>
      </w:r>
      <w:r w:rsidRPr="00A7760F">
        <w:rPr>
          <w:i/>
          <w:sz w:val="16"/>
          <w:szCs w:val="16"/>
        </w:rPr>
        <w:t>Arthur’s Britain</w:t>
      </w:r>
      <w:r w:rsidRPr="00A7760F">
        <w:rPr>
          <w:sz w:val="16"/>
          <w:szCs w:val="16"/>
        </w:rPr>
        <w:t xml:space="preserve"> (Harmondsworth: Penguin Books Ltd., 1973).</w:t>
      </w:r>
      <w:r>
        <w:rPr>
          <w:sz w:val="16"/>
          <w:szCs w:val="16"/>
        </w:rPr>
        <w:t xml:space="preserve"> p.88</w:t>
      </w:r>
    </w:p>
  </w:footnote>
  <w:footnote w:id="7">
    <w:p w14:paraId="4CF016BF" w14:textId="7095B495" w:rsidR="00C93239" w:rsidRPr="00C93239" w:rsidRDefault="00C93239" w:rsidP="00C93239">
      <w:pPr>
        <w:rPr>
          <w:sz w:val="16"/>
          <w:szCs w:val="16"/>
        </w:rPr>
      </w:pPr>
      <w:r w:rsidRPr="00C93239">
        <w:rPr>
          <w:rStyle w:val="FootnoteReference"/>
          <w:sz w:val="16"/>
          <w:szCs w:val="16"/>
        </w:rPr>
        <w:footnoteRef/>
      </w:r>
      <w:r w:rsidRPr="00C93239">
        <w:rPr>
          <w:sz w:val="16"/>
          <w:szCs w:val="16"/>
        </w:rPr>
        <w:t xml:space="preserve"> </w:t>
      </w:r>
      <w:r w:rsidRPr="00C93239">
        <w:rPr>
          <w:i/>
          <w:sz w:val="16"/>
          <w:szCs w:val="16"/>
        </w:rPr>
        <w:t>The Arthur of the Welsh: The Arthurian Legend in Medieval Welsh Literature</w:t>
      </w:r>
      <w:r w:rsidRPr="00C93239">
        <w:rPr>
          <w:sz w:val="16"/>
          <w:szCs w:val="16"/>
        </w:rPr>
        <w:t>, eds. Rachel Bromwich, A.O.H. Jarman, Brynley F. Roberts (Cardiff: University of Wales Press, 1991).</w:t>
      </w:r>
      <w:r>
        <w:rPr>
          <w:sz w:val="16"/>
          <w:szCs w:val="16"/>
        </w:rPr>
        <w:t xml:space="preserve"> p.3</w:t>
      </w:r>
    </w:p>
  </w:footnote>
  <w:footnote w:id="8">
    <w:p w14:paraId="46D8760C" w14:textId="77777777" w:rsidR="00EE3119" w:rsidRDefault="00EE3119" w:rsidP="00EE3119">
      <w:r w:rsidRPr="00A7760F">
        <w:rPr>
          <w:rStyle w:val="FootnoteReference"/>
          <w:sz w:val="16"/>
          <w:szCs w:val="16"/>
        </w:rPr>
        <w:footnoteRef/>
      </w:r>
      <w:r>
        <w:t xml:space="preserve"> </w:t>
      </w:r>
      <w:r w:rsidRPr="00C87392">
        <w:rPr>
          <w:sz w:val="16"/>
          <w:szCs w:val="16"/>
        </w:rPr>
        <w:t xml:space="preserve">Richard Barber, </w:t>
      </w:r>
      <w:r w:rsidRPr="00C87392">
        <w:rPr>
          <w:i/>
          <w:sz w:val="16"/>
          <w:szCs w:val="16"/>
        </w:rPr>
        <w:t>The Figure of Arthur</w:t>
      </w:r>
      <w:r w:rsidRPr="00C87392">
        <w:rPr>
          <w:sz w:val="16"/>
          <w:szCs w:val="16"/>
        </w:rPr>
        <w:t xml:space="preserve"> (London: Longman, 1972). </w:t>
      </w:r>
      <w:r>
        <w:rPr>
          <w:sz w:val="16"/>
          <w:szCs w:val="16"/>
        </w:rPr>
        <w:t>p</w:t>
      </w:r>
      <w:r w:rsidRPr="00C87392">
        <w:rPr>
          <w:sz w:val="16"/>
          <w:szCs w:val="16"/>
        </w:rPr>
        <w:t>p.15-16</w:t>
      </w:r>
    </w:p>
  </w:footnote>
  <w:footnote w:id="9">
    <w:p w14:paraId="79358BC4" w14:textId="0FEA6A60" w:rsidR="00EE3119" w:rsidRDefault="00EE3119" w:rsidP="00EE3119">
      <w:pPr>
        <w:pStyle w:val="FootnoteText"/>
      </w:pPr>
      <w:r w:rsidRPr="00C77FBF">
        <w:rPr>
          <w:rStyle w:val="FootnoteReference"/>
          <w:sz w:val="16"/>
          <w:szCs w:val="16"/>
        </w:rPr>
        <w:footnoteRef/>
      </w:r>
      <w:r w:rsidRPr="00C77FBF">
        <w:rPr>
          <w:sz w:val="16"/>
          <w:szCs w:val="16"/>
        </w:rPr>
        <w:t xml:space="preserve"> </w:t>
      </w:r>
      <w:r>
        <w:rPr>
          <w:sz w:val="16"/>
          <w:szCs w:val="16"/>
        </w:rPr>
        <w:t xml:space="preserve">Alan Lane, </w:t>
      </w:r>
      <w:r w:rsidR="00016A21">
        <w:rPr>
          <w:sz w:val="16"/>
          <w:szCs w:val="16"/>
        </w:rPr>
        <w:t xml:space="preserve">‘The End of Roman Britain and the Coming of the Saxons: An Archaeological Context for Arthur’, </w:t>
      </w:r>
      <w:r>
        <w:rPr>
          <w:sz w:val="16"/>
          <w:szCs w:val="16"/>
        </w:rPr>
        <w:t xml:space="preserve">in </w:t>
      </w:r>
      <w:r w:rsidRPr="008256F7">
        <w:rPr>
          <w:i/>
          <w:sz w:val="16"/>
          <w:szCs w:val="16"/>
        </w:rPr>
        <w:t>A Companion to Arthurian Literature</w:t>
      </w:r>
      <w:r w:rsidRPr="008256F7">
        <w:rPr>
          <w:sz w:val="16"/>
          <w:szCs w:val="16"/>
        </w:rPr>
        <w:t>, ed. Helen Fulton (Chichester: Wiley-Blackwell, 2009)</w:t>
      </w:r>
      <w:r>
        <w:rPr>
          <w:sz w:val="16"/>
          <w:szCs w:val="16"/>
        </w:rPr>
        <w:t>. p. 16</w:t>
      </w:r>
    </w:p>
  </w:footnote>
  <w:footnote w:id="10">
    <w:p w14:paraId="14B23A77" w14:textId="3AF139D8" w:rsidR="00680A77" w:rsidRPr="00680A77" w:rsidRDefault="00680A77">
      <w:pPr>
        <w:pStyle w:val="FootnoteText"/>
        <w:rPr>
          <w:sz w:val="16"/>
          <w:szCs w:val="16"/>
        </w:rPr>
      </w:pPr>
      <w:r w:rsidRPr="00680A77">
        <w:rPr>
          <w:rStyle w:val="FootnoteReference"/>
          <w:sz w:val="16"/>
          <w:szCs w:val="16"/>
        </w:rPr>
        <w:footnoteRef/>
      </w:r>
      <w:r w:rsidRPr="00680A77">
        <w:rPr>
          <w:sz w:val="16"/>
          <w:szCs w:val="16"/>
        </w:rPr>
        <w:t xml:space="preserve"> </w:t>
      </w:r>
      <w:r>
        <w:rPr>
          <w:sz w:val="16"/>
          <w:szCs w:val="16"/>
        </w:rPr>
        <w:t xml:space="preserve">Patrick Sims-Williams, </w:t>
      </w:r>
      <w:r w:rsidR="00016A21">
        <w:rPr>
          <w:sz w:val="16"/>
          <w:szCs w:val="16"/>
        </w:rPr>
        <w:t>‘</w:t>
      </w:r>
      <w:r w:rsidRPr="00016A21">
        <w:rPr>
          <w:sz w:val="16"/>
          <w:szCs w:val="16"/>
        </w:rPr>
        <w:t>The Early Welsh Arthurian Poems</w:t>
      </w:r>
      <w:r w:rsidR="00016A21">
        <w:rPr>
          <w:sz w:val="16"/>
          <w:szCs w:val="16"/>
        </w:rPr>
        <w:t>’,</w:t>
      </w:r>
      <w:r w:rsidRPr="00016A21">
        <w:rPr>
          <w:sz w:val="16"/>
          <w:szCs w:val="16"/>
        </w:rPr>
        <w:t xml:space="preserve"> </w:t>
      </w:r>
      <w:r>
        <w:rPr>
          <w:sz w:val="16"/>
          <w:szCs w:val="16"/>
        </w:rPr>
        <w:t xml:space="preserve">in </w:t>
      </w:r>
      <w:r w:rsidRPr="00C93239">
        <w:rPr>
          <w:i/>
          <w:sz w:val="16"/>
          <w:szCs w:val="16"/>
        </w:rPr>
        <w:t>The Arthur of the Welsh: The Arthurian Legend in Medieval Welsh Literature</w:t>
      </w:r>
      <w:r w:rsidRPr="00C93239">
        <w:rPr>
          <w:sz w:val="16"/>
          <w:szCs w:val="16"/>
        </w:rPr>
        <w:t>, eds. Rachel Bromwich, A.O.H. Jarman, Brynley F. Roberts (Cardiff: University of Wales Press, 1991).</w:t>
      </w:r>
      <w:r>
        <w:rPr>
          <w:sz w:val="16"/>
          <w:szCs w:val="16"/>
        </w:rPr>
        <w:t xml:space="preserve"> p.49</w:t>
      </w:r>
    </w:p>
  </w:footnote>
  <w:footnote w:id="11">
    <w:p w14:paraId="04F32B91" w14:textId="79AF178A" w:rsidR="00E33114" w:rsidRPr="00E33114" w:rsidRDefault="00E33114" w:rsidP="00E33114">
      <w:pPr>
        <w:rPr>
          <w:sz w:val="16"/>
          <w:szCs w:val="16"/>
        </w:rPr>
      </w:pPr>
      <w:r w:rsidRPr="00E33114">
        <w:rPr>
          <w:rStyle w:val="FootnoteReference"/>
          <w:sz w:val="16"/>
          <w:szCs w:val="16"/>
        </w:rPr>
        <w:footnoteRef/>
      </w:r>
      <w:r>
        <w:rPr>
          <w:sz w:val="16"/>
          <w:szCs w:val="16"/>
        </w:rPr>
        <w:t xml:space="preserve"> </w:t>
      </w:r>
      <w:r w:rsidRPr="00E33114">
        <w:rPr>
          <w:sz w:val="16"/>
          <w:szCs w:val="16"/>
        </w:rPr>
        <w:t xml:space="preserve">David N. Dumville, </w:t>
      </w:r>
      <w:r w:rsidRPr="00E33114">
        <w:rPr>
          <w:i/>
          <w:sz w:val="16"/>
          <w:szCs w:val="16"/>
        </w:rPr>
        <w:t>Histories and Pseudo-histories of the Insular Middle Ages</w:t>
      </w:r>
      <w:r w:rsidRPr="00E33114">
        <w:rPr>
          <w:sz w:val="16"/>
          <w:szCs w:val="16"/>
        </w:rPr>
        <w:t xml:space="preserve"> (Aldershot: Variorum, 1990).</w:t>
      </w:r>
      <w:r>
        <w:rPr>
          <w:sz w:val="16"/>
          <w:szCs w:val="16"/>
        </w:rPr>
        <w:t>p.173</w:t>
      </w:r>
    </w:p>
  </w:footnote>
  <w:footnote w:id="12">
    <w:p w14:paraId="1D533CF4" w14:textId="77777777" w:rsidR="007A0FF6" w:rsidRDefault="007A0FF6" w:rsidP="007A0FF6">
      <w:pPr>
        <w:pStyle w:val="FootnoteText"/>
      </w:pPr>
      <w:r w:rsidRPr="00AF496B">
        <w:rPr>
          <w:rStyle w:val="FootnoteReference"/>
          <w:sz w:val="16"/>
          <w:szCs w:val="16"/>
        </w:rPr>
        <w:footnoteRef/>
      </w:r>
      <w:r w:rsidRPr="00AF496B">
        <w:rPr>
          <w:sz w:val="16"/>
          <w:szCs w:val="16"/>
        </w:rPr>
        <w:t xml:space="preserve"> </w:t>
      </w:r>
      <w:r w:rsidRPr="00797793">
        <w:rPr>
          <w:sz w:val="16"/>
          <w:szCs w:val="16"/>
        </w:rPr>
        <w:t>John Morris in</w:t>
      </w:r>
      <w:r>
        <w:t xml:space="preserve"> </w:t>
      </w:r>
      <w:r w:rsidRPr="00C046F1">
        <w:rPr>
          <w:i/>
          <w:sz w:val="16"/>
          <w:szCs w:val="16"/>
          <w:lang w:val="en-US" w:bidi="en-US"/>
        </w:rPr>
        <w:t>Gildas: The Ruin of Britain and other works</w:t>
      </w:r>
      <w:r w:rsidRPr="00C046F1">
        <w:rPr>
          <w:sz w:val="16"/>
          <w:szCs w:val="16"/>
          <w:lang w:val="en-US" w:bidi="en-US"/>
        </w:rPr>
        <w:t>, ed. and trans. Michael Winterbottom (London: Phillimore &amp; Co. Ltd., 1978).</w:t>
      </w:r>
      <w:r>
        <w:rPr>
          <w:sz w:val="16"/>
          <w:szCs w:val="16"/>
          <w:lang w:val="en-US" w:bidi="en-US"/>
        </w:rPr>
        <w:t xml:space="preserve"> p.1</w:t>
      </w:r>
    </w:p>
  </w:footnote>
  <w:footnote w:id="13">
    <w:p w14:paraId="45027765" w14:textId="77777777" w:rsidR="00465B39" w:rsidRPr="00C046F1" w:rsidRDefault="00465B39" w:rsidP="00465B39">
      <w:pPr>
        <w:rPr>
          <w:lang w:val="en-US" w:bidi="en-US"/>
        </w:rPr>
      </w:pPr>
      <w:r w:rsidRPr="00AF496B">
        <w:rPr>
          <w:rStyle w:val="FootnoteReference"/>
          <w:sz w:val="16"/>
          <w:szCs w:val="16"/>
        </w:rPr>
        <w:footnoteRef/>
      </w:r>
      <w:r>
        <w:t xml:space="preserve"> </w:t>
      </w:r>
      <w:r w:rsidRPr="00C046F1">
        <w:rPr>
          <w:i/>
          <w:sz w:val="16"/>
          <w:szCs w:val="16"/>
          <w:lang w:val="en-US" w:bidi="en-US"/>
        </w:rPr>
        <w:t>Gildas: The Ruin of Britain and other works</w:t>
      </w:r>
      <w:r w:rsidRPr="00C046F1">
        <w:rPr>
          <w:sz w:val="16"/>
          <w:szCs w:val="16"/>
          <w:lang w:val="en-US" w:bidi="en-US"/>
        </w:rPr>
        <w:t>, ed. and trans. Michael Winterbottom (London: Phillimore &amp; Co. Ltd., 1978).</w:t>
      </w:r>
      <w:r>
        <w:rPr>
          <w:sz w:val="16"/>
          <w:szCs w:val="16"/>
          <w:lang w:val="en-US" w:bidi="en-US"/>
        </w:rPr>
        <w:t xml:space="preserve"> p.28</w:t>
      </w:r>
    </w:p>
  </w:footnote>
  <w:footnote w:id="14">
    <w:p w14:paraId="0AAB34FD" w14:textId="77777777" w:rsidR="00465B39" w:rsidRPr="00397931" w:rsidRDefault="00465B39" w:rsidP="00465B39">
      <w:pPr>
        <w:pStyle w:val="FootnoteText"/>
        <w:rPr>
          <w:sz w:val="16"/>
          <w:szCs w:val="16"/>
        </w:rPr>
      </w:pPr>
      <w:r w:rsidRPr="00397931">
        <w:rPr>
          <w:rStyle w:val="FootnoteReference"/>
          <w:sz w:val="16"/>
          <w:szCs w:val="16"/>
        </w:rPr>
        <w:footnoteRef/>
      </w:r>
      <w:r w:rsidRPr="00397931">
        <w:rPr>
          <w:sz w:val="16"/>
          <w:szCs w:val="16"/>
        </w:rPr>
        <w:t xml:space="preserve"> Richard Barber, </w:t>
      </w:r>
      <w:r w:rsidRPr="00397931">
        <w:rPr>
          <w:i/>
          <w:sz w:val="16"/>
          <w:szCs w:val="16"/>
        </w:rPr>
        <w:t>The Figure of Arthur</w:t>
      </w:r>
      <w:r w:rsidRPr="00397931">
        <w:rPr>
          <w:sz w:val="16"/>
          <w:szCs w:val="16"/>
        </w:rPr>
        <w:t xml:space="preserve"> (London: Longman, 1972). p.</w:t>
      </w:r>
      <w:r>
        <w:rPr>
          <w:sz w:val="16"/>
          <w:szCs w:val="16"/>
        </w:rPr>
        <w:t>49</w:t>
      </w:r>
    </w:p>
  </w:footnote>
  <w:footnote w:id="15">
    <w:p w14:paraId="3846D170" w14:textId="51EEF3ED" w:rsidR="004B1A68" w:rsidRPr="004B1A68" w:rsidRDefault="004B1A68">
      <w:pPr>
        <w:pStyle w:val="FootnoteText"/>
        <w:rPr>
          <w:sz w:val="16"/>
          <w:szCs w:val="16"/>
        </w:rPr>
      </w:pPr>
      <w:r w:rsidRPr="004B1A68">
        <w:rPr>
          <w:rStyle w:val="FootnoteReference"/>
          <w:sz w:val="16"/>
          <w:szCs w:val="16"/>
        </w:rPr>
        <w:footnoteRef/>
      </w:r>
      <w:r w:rsidRPr="004B1A68">
        <w:rPr>
          <w:sz w:val="16"/>
          <w:szCs w:val="16"/>
        </w:rPr>
        <w:t xml:space="preserve"> </w:t>
      </w:r>
      <w:r w:rsidRPr="00B007F3">
        <w:rPr>
          <w:i/>
          <w:sz w:val="16"/>
          <w:szCs w:val="16"/>
        </w:rPr>
        <w:t xml:space="preserve">The Arthur of the Welsh: The Arthurian Legend in Medieval </w:t>
      </w:r>
      <w:r w:rsidR="00251B86" w:rsidRPr="00B007F3">
        <w:rPr>
          <w:i/>
          <w:sz w:val="16"/>
          <w:szCs w:val="16"/>
        </w:rPr>
        <w:t>Welsh Literature</w:t>
      </w:r>
      <w:r w:rsidR="00251B86">
        <w:rPr>
          <w:sz w:val="16"/>
          <w:szCs w:val="16"/>
        </w:rPr>
        <w:t>, eds. Rachel Bromwich, A.O.H. Jarman, Brynley F. Roberts (Cardiff: University of Wales Press, 1991). pp.3-5</w:t>
      </w:r>
    </w:p>
  </w:footnote>
  <w:footnote w:id="16">
    <w:p w14:paraId="2B24B52E" w14:textId="0D1DEA08" w:rsidR="008A2BF9" w:rsidRPr="00843E64" w:rsidRDefault="008A2BF9" w:rsidP="008A2BF9">
      <w:pPr>
        <w:pStyle w:val="FootnoteText"/>
        <w:rPr>
          <w:sz w:val="16"/>
          <w:szCs w:val="16"/>
        </w:rPr>
      </w:pPr>
      <w:r w:rsidRPr="00843E64">
        <w:rPr>
          <w:rStyle w:val="FootnoteReference"/>
          <w:sz w:val="16"/>
          <w:szCs w:val="16"/>
        </w:rPr>
        <w:footnoteRef/>
      </w:r>
      <w:r w:rsidRPr="00843E64">
        <w:rPr>
          <w:sz w:val="16"/>
          <w:szCs w:val="16"/>
        </w:rPr>
        <w:t xml:space="preserve"> </w:t>
      </w:r>
      <w:r w:rsidR="007E619E">
        <w:rPr>
          <w:i/>
          <w:sz w:val="16"/>
          <w:szCs w:val="16"/>
        </w:rPr>
        <w:t>i</w:t>
      </w:r>
      <w:r w:rsidRPr="00843E64">
        <w:rPr>
          <w:i/>
          <w:sz w:val="16"/>
          <w:szCs w:val="16"/>
        </w:rPr>
        <w:t>bid.</w:t>
      </w:r>
      <w:r>
        <w:rPr>
          <w:sz w:val="16"/>
          <w:szCs w:val="16"/>
        </w:rPr>
        <w:t xml:space="preserve"> pp.85-7</w:t>
      </w:r>
    </w:p>
  </w:footnote>
  <w:footnote w:id="17">
    <w:p w14:paraId="5E825B91" w14:textId="45BD43DC" w:rsidR="00EF0800" w:rsidRDefault="00EF0800" w:rsidP="00EF0800">
      <w:pPr>
        <w:rPr>
          <w:lang w:val="en-US" w:bidi="en-US"/>
        </w:rPr>
      </w:pPr>
      <w:r w:rsidRPr="00EF0800">
        <w:rPr>
          <w:rStyle w:val="FootnoteReference"/>
          <w:sz w:val="16"/>
          <w:szCs w:val="16"/>
        </w:rPr>
        <w:footnoteRef/>
      </w:r>
      <w:r w:rsidRPr="00EF0800">
        <w:rPr>
          <w:sz w:val="16"/>
          <w:szCs w:val="16"/>
        </w:rPr>
        <w:t xml:space="preserve"> </w:t>
      </w:r>
      <w:r w:rsidRPr="00EF0800">
        <w:rPr>
          <w:i/>
          <w:sz w:val="16"/>
          <w:szCs w:val="16"/>
          <w:lang w:val="en-US" w:bidi="en-US"/>
        </w:rPr>
        <w:t>Gerald of Wales: The Journey Through Wales and The Description of Wales,</w:t>
      </w:r>
      <w:r w:rsidRPr="00EF0800">
        <w:rPr>
          <w:sz w:val="16"/>
          <w:szCs w:val="16"/>
          <w:lang w:val="en-US" w:bidi="en-US"/>
        </w:rPr>
        <w:t xml:space="preserve"> trans. Lewis Thorpe (London: Penguin Books, 1988).</w:t>
      </w:r>
      <w:r>
        <w:rPr>
          <w:sz w:val="16"/>
          <w:szCs w:val="16"/>
          <w:lang w:val="en-US" w:bidi="en-US"/>
        </w:rPr>
        <w:t xml:space="preserve"> p.259</w:t>
      </w:r>
    </w:p>
    <w:p w14:paraId="11AFE930" w14:textId="7E5C0810" w:rsidR="00EF0800" w:rsidRPr="00EF0800" w:rsidRDefault="00EF0800">
      <w:pPr>
        <w:pStyle w:val="FootnoteText"/>
        <w:rPr>
          <w:sz w:val="16"/>
          <w:szCs w:val="16"/>
        </w:rPr>
      </w:pPr>
    </w:p>
  </w:footnote>
  <w:footnote w:id="18">
    <w:p w14:paraId="23562770" w14:textId="463A935A" w:rsidR="00B007F3" w:rsidRDefault="00B007F3" w:rsidP="00B007F3">
      <w:r w:rsidRPr="00B007F3">
        <w:rPr>
          <w:rStyle w:val="FootnoteReference"/>
          <w:sz w:val="16"/>
          <w:szCs w:val="16"/>
        </w:rPr>
        <w:footnoteRef/>
      </w:r>
      <w:r w:rsidRPr="00B007F3">
        <w:rPr>
          <w:sz w:val="16"/>
          <w:szCs w:val="16"/>
        </w:rPr>
        <w:t xml:space="preserve"> </w:t>
      </w:r>
      <w:r w:rsidRPr="00B007F3">
        <w:rPr>
          <w:i/>
          <w:sz w:val="16"/>
          <w:szCs w:val="16"/>
        </w:rPr>
        <w:t xml:space="preserve">Aneirin: Y Gododdin, </w:t>
      </w:r>
      <w:r w:rsidRPr="00B007F3">
        <w:rPr>
          <w:sz w:val="16"/>
          <w:szCs w:val="16"/>
        </w:rPr>
        <w:t>trans. A.O.H. Jarman (Llandysul: Gomer Press, 1988</w:t>
      </w:r>
      <w:r w:rsidRPr="0041079A">
        <w:t>).</w:t>
      </w:r>
    </w:p>
  </w:footnote>
  <w:footnote w:id="19">
    <w:p w14:paraId="0D35FA99" w14:textId="77777777" w:rsidR="004A2D25" w:rsidRPr="005F1745" w:rsidRDefault="004A2D25" w:rsidP="004A2D25">
      <w:r w:rsidRPr="005F1745">
        <w:rPr>
          <w:rStyle w:val="FootnoteReference"/>
          <w:sz w:val="16"/>
          <w:szCs w:val="16"/>
        </w:rPr>
        <w:footnoteRef/>
      </w:r>
      <w:r w:rsidRPr="005F1745">
        <w:rPr>
          <w:sz w:val="16"/>
          <w:szCs w:val="16"/>
        </w:rPr>
        <w:t xml:space="preserve"> Richard Barber, </w:t>
      </w:r>
      <w:r w:rsidRPr="005F1745">
        <w:rPr>
          <w:i/>
          <w:sz w:val="16"/>
          <w:szCs w:val="16"/>
        </w:rPr>
        <w:t>The Figure of Arthur</w:t>
      </w:r>
      <w:r w:rsidRPr="005F1745">
        <w:rPr>
          <w:sz w:val="16"/>
          <w:szCs w:val="16"/>
        </w:rPr>
        <w:t xml:space="preserve"> (London: Longman, 1972).</w:t>
      </w:r>
      <w:r>
        <w:rPr>
          <w:sz w:val="16"/>
          <w:szCs w:val="16"/>
        </w:rPr>
        <w:t xml:space="preserve"> p.23</w:t>
      </w:r>
    </w:p>
  </w:footnote>
  <w:footnote w:id="20">
    <w:p w14:paraId="3AABEA39" w14:textId="77777777" w:rsidR="00E53D61" w:rsidRPr="00B16E4D" w:rsidRDefault="00E53D61" w:rsidP="00E53D61">
      <w:pPr>
        <w:rPr>
          <w:sz w:val="16"/>
          <w:szCs w:val="16"/>
        </w:rPr>
      </w:pPr>
      <w:r w:rsidRPr="00E03417">
        <w:rPr>
          <w:rStyle w:val="FootnoteReference"/>
          <w:sz w:val="16"/>
          <w:szCs w:val="16"/>
        </w:rPr>
        <w:footnoteRef/>
      </w:r>
      <w:r w:rsidRPr="00E03417">
        <w:rPr>
          <w:sz w:val="16"/>
          <w:szCs w:val="16"/>
        </w:rPr>
        <w:t xml:space="preserve"> </w:t>
      </w:r>
      <w:r>
        <w:rPr>
          <w:sz w:val="16"/>
          <w:szCs w:val="16"/>
        </w:rPr>
        <w:t xml:space="preserve">Kenneth Hurlstone Jackson, </w:t>
      </w:r>
      <w:r w:rsidRPr="00E03417">
        <w:rPr>
          <w:i/>
          <w:sz w:val="16"/>
          <w:szCs w:val="16"/>
        </w:rPr>
        <w:t>The Arthur of History</w:t>
      </w:r>
      <w:r>
        <w:rPr>
          <w:sz w:val="16"/>
          <w:szCs w:val="16"/>
        </w:rPr>
        <w:t xml:space="preserve"> in </w:t>
      </w:r>
      <w:r w:rsidRPr="00E03417">
        <w:rPr>
          <w:i/>
          <w:sz w:val="16"/>
          <w:szCs w:val="16"/>
        </w:rPr>
        <w:t>Arthurian Literature in the Middle Ages: A Collaborative History,</w:t>
      </w:r>
      <w:r w:rsidRPr="00E03417">
        <w:rPr>
          <w:sz w:val="16"/>
          <w:szCs w:val="16"/>
        </w:rPr>
        <w:t xml:space="preserve"> ed. Roger Sherman Loomis (Oxford: Clarendon Press, 1959).</w:t>
      </w:r>
      <w:r>
        <w:rPr>
          <w:sz w:val="16"/>
          <w:szCs w:val="16"/>
        </w:rPr>
        <w:t xml:space="preserve"> p.3</w:t>
      </w:r>
    </w:p>
  </w:footnote>
  <w:footnote w:id="21">
    <w:p w14:paraId="6ADB6F9C" w14:textId="77777777" w:rsidR="004A2D25" w:rsidRPr="00A669F4" w:rsidRDefault="004A2D25" w:rsidP="004A2D25">
      <w:r w:rsidRPr="00AE3096">
        <w:rPr>
          <w:rStyle w:val="FootnoteReference"/>
          <w:sz w:val="16"/>
          <w:szCs w:val="16"/>
        </w:rPr>
        <w:footnoteRef/>
      </w:r>
      <w:r w:rsidRPr="00AE3096">
        <w:rPr>
          <w:sz w:val="16"/>
          <w:szCs w:val="16"/>
        </w:rPr>
        <w:t xml:space="preserve"> Jon B. Coe and Simon Young, </w:t>
      </w:r>
      <w:r w:rsidRPr="00AE3096">
        <w:rPr>
          <w:i/>
          <w:sz w:val="16"/>
          <w:szCs w:val="16"/>
        </w:rPr>
        <w:t>The Celtic Sources for the Arthurian Legend</w:t>
      </w:r>
      <w:r w:rsidRPr="00AE3096">
        <w:rPr>
          <w:sz w:val="16"/>
          <w:szCs w:val="16"/>
        </w:rPr>
        <w:t xml:space="preserve"> (Burnham-on-Sea: Llanerch Press, 1995).</w:t>
      </w:r>
      <w:r>
        <w:rPr>
          <w:sz w:val="16"/>
          <w:szCs w:val="16"/>
        </w:rPr>
        <w:t xml:space="preserve"> p.152</w:t>
      </w:r>
    </w:p>
  </w:footnote>
  <w:footnote w:id="22">
    <w:p w14:paraId="7F559E11" w14:textId="77777777" w:rsidR="004A2D25" w:rsidRDefault="004A2D25" w:rsidP="004A2D25">
      <w:r w:rsidRPr="00D9595B">
        <w:rPr>
          <w:rStyle w:val="FootnoteReference"/>
          <w:sz w:val="16"/>
          <w:szCs w:val="16"/>
        </w:rPr>
        <w:footnoteRef/>
      </w:r>
      <w:r>
        <w:t xml:space="preserve"> </w:t>
      </w:r>
      <w:r w:rsidRPr="00D472E2">
        <w:rPr>
          <w:i/>
          <w:sz w:val="16"/>
          <w:szCs w:val="16"/>
        </w:rPr>
        <w:t xml:space="preserve">Aneirin: Y Gododdin, </w:t>
      </w:r>
      <w:r w:rsidRPr="00D472E2">
        <w:rPr>
          <w:sz w:val="16"/>
          <w:szCs w:val="16"/>
        </w:rPr>
        <w:t xml:space="preserve">trans. A.O.H. Jarman (Llandysul: Gomer Press, 1988). </w:t>
      </w:r>
      <w:r>
        <w:rPr>
          <w:sz w:val="16"/>
          <w:szCs w:val="16"/>
        </w:rPr>
        <w:t xml:space="preserve">Lines 971-2, </w:t>
      </w:r>
      <w:r w:rsidRPr="00D472E2">
        <w:rPr>
          <w:sz w:val="16"/>
          <w:szCs w:val="16"/>
        </w:rPr>
        <w:t>pp</w:t>
      </w:r>
      <w:r>
        <w:rPr>
          <w:sz w:val="16"/>
          <w:szCs w:val="16"/>
        </w:rPr>
        <w:t>. 64-5</w:t>
      </w:r>
    </w:p>
  </w:footnote>
  <w:footnote w:id="23">
    <w:p w14:paraId="5000C9A4" w14:textId="77777777" w:rsidR="004A2D25" w:rsidRPr="00150720" w:rsidRDefault="004A2D25" w:rsidP="004A2D25">
      <w:pPr>
        <w:rPr>
          <w:sz w:val="16"/>
          <w:szCs w:val="16"/>
        </w:rPr>
      </w:pPr>
      <w:r w:rsidRPr="0031267E">
        <w:rPr>
          <w:rStyle w:val="FootnoteReference"/>
          <w:sz w:val="16"/>
          <w:szCs w:val="16"/>
        </w:rPr>
        <w:footnoteRef/>
      </w:r>
      <w:r w:rsidRPr="0031267E">
        <w:rPr>
          <w:sz w:val="16"/>
          <w:szCs w:val="16"/>
        </w:rPr>
        <w:t xml:space="preserve"> Jon B. Coe and Simon Young, </w:t>
      </w:r>
      <w:r w:rsidRPr="0031267E">
        <w:rPr>
          <w:i/>
          <w:sz w:val="16"/>
          <w:szCs w:val="16"/>
        </w:rPr>
        <w:t>The Celtic Sources for the Arthurian Legend</w:t>
      </w:r>
      <w:r w:rsidRPr="0031267E">
        <w:rPr>
          <w:sz w:val="16"/>
          <w:szCs w:val="16"/>
        </w:rPr>
        <w:t xml:space="preserve"> (Burnham-on-Sea: Llanerch Press, 1995).</w:t>
      </w:r>
      <w:r>
        <w:rPr>
          <w:sz w:val="16"/>
          <w:szCs w:val="16"/>
        </w:rPr>
        <w:t xml:space="preserve"> pp.157, 162-3</w:t>
      </w:r>
    </w:p>
  </w:footnote>
  <w:footnote w:id="24">
    <w:p w14:paraId="494473D7" w14:textId="77777777" w:rsidR="004A2D25" w:rsidRPr="00150720" w:rsidRDefault="004A2D25" w:rsidP="004A2D25">
      <w:pPr>
        <w:rPr>
          <w:sz w:val="16"/>
          <w:szCs w:val="16"/>
        </w:rPr>
      </w:pPr>
      <w:r w:rsidRPr="00150720">
        <w:rPr>
          <w:rStyle w:val="FootnoteReference"/>
          <w:sz w:val="16"/>
          <w:szCs w:val="16"/>
        </w:rPr>
        <w:footnoteRef/>
      </w:r>
      <w:r w:rsidRPr="00150720">
        <w:rPr>
          <w:sz w:val="16"/>
          <w:szCs w:val="16"/>
        </w:rPr>
        <w:t xml:space="preserve"> O.J. Padel, </w:t>
      </w:r>
      <w:r w:rsidRPr="00150720">
        <w:rPr>
          <w:i/>
          <w:sz w:val="16"/>
          <w:szCs w:val="16"/>
        </w:rPr>
        <w:t>Arthur in Medieval Welsh Literature</w:t>
      </w:r>
      <w:r w:rsidRPr="00150720">
        <w:rPr>
          <w:sz w:val="16"/>
          <w:szCs w:val="16"/>
        </w:rPr>
        <w:t xml:space="preserve"> (Cardiff: University of Wales Press, 2000).</w:t>
      </w:r>
      <w:r>
        <w:rPr>
          <w:sz w:val="16"/>
          <w:szCs w:val="16"/>
        </w:rPr>
        <w:t xml:space="preserve"> pp.6-7</w:t>
      </w:r>
    </w:p>
  </w:footnote>
  <w:footnote w:id="25">
    <w:p w14:paraId="7BC5CEBB" w14:textId="4E19FF1C" w:rsidR="00BE5AA2" w:rsidRDefault="00BE5AA2" w:rsidP="00BE5AA2">
      <w:pPr>
        <w:pStyle w:val="FootnoteText"/>
      </w:pPr>
      <w:r w:rsidRPr="00076F3A">
        <w:rPr>
          <w:rStyle w:val="FootnoteReference"/>
          <w:sz w:val="16"/>
          <w:szCs w:val="16"/>
        </w:rPr>
        <w:footnoteRef/>
      </w:r>
      <w:r w:rsidRPr="00076F3A">
        <w:rPr>
          <w:sz w:val="16"/>
          <w:szCs w:val="16"/>
        </w:rPr>
        <w:t xml:space="preserve"> </w:t>
      </w:r>
      <w:r w:rsidRPr="0080181B">
        <w:rPr>
          <w:sz w:val="16"/>
          <w:szCs w:val="16"/>
        </w:rPr>
        <w:t xml:space="preserve">Thomas Charles-Edwards , </w:t>
      </w:r>
      <w:r w:rsidR="00016A21">
        <w:rPr>
          <w:sz w:val="16"/>
          <w:szCs w:val="16"/>
        </w:rPr>
        <w:t>‘</w:t>
      </w:r>
      <w:r w:rsidRPr="0080181B">
        <w:rPr>
          <w:sz w:val="16"/>
          <w:szCs w:val="16"/>
        </w:rPr>
        <w:t>The Arthur of History</w:t>
      </w:r>
      <w:r w:rsidR="00016A21">
        <w:rPr>
          <w:sz w:val="16"/>
          <w:szCs w:val="16"/>
        </w:rPr>
        <w:t>’,</w:t>
      </w:r>
      <w:r w:rsidRPr="0080181B">
        <w:rPr>
          <w:sz w:val="16"/>
          <w:szCs w:val="16"/>
        </w:rPr>
        <w:t xml:space="preserve"> in </w:t>
      </w:r>
      <w:r w:rsidRPr="0080181B">
        <w:rPr>
          <w:i/>
          <w:sz w:val="16"/>
          <w:szCs w:val="16"/>
        </w:rPr>
        <w:t>The Arthur of the Welsh: The Arthurian Legend in Medieval Welsh Literature</w:t>
      </w:r>
      <w:r w:rsidRPr="0080181B">
        <w:rPr>
          <w:sz w:val="16"/>
          <w:szCs w:val="16"/>
        </w:rPr>
        <w:t>, eds. Rachel Bromwich, A.O.H. Jarman, Brynley F. Roberts (Cardiff: University of Wales Press, 1991).</w:t>
      </w:r>
      <w:r w:rsidRPr="00216B36">
        <w:rPr>
          <w:sz w:val="16"/>
          <w:szCs w:val="16"/>
        </w:rPr>
        <w:t xml:space="preserve"> p.</w:t>
      </w:r>
      <w:r>
        <w:rPr>
          <w:sz w:val="16"/>
          <w:szCs w:val="16"/>
        </w:rPr>
        <w:t>21</w:t>
      </w:r>
    </w:p>
  </w:footnote>
  <w:footnote w:id="26">
    <w:p w14:paraId="22C2D874" w14:textId="00EFD7AC" w:rsidR="00F45E9E" w:rsidRPr="00871670" w:rsidRDefault="00F45E9E" w:rsidP="00F45E9E">
      <w:pPr>
        <w:pStyle w:val="FootnoteText"/>
        <w:rPr>
          <w:sz w:val="16"/>
          <w:szCs w:val="16"/>
        </w:rPr>
      </w:pPr>
      <w:r w:rsidRPr="00871670">
        <w:rPr>
          <w:rStyle w:val="FootnoteReference"/>
          <w:sz w:val="16"/>
          <w:szCs w:val="16"/>
        </w:rPr>
        <w:footnoteRef/>
      </w:r>
      <w:r w:rsidRPr="00871670">
        <w:rPr>
          <w:sz w:val="16"/>
          <w:szCs w:val="16"/>
        </w:rPr>
        <w:t xml:space="preserve"> </w:t>
      </w:r>
      <w:r>
        <w:rPr>
          <w:sz w:val="16"/>
          <w:szCs w:val="16"/>
        </w:rPr>
        <w:t xml:space="preserve">N.J. Higham, </w:t>
      </w:r>
      <w:r w:rsidR="00016A21">
        <w:rPr>
          <w:sz w:val="16"/>
          <w:szCs w:val="16"/>
        </w:rPr>
        <w:t>‘</w:t>
      </w:r>
      <w:r w:rsidRPr="00016A21">
        <w:rPr>
          <w:sz w:val="16"/>
          <w:szCs w:val="16"/>
        </w:rPr>
        <w:t>Early Latin Sources: Fragments of a Pseudo-Historical Arthur</w:t>
      </w:r>
      <w:r w:rsidR="00016A21">
        <w:rPr>
          <w:sz w:val="16"/>
          <w:szCs w:val="16"/>
        </w:rPr>
        <w:t>’,</w:t>
      </w:r>
      <w:r>
        <w:rPr>
          <w:sz w:val="16"/>
          <w:szCs w:val="16"/>
        </w:rPr>
        <w:t xml:space="preserve"> in </w:t>
      </w:r>
      <w:r w:rsidRPr="007D4432">
        <w:rPr>
          <w:i/>
          <w:sz w:val="16"/>
          <w:szCs w:val="16"/>
        </w:rPr>
        <w:t>A Companion to Arthurian Literature</w:t>
      </w:r>
      <w:r w:rsidRPr="007D4432">
        <w:rPr>
          <w:sz w:val="16"/>
          <w:szCs w:val="16"/>
        </w:rPr>
        <w:t>, ed. Helen Fulton (Chichester: Wiley-Blackwell, 2009)</w:t>
      </w:r>
      <w:r>
        <w:rPr>
          <w:sz w:val="16"/>
          <w:szCs w:val="16"/>
        </w:rPr>
        <w:t>. pp. 31-</w:t>
      </w:r>
      <w:r w:rsidR="0080352A">
        <w:rPr>
          <w:sz w:val="16"/>
          <w:szCs w:val="16"/>
        </w:rPr>
        <w:t>3</w:t>
      </w:r>
    </w:p>
  </w:footnote>
  <w:footnote w:id="27">
    <w:p w14:paraId="47C5179D" w14:textId="6E98E905" w:rsidR="00450A2A" w:rsidRPr="00613DF3" w:rsidRDefault="00450A2A" w:rsidP="00450A2A">
      <w:pPr>
        <w:pStyle w:val="FootnoteText"/>
        <w:rPr>
          <w:sz w:val="16"/>
          <w:szCs w:val="16"/>
        </w:rPr>
      </w:pPr>
      <w:r w:rsidRPr="00FD6A56">
        <w:rPr>
          <w:rStyle w:val="FootnoteReference"/>
          <w:i/>
          <w:sz w:val="16"/>
          <w:szCs w:val="16"/>
        </w:rPr>
        <w:footnoteRef/>
      </w:r>
      <w:r w:rsidRPr="00FD6A56">
        <w:rPr>
          <w:i/>
          <w:sz w:val="16"/>
          <w:szCs w:val="16"/>
        </w:rPr>
        <w:t xml:space="preserve"> </w:t>
      </w:r>
      <w:r w:rsidR="0080352A" w:rsidRPr="00CD775E">
        <w:rPr>
          <w:i/>
          <w:sz w:val="16"/>
          <w:szCs w:val="16"/>
          <w:lang w:val="en-US" w:bidi="en-US"/>
        </w:rPr>
        <w:t>Nennius: British History and the Welsh Annals,</w:t>
      </w:r>
      <w:r w:rsidR="0080352A" w:rsidRPr="00CD775E">
        <w:rPr>
          <w:sz w:val="16"/>
          <w:szCs w:val="16"/>
          <w:lang w:val="en-US" w:bidi="en-US"/>
        </w:rPr>
        <w:t xml:space="preserve"> ed. and trans. John Morris (London: Phillimore &amp; Co. Ltd., 1980).</w:t>
      </w:r>
      <w:r w:rsidR="0080352A">
        <w:rPr>
          <w:sz w:val="16"/>
          <w:szCs w:val="16"/>
          <w:lang w:val="en-US" w:bidi="en-US"/>
        </w:rPr>
        <w:t xml:space="preserve"> </w:t>
      </w:r>
      <w:r w:rsidR="0080352A">
        <w:rPr>
          <w:i/>
          <w:sz w:val="16"/>
          <w:szCs w:val="16"/>
        </w:rPr>
        <w:t xml:space="preserve">p.35 </w:t>
      </w:r>
    </w:p>
  </w:footnote>
  <w:footnote w:id="28">
    <w:p w14:paraId="6F27BAE6" w14:textId="553F9307" w:rsidR="00450A2A" w:rsidRDefault="00450A2A" w:rsidP="00450A2A">
      <w:pPr>
        <w:pStyle w:val="FootnoteText"/>
      </w:pPr>
      <w:r w:rsidRPr="006C6122">
        <w:rPr>
          <w:rStyle w:val="FootnoteReference"/>
          <w:sz w:val="16"/>
          <w:szCs w:val="16"/>
        </w:rPr>
        <w:footnoteRef/>
      </w:r>
      <w:r>
        <w:t xml:space="preserve"> </w:t>
      </w:r>
      <w:r>
        <w:rPr>
          <w:sz w:val="16"/>
          <w:szCs w:val="16"/>
        </w:rPr>
        <w:t xml:space="preserve">N.J. Higham, </w:t>
      </w:r>
      <w:r w:rsidR="00016A21">
        <w:rPr>
          <w:sz w:val="16"/>
          <w:szCs w:val="16"/>
        </w:rPr>
        <w:t>‘</w:t>
      </w:r>
      <w:r w:rsidRPr="00016A21">
        <w:rPr>
          <w:sz w:val="16"/>
          <w:szCs w:val="16"/>
        </w:rPr>
        <w:t>Early Latin Sources: Fragments of a Pseudo-Historical Arthur</w:t>
      </w:r>
      <w:r w:rsidR="00016A21">
        <w:rPr>
          <w:sz w:val="16"/>
          <w:szCs w:val="16"/>
        </w:rPr>
        <w:t>’,</w:t>
      </w:r>
      <w:r w:rsidRPr="00016A21">
        <w:rPr>
          <w:sz w:val="16"/>
          <w:szCs w:val="16"/>
        </w:rPr>
        <w:t xml:space="preserve"> in</w:t>
      </w:r>
      <w:r>
        <w:rPr>
          <w:sz w:val="16"/>
          <w:szCs w:val="16"/>
        </w:rPr>
        <w:t xml:space="preserve"> </w:t>
      </w:r>
      <w:r w:rsidRPr="007D4432">
        <w:rPr>
          <w:i/>
          <w:sz w:val="16"/>
          <w:szCs w:val="16"/>
        </w:rPr>
        <w:t>A Companion to Arthurian Literature</w:t>
      </w:r>
      <w:r w:rsidRPr="007D4432">
        <w:rPr>
          <w:sz w:val="16"/>
          <w:szCs w:val="16"/>
        </w:rPr>
        <w:t>, ed. Helen Fulton (Chichester: Wiley-Blackwell, 2009)</w:t>
      </w:r>
      <w:r>
        <w:rPr>
          <w:sz w:val="16"/>
          <w:szCs w:val="16"/>
        </w:rPr>
        <w:t>. pp.31-3</w:t>
      </w:r>
    </w:p>
  </w:footnote>
  <w:footnote w:id="29">
    <w:p w14:paraId="6239F3BA" w14:textId="77777777" w:rsidR="00450A2A" w:rsidRDefault="00450A2A" w:rsidP="00450A2A">
      <w:pPr>
        <w:pStyle w:val="FootnoteText"/>
      </w:pPr>
      <w:r w:rsidRPr="006C6122">
        <w:rPr>
          <w:rStyle w:val="FootnoteReference"/>
          <w:sz w:val="16"/>
          <w:szCs w:val="16"/>
        </w:rPr>
        <w:footnoteRef/>
      </w:r>
      <w:r>
        <w:t xml:space="preserve"> </w:t>
      </w:r>
      <w:r w:rsidRPr="00CD775E">
        <w:rPr>
          <w:i/>
          <w:sz w:val="16"/>
          <w:szCs w:val="16"/>
          <w:lang w:val="en-US" w:bidi="en-US"/>
        </w:rPr>
        <w:t>Nennius: British History and the Welsh Annals,</w:t>
      </w:r>
      <w:r w:rsidRPr="00CD775E">
        <w:rPr>
          <w:sz w:val="16"/>
          <w:szCs w:val="16"/>
          <w:lang w:val="en-US" w:bidi="en-US"/>
        </w:rPr>
        <w:t xml:space="preserve"> ed. and trans. John Morris (London: Phillimore &amp; Co. Ltd., 1980).</w:t>
      </w:r>
      <w:r>
        <w:rPr>
          <w:sz w:val="16"/>
          <w:szCs w:val="16"/>
          <w:lang w:val="en-US" w:bidi="en-US"/>
        </w:rPr>
        <w:t xml:space="preserve"> </w:t>
      </w:r>
      <w:r>
        <w:rPr>
          <w:i/>
          <w:sz w:val="16"/>
          <w:szCs w:val="16"/>
        </w:rPr>
        <w:t>p.35</w:t>
      </w:r>
    </w:p>
  </w:footnote>
  <w:footnote w:id="30">
    <w:p w14:paraId="3EDC4C90" w14:textId="77777777" w:rsidR="00C10EC7" w:rsidRPr="00FD3273" w:rsidRDefault="00C10EC7" w:rsidP="00C10EC7">
      <w:pPr>
        <w:rPr>
          <w:sz w:val="16"/>
          <w:szCs w:val="16"/>
          <w:lang w:val="nb-NO"/>
        </w:rPr>
      </w:pPr>
      <w:r w:rsidRPr="00FD3273">
        <w:rPr>
          <w:rStyle w:val="FootnoteReference"/>
          <w:sz w:val="16"/>
          <w:szCs w:val="16"/>
        </w:rPr>
        <w:footnoteRef/>
      </w:r>
      <w:r w:rsidRPr="00FD3273">
        <w:rPr>
          <w:sz w:val="16"/>
          <w:szCs w:val="16"/>
        </w:rPr>
        <w:t xml:space="preserve"> </w:t>
      </w:r>
      <w:r w:rsidRPr="00FD3273">
        <w:rPr>
          <w:i/>
          <w:sz w:val="16"/>
          <w:szCs w:val="16"/>
        </w:rPr>
        <w:t>Hywel Dda: The Law</w:t>
      </w:r>
      <w:r w:rsidRPr="00FD3273">
        <w:rPr>
          <w:sz w:val="16"/>
          <w:szCs w:val="16"/>
        </w:rPr>
        <w:t xml:space="preserve">, ed. and trans. </w:t>
      </w:r>
      <w:r w:rsidRPr="00FD3273">
        <w:rPr>
          <w:sz w:val="16"/>
          <w:szCs w:val="16"/>
          <w:lang w:val="nb-NO"/>
        </w:rPr>
        <w:t>Dafydd Jenkins (Llandysul: Gomer Press, 1986).</w:t>
      </w:r>
      <w:r>
        <w:rPr>
          <w:sz w:val="16"/>
          <w:szCs w:val="16"/>
          <w:lang w:val="nb-NO"/>
        </w:rPr>
        <w:t xml:space="preserve"> p.38</w:t>
      </w:r>
    </w:p>
  </w:footnote>
  <w:footnote w:id="31">
    <w:p w14:paraId="6D8D15E0" w14:textId="1492410F" w:rsidR="009E5EA1" w:rsidRPr="007D4432" w:rsidRDefault="009E5EA1" w:rsidP="009E5EA1">
      <w:r w:rsidRPr="00CD775E">
        <w:rPr>
          <w:rStyle w:val="FootnoteReference"/>
          <w:sz w:val="16"/>
          <w:szCs w:val="16"/>
        </w:rPr>
        <w:footnoteRef/>
      </w:r>
      <w:r w:rsidRPr="00CD775E">
        <w:rPr>
          <w:sz w:val="16"/>
          <w:szCs w:val="16"/>
        </w:rPr>
        <w:t xml:space="preserve"> </w:t>
      </w:r>
      <w:r>
        <w:rPr>
          <w:sz w:val="16"/>
          <w:szCs w:val="16"/>
        </w:rPr>
        <w:t xml:space="preserve">N.J. Higham, </w:t>
      </w:r>
      <w:r w:rsidR="00B10300">
        <w:rPr>
          <w:sz w:val="16"/>
          <w:szCs w:val="16"/>
        </w:rPr>
        <w:t>‘</w:t>
      </w:r>
      <w:r w:rsidRPr="00016A21">
        <w:rPr>
          <w:sz w:val="16"/>
          <w:szCs w:val="16"/>
        </w:rPr>
        <w:t>Early Latin Sources: Fragments of a Pseudo-Historical Arthur</w:t>
      </w:r>
      <w:r w:rsidR="00B10300">
        <w:rPr>
          <w:sz w:val="16"/>
          <w:szCs w:val="16"/>
        </w:rPr>
        <w:t>’,</w:t>
      </w:r>
      <w:r>
        <w:rPr>
          <w:sz w:val="16"/>
          <w:szCs w:val="16"/>
        </w:rPr>
        <w:t xml:space="preserve"> in </w:t>
      </w:r>
      <w:r w:rsidRPr="007D4432">
        <w:rPr>
          <w:i/>
          <w:sz w:val="16"/>
          <w:szCs w:val="16"/>
        </w:rPr>
        <w:t>A Companion to Arthurian Literature</w:t>
      </w:r>
      <w:r w:rsidRPr="007D4432">
        <w:rPr>
          <w:sz w:val="16"/>
          <w:szCs w:val="16"/>
        </w:rPr>
        <w:t>, ed. Helen Fulton (Chichester: Wiley-Blackwell, 2009)</w:t>
      </w:r>
      <w:r>
        <w:rPr>
          <w:sz w:val="16"/>
          <w:szCs w:val="16"/>
        </w:rPr>
        <w:t>. p.30</w:t>
      </w:r>
    </w:p>
  </w:footnote>
  <w:footnote w:id="32">
    <w:p w14:paraId="7881E0DF" w14:textId="4566EE12" w:rsidR="00FC7DA7" w:rsidRPr="00FC7DA7" w:rsidRDefault="00FC7DA7">
      <w:pPr>
        <w:pStyle w:val="FootnoteText"/>
        <w:rPr>
          <w:sz w:val="16"/>
          <w:szCs w:val="16"/>
        </w:rPr>
      </w:pPr>
      <w:r w:rsidRPr="00FC7DA7">
        <w:rPr>
          <w:rStyle w:val="FootnoteReference"/>
          <w:sz w:val="16"/>
          <w:szCs w:val="16"/>
        </w:rPr>
        <w:footnoteRef/>
      </w:r>
      <w:r w:rsidRPr="00FC7DA7">
        <w:rPr>
          <w:sz w:val="16"/>
          <w:szCs w:val="16"/>
        </w:rPr>
        <w:t xml:space="preserve"> </w:t>
      </w:r>
      <w:r w:rsidRPr="00FC7DA7">
        <w:rPr>
          <w:rFonts w:eastAsia="Times New Roman" w:cstheme="minorHAnsi"/>
          <w:i/>
          <w:color w:val="373A3C"/>
          <w:sz w:val="16"/>
          <w:szCs w:val="16"/>
        </w:rPr>
        <w:t>Historia Brittonum</w:t>
      </w:r>
      <w:r>
        <w:rPr>
          <w:rFonts w:eastAsia="Times New Roman" w:cstheme="minorHAnsi"/>
          <w:i/>
          <w:color w:val="373A3C"/>
          <w:sz w:val="16"/>
          <w:szCs w:val="16"/>
        </w:rPr>
        <w:t>,</w:t>
      </w:r>
      <w:r w:rsidRPr="00FC7DA7">
        <w:rPr>
          <w:rFonts w:eastAsia="Times New Roman" w:cstheme="minorHAnsi"/>
          <w:color w:val="373A3C"/>
          <w:sz w:val="16"/>
          <w:szCs w:val="16"/>
        </w:rPr>
        <w:t xml:space="preserve"> Harleian MS 3859</w:t>
      </w:r>
    </w:p>
  </w:footnote>
  <w:footnote w:id="33">
    <w:p w14:paraId="47FDF58C" w14:textId="77777777" w:rsidR="00120A64" w:rsidRPr="002265B0" w:rsidRDefault="00120A64" w:rsidP="00120A64">
      <w:pPr>
        <w:pStyle w:val="FootnoteText"/>
        <w:rPr>
          <w:i/>
          <w:sz w:val="16"/>
          <w:szCs w:val="16"/>
        </w:rPr>
      </w:pPr>
      <w:r w:rsidRPr="002265B0">
        <w:rPr>
          <w:rStyle w:val="FootnoteReference"/>
          <w:i/>
          <w:sz w:val="16"/>
          <w:szCs w:val="16"/>
        </w:rPr>
        <w:footnoteRef/>
      </w:r>
      <w:r w:rsidRPr="002265B0">
        <w:rPr>
          <w:i/>
          <w:sz w:val="16"/>
          <w:szCs w:val="16"/>
        </w:rPr>
        <w:t xml:space="preserve"> </w:t>
      </w:r>
      <w:r w:rsidRPr="00CD775E">
        <w:rPr>
          <w:i/>
          <w:sz w:val="16"/>
          <w:szCs w:val="16"/>
          <w:lang w:val="en-US" w:bidi="en-US"/>
        </w:rPr>
        <w:t>Nennius: British History and the Welsh Annals,</w:t>
      </w:r>
      <w:r w:rsidRPr="00CD775E">
        <w:rPr>
          <w:sz w:val="16"/>
          <w:szCs w:val="16"/>
          <w:lang w:val="en-US" w:bidi="en-US"/>
        </w:rPr>
        <w:t xml:space="preserve"> ed. and trans. John Morris (London: Phillimore &amp; Co. Ltd., 1980).</w:t>
      </w:r>
      <w:r>
        <w:rPr>
          <w:sz w:val="16"/>
          <w:szCs w:val="16"/>
          <w:lang w:val="en-US" w:bidi="en-US"/>
        </w:rPr>
        <w:t xml:space="preserve"> </w:t>
      </w:r>
      <w:r>
        <w:rPr>
          <w:i/>
          <w:sz w:val="16"/>
          <w:szCs w:val="16"/>
        </w:rPr>
        <w:t>p.9</w:t>
      </w:r>
    </w:p>
  </w:footnote>
  <w:footnote w:id="34">
    <w:p w14:paraId="466D0738" w14:textId="69570A92" w:rsidR="004B33EC" w:rsidRPr="004B33EC" w:rsidRDefault="004B33EC">
      <w:pPr>
        <w:pStyle w:val="FootnoteText"/>
        <w:rPr>
          <w:sz w:val="16"/>
          <w:szCs w:val="16"/>
        </w:rPr>
      </w:pPr>
      <w:r w:rsidRPr="004B33EC">
        <w:rPr>
          <w:rStyle w:val="FootnoteReference"/>
          <w:sz w:val="16"/>
          <w:szCs w:val="16"/>
        </w:rPr>
        <w:footnoteRef/>
      </w:r>
      <w:r w:rsidRPr="004B33EC">
        <w:rPr>
          <w:sz w:val="16"/>
          <w:szCs w:val="16"/>
        </w:rPr>
        <w:t xml:space="preserve"> </w:t>
      </w:r>
      <w:r w:rsidR="007E619E">
        <w:rPr>
          <w:i/>
          <w:sz w:val="16"/>
          <w:szCs w:val="16"/>
        </w:rPr>
        <w:t>i</w:t>
      </w:r>
      <w:r w:rsidRPr="004B33EC">
        <w:rPr>
          <w:i/>
          <w:sz w:val="16"/>
          <w:szCs w:val="16"/>
        </w:rPr>
        <w:t>bid.</w:t>
      </w:r>
      <w:r>
        <w:rPr>
          <w:sz w:val="16"/>
          <w:szCs w:val="16"/>
        </w:rPr>
        <w:t xml:space="preserve"> pp.32-3</w:t>
      </w:r>
    </w:p>
  </w:footnote>
  <w:footnote w:id="35">
    <w:p w14:paraId="74C1CFA0" w14:textId="7BC43061" w:rsidR="00120A64" w:rsidRDefault="00120A64" w:rsidP="00120A64">
      <w:pPr>
        <w:pStyle w:val="FootnoteText"/>
      </w:pPr>
      <w:r w:rsidRPr="00E4697A">
        <w:rPr>
          <w:rStyle w:val="FootnoteReference"/>
          <w:sz w:val="16"/>
          <w:szCs w:val="16"/>
        </w:rPr>
        <w:footnoteRef/>
      </w:r>
      <w:r>
        <w:t xml:space="preserve"> </w:t>
      </w:r>
      <w:r>
        <w:rPr>
          <w:sz w:val="16"/>
          <w:szCs w:val="16"/>
        </w:rPr>
        <w:t xml:space="preserve">N.J. Higham, </w:t>
      </w:r>
      <w:r w:rsidR="00B10300">
        <w:rPr>
          <w:sz w:val="16"/>
          <w:szCs w:val="16"/>
        </w:rPr>
        <w:t>‘</w:t>
      </w:r>
      <w:r w:rsidRPr="00B10300">
        <w:rPr>
          <w:sz w:val="16"/>
          <w:szCs w:val="16"/>
        </w:rPr>
        <w:t>Early Latin Sources: Fragments of a Pseudo-Historical Arthur</w:t>
      </w:r>
      <w:r w:rsidR="00B10300">
        <w:rPr>
          <w:sz w:val="16"/>
          <w:szCs w:val="16"/>
        </w:rPr>
        <w:t>’,</w:t>
      </w:r>
      <w:r>
        <w:rPr>
          <w:sz w:val="16"/>
          <w:szCs w:val="16"/>
        </w:rPr>
        <w:t xml:space="preserve"> in </w:t>
      </w:r>
      <w:r w:rsidRPr="007D4432">
        <w:rPr>
          <w:i/>
          <w:sz w:val="16"/>
          <w:szCs w:val="16"/>
        </w:rPr>
        <w:t>A Companion to Arthurian Literature</w:t>
      </w:r>
      <w:r w:rsidRPr="007D4432">
        <w:rPr>
          <w:sz w:val="16"/>
          <w:szCs w:val="16"/>
        </w:rPr>
        <w:t>, ed. Helen Fulton (Chichester: Wiley-Blackwell, 2009)</w:t>
      </w:r>
      <w:r>
        <w:rPr>
          <w:sz w:val="16"/>
          <w:szCs w:val="16"/>
        </w:rPr>
        <w:t>. p.31</w:t>
      </w:r>
    </w:p>
  </w:footnote>
  <w:footnote w:id="36">
    <w:p w14:paraId="4A47302D" w14:textId="77777777" w:rsidR="00120A64" w:rsidRDefault="00120A64" w:rsidP="00120A64">
      <w:pPr>
        <w:pStyle w:val="FootnoteText"/>
      </w:pPr>
      <w:r w:rsidRPr="003A00CF">
        <w:rPr>
          <w:rStyle w:val="FootnoteReference"/>
          <w:sz w:val="16"/>
          <w:szCs w:val="16"/>
        </w:rPr>
        <w:footnoteRef/>
      </w:r>
      <w:r>
        <w:t xml:space="preserve"> </w:t>
      </w:r>
      <w:r w:rsidRPr="005F1745">
        <w:rPr>
          <w:sz w:val="16"/>
          <w:szCs w:val="16"/>
        </w:rPr>
        <w:t xml:space="preserve">Richard Barber, </w:t>
      </w:r>
      <w:r w:rsidRPr="005F1745">
        <w:rPr>
          <w:i/>
          <w:sz w:val="16"/>
          <w:szCs w:val="16"/>
        </w:rPr>
        <w:t>The Figure of Arthur</w:t>
      </w:r>
      <w:r w:rsidRPr="005F1745">
        <w:rPr>
          <w:sz w:val="16"/>
          <w:szCs w:val="16"/>
        </w:rPr>
        <w:t xml:space="preserve"> (London: Longman, 1972).</w:t>
      </w:r>
      <w:r>
        <w:rPr>
          <w:sz w:val="16"/>
          <w:szCs w:val="16"/>
        </w:rPr>
        <w:t xml:space="preserve"> p.49</w:t>
      </w:r>
    </w:p>
  </w:footnote>
  <w:footnote w:id="37">
    <w:p w14:paraId="280FFC5A" w14:textId="77777777" w:rsidR="00120A64" w:rsidRDefault="00120A64" w:rsidP="00120A64">
      <w:pPr>
        <w:pStyle w:val="FootnoteText"/>
      </w:pPr>
      <w:r w:rsidRPr="006C6122">
        <w:rPr>
          <w:rStyle w:val="FootnoteReference"/>
          <w:sz w:val="16"/>
          <w:szCs w:val="16"/>
        </w:rPr>
        <w:footnoteRef/>
      </w:r>
      <w:r w:rsidRPr="006C6122">
        <w:rPr>
          <w:sz w:val="16"/>
          <w:szCs w:val="16"/>
        </w:rPr>
        <w:t xml:space="preserve"> </w:t>
      </w:r>
      <w:r w:rsidRPr="00CD775E">
        <w:rPr>
          <w:i/>
          <w:sz w:val="16"/>
          <w:szCs w:val="16"/>
          <w:lang w:val="en-US" w:bidi="en-US"/>
        </w:rPr>
        <w:t>Nennius: British History and the Welsh Annals,</w:t>
      </w:r>
      <w:r w:rsidRPr="00CD775E">
        <w:rPr>
          <w:sz w:val="16"/>
          <w:szCs w:val="16"/>
          <w:lang w:val="en-US" w:bidi="en-US"/>
        </w:rPr>
        <w:t xml:space="preserve"> ed. and trans. John Morris (London: Phillimore &amp; Co. Ltd., 1980).</w:t>
      </w:r>
      <w:r>
        <w:rPr>
          <w:sz w:val="16"/>
          <w:szCs w:val="16"/>
          <w:lang w:val="en-US" w:bidi="en-US"/>
        </w:rPr>
        <w:t xml:space="preserve"> </w:t>
      </w:r>
      <w:r>
        <w:rPr>
          <w:i/>
          <w:sz w:val="16"/>
          <w:szCs w:val="16"/>
        </w:rPr>
        <w:t>pp.29-31</w:t>
      </w:r>
    </w:p>
  </w:footnote>
  <w:footnote w:id="38">
    <w:p w14:paraId="696E1587" w14:textId="57FADA6E" w:rsidR="0026183A" w:rsidRPr="004B77E8" w:rsidRDefault="0026183A" w:rsidP="0026183A">
      <w:pPr>
        <w:pStyle w:val="FootnoteText"/>
        <w:rPr>
          <w:sz w:val="16"/>
          <w:szCs w:val="16"/>
        </w:rPr>
      </w:pPr>
      <w:r w:rsidRPr="004B77E8">
        <w:rPr>
          <w:rStyle w:val="FootnoteReference"/>
          <w:sz w:val="16"/>
          <w:szCs w:val="16"/>
        </w:rPr>
        <w:footnoteRef/>
      </w:r>
      <w:r w:rsidRPr="004B77E8">
        <w:rPr>
          <w:sz w:val="16"/>
          <w:szCs w:val="16"/>
        </w:rPr>
        <w:t xml:space="preserve"> </w:t>
      </w:r>
      <w:r>
        <w:rPr>
          <w:sz w:val="16"/>
          <w:szCs w:val="16"/>
        </w:rPr>
        <w:t xml:space="preserve">N.J. Higham, </w:t>
      </w:r>
      <w:r w:rsidR="00B10300">
        <w:rPr>
          <w:sz w:val="16"/>
          <w:szCs w:val="16"/>
        </w:rPr>
        <w:t>‘</w:t>
      </w:r>
      <w:r w:rsidRPr="00B10300">
        <w:rPr>
          <w:sz w:val="16"/>
          <w:szCs w:val="16"/>
        </w:rPr>
        <w:t>Early Latin Sources: Fragments of a Pseudo-Historical Arthur</w:t>
      </w:r>
      <w:r w:rsidR="00B10300">
        <w:rPr>
          <w:sz w:val="16"/>
          <w:szCs w:val="16"/>
        </w:rPr>
        <w:t>’,</w:t>
      </w:r>
      <w:r w:rsidRPr="00B10300">
        <w:rPr>
          <w:sz w:val="16"/>
          <w:szCs w:val="16"/>
        </w:rPr>
        <w:t xml:space="preserve"> in</w:t>
      </w:r>
      <w:r>
        <w:rPr>
          <w:sz w:val="16"/>
          <w:szCs w:val="16"/>
        </w:rPr>
        <w:t xml:space="preserve"> </w:t>
      </w:r>
      <w:r w:rsidRPr="007D4432">
        <w:rPr>
          <w:i/>
          <w:sz w:val="16"/>
          <w:szCs w:val="16"/>
        </w:rPr>
        <w:t>A Companion to Arthurian Literature</w:t>
      </w:r>
      <w:r w:rsidRPr="007D4432">
        <w:rPr>
          <w:sz w:val="16"/>
          <w:szCs w:val="16"/>
        </w:rPr>
        <w:t>, ed. Helen Fulton (Chichester: Wiley-Blackwell, 2009)</w:t>
      </w:r>
      <w:r>
        <w:rPr>
          <w:sz w:val="16"/>
          <w:szCs w:val="16"/>
        </w:rPr>
        <w:t>. p.33</w:t>
      </w:r>
    </w:p>
  </w:footnote>
  <w:footnote w:id="39">
    <w:p w14:paraId="3F3CD07B" w14:textId="77777777" w:rsidR="0026183A" w:rsidRPr="005A5703" w:rsidRDefault="0026183A" w:rsidP="0026183A">
      <w:pPr>
        <w:pStyle w:val="FootnoteText"/>
        <w:rPr>
          <w:sz w:val="16"/>
          <w:szCs w:val="16"/>
        </w:rPr>
      </w:pPr>
      <w:r w:rsidRPr="005A5703">
        <w:rPr>
          <w:rStyle w:val="FootnoteReference"/>
          <w:sz w:val="16"/>
          <w:szCs w:val="16"/>
        </w:rPr>
        <w:footnoteRef/>
      </w:r>
      <w:r w:rsidRPr="005A5703">
        <w:rPr>
          <w:sz w:val="16"/>
          <w:szCs w:val="16"/>
        </w:rPr>
        <w:t xml:space="preserve"> </w:t>
      </w:r>
      <w:r>
        <w:rPr>
          <w:sz w:val="16"/>
          <w:szCs w:val="16"/>
        </w:rPr>
        <w:t>David Jones, The Sleeping Lord and Other fragments (London: Faber and Faber, 2017).</w:t>
      </w:r>
    </w:p>
  </w:footnote>
  <w:footnote w:id="40">
    <w:p w14:paraId="0E96481D" w14:textId="77777777" w:rsidR="0026183A" w:rsidRDefault="0026183A" w:rsidP="0026183A">
      <w:pPr>
        <w:pStyle w:val="FootnoteText"/>
      </w:pPr>
      <w:r w:rsidRPr="005C5EA4">
        <w:rPr>
          <w:rStyle w:val="FootnoteReference"/>
          <w:sz w:val="16"/>
          <w:szCs w:val="16"/>
        </w:rPr>
        <w:footnoteRef/>
      </w:r>
      <w:r>
        <w:t xml:space="preserve"> </w:t>
      </w:r>
      <w:r w:rsidRPr="00CD775E">
        <w:rPr>
          <w:i/>
          <w:sz w:val="16"/>
          <w:szCs w:val="16"/>
          <w:lang w:val="en-US" w:bidi="en-US"/>
        </w:rPr>
        <w:t>Nennius: British History and the Welsh Annals,</w:t>
      </w:r>
      <w:r w:rsidRPr="00CD775E">
        <w:rPr>
          <w:sz w:val="16"/>
          <w:szCs w:val="16"/>
          <w:lang w:val="en-US" w:bidi="en-US"/>
        </w:rPr>
        <w:t xml:space="preserve"> ed. and trans. John Morris (London: Phillimore &amp; Co. Ltd., 1980).</w:t>
      </w:r>
      <w:r>
        <w:rPr>
          <w:sz w:val="16"/>
          <w:szCs w:val="16"/>
          <w:lang w:val="en-US" w:bidi="en-US"/>
        </w:rPr>
        <w:t xml:space="preserve"> </w:t>
      </w:r>
      <w:r>
        <w:rPr>
          <w:i/>
          <w:sz w:val="16"/>
          <w:szCs w:val="16"/>
        </w:rPr>
        <w:t>p.35</w:t>
      </w:r>
    </w:p>
  </w:footnote>
  <w:footnote w:id="41">
    <w:p w14:paraId="434A711C" w14:textId="4D20C85D" w:rsidR="002E5578" w:rsidRPr="00EA0C58" w:rsidRDefault="002E5578" w:rsidP="002E5578">
      <w:pPr>
        <w:pStyle w:val="FootnoteText"/>
        <w:rPr>
          <w:sz w:val="16"/>
          <w:szCs w:val="16"/>
        </w:rPr>
      </w:pPr>
      <w:r w:rsidRPr="00EA0C58">
        <w:rPr>
          <w:rStyle w:val="FootnoteReference"/>
          <w:sz w:val="16"/>
          <w:szCs w:val="16"/>
        </w:rPr>
        <w:footnoteRef/>
      </w:r>
      <w:r w:rsidRPr="00EA0C58">
        <w:rPr>
          <w:sz w:val="16"/>
          <w:szCs w:val="16"/>
        </w:rPr>
        <w:t xml:space="preserve"> </w:t>
      </w:r>
      <w:r w:rsidR="007E619E">
        <w:rPr>
          <w:i/>
          <w:sz w:val="16"/>
          <w:szCs w:val="16"/>
        </w:rPr>
        <w:t>i</w:t>
      </w:r>
      <w:r w:rsidRPr="00EA0C58">
        <w:rPr>
          <w:i/>
          <w:sz w:val="16"/>
          <w:szCs w:val="16"/>
        </w:rPr>
        <w:t>bid.</w:t>
      </w:r>
      <w:r>
        <w:rPr>
          <w:sz w:val="16"/>
          <w:szCs w:val="16"/>
        </w:rPr>
        <w:t xml:space="preserve"> p.35</w:t>
      </w:r>
    </w:p>
  </w:footnote>
  <w:footnote w:id="42">
    <w:p w14:paraId="4175216D" w14:textId="37E03F3A" w:rsidR="00C525CB" w:rsidRPr="00013E8A" w:rsidRDefault="00C525CB" w:rsidP="00C525CB">
      <w:pPr>
        <w:pStyle w:val="FootnoteText"/>
        <w:rPr>
          <w:sz w:val="16"/>
          <w:szCs w:val="16"/>
        </w:rPr>
      </w:pPr>
      <w:r w:rsidRPr="00013E8A">
        <w:rPr>
          <w:rStyle w:val="FootnoteReference"/>
          <w:sz w:val="16"/>
          <w:szCs w:val="16"/>
        </w:rPr>
        <w:footnoteRef/>
      </w:r>
      <w:r w:rsidRPr="00013E8A">
        <w:rPr>
          <w:sz w:val="16"/>
          <w:szCs w:val="16"/>
        </w:rPr>
        <w:t xml:space="preserve"> </w:t>
      </w:r>
      <w:r>
        <w:rPr>
          <w:sz w:val="16"/>
          <w:szCs w:val="16"/>
        </w:rPr>
        <w:t xml:space="preserve">N.J. Higham, </w:t>
      </w:r>
      <w:r w:rsidR="00B10300">
        <w:rPr>
          <w:sz w:val="16"/>
          <w:szCs w:val="16"/>
        </w:rPr>
        <w:t>‘</w:t>
      </w:r>
      <w:r w:rsidRPr="00B10300">
        <w:rPr>
          <w:sz w:val="16"/>
          <w:szCs w:val="16"/>
        </w:rPr>
        <w:t>Early Latin Sources: Fragments of a Pseudo-Historical Arthur</w:t>
      </w:r>
      <w:r w:rsidR="00B10300">
        <w:rPr>
          <w:sz w:val="16"/>
          <w:szCs w:val="16"/>
        </w:rPr>
        <w:t>’,</w:t>
      </w:r>
      <w:r>
        <w:rPr>
          <w:sz w:val="16"/>
          <w:szCs w:val="16"/>
        </w:rPr>
        <w:t xml:space="preserve"> in </w:t>
      </w:r>
      <w:r w:rsidRPr="007D4432">
        <w:rPr>
          <w:i/>
          <w:sz w:val="16"/>
          <w:szCs w:val="16"/>
        </w:rPr>
        <w:t>A Companion to Arthurian Literature</w:t>
      </w:r>
      <w:r w:rsidRPr="007D4432">
        <w:rPr>
          <w:sz w:val="16"/>
          <w:szCs w:val="16"/>
        </w:rPr>
        <w:t>, ed. Helen Fulton (Chichester: Wiley-Blackwell, 2009)</w:t>
      </w:r>
      <w:r>
        <w:rPr>
          <w:sz w:val="16"/>
          <w:szCs w:val="16"/>
        </w:rPr>
        <w:t>. pp.32-3</w:t>
      </w:r>
    </w:p>
  </w:footnote>
  <w:footnote w:id="43">
    <w:p w14:paraId="2D68BC41" w14:textId="77777777" w:rsidR="00120A64" w:rsidRDefault="00120A64" w:rsidP="00120A64">
      <w:pPr>
        <w:pStyle w:val="FootnoteText"/>
      </w:pPr>
      <w:r w:rsidRPr="00760DA1">
        <w:rPr>
          <w:rStyle w:val="FootnoteReference"/>
          <w:sz w:val="16"/>
          <w:szCs w:val="16"/>
        </w:rPr>
        <w:footnoteRef/>
      </w:r>
      <w:r w:rsidRPr="00760DA1">
        <w:rPr>
          <w:sz w:val="16"/>
          <w:szCs w:val="16"/>
        </w:rPr>
        <w:t xml:space="preserve"> </w:t>
      </w:r>
      <w:r w:rsidRPr="00CD775E">
        <w:rPr>
          <w:i/>
          <w:sz w:val="16"/>
          <w:szCs w:val="16"/>
          <w:lang w:val="en-US" w:bidi="en-US"/>
        </w:rPr>
        <w:t>Nennius: British History and the Welsh Annals,</w:t>
      </w:r>
      <w:r w:rsidRPr="00CD775E">
        <w:rPr>
          <w:sz w:val="16"/>
          <w:szCs w:val="16"/>
          <w:lang w:val="en-US" w:bidi="en-US"/>
        </w:rPr>
        <w:t xml:space="preserve"> ed. and trans. John Morris (London: Phillimore &amp; Co. Ltd., 1980).</w:t>
      </w:r>
      <w:r>
        <w:rPr>
          <w:sz w:val="16"/>
          <w:szCs w:val="16"/>
          <w:lang w:val="en-US" w:bidi="en-US"/>
        </w:rPr>
        <w:t xml:space="preserve"> </w:t>
      </w:r>
      <w:r w:rsidRPr="00760DA1">
        <w:rPr>
          <w:sz w:val="16"/>
          <w:szCs w:val="16"/>
        </w:rPr>
        <w:t>p.35</w:t>
      </w:r>
    </w:p>
  </w:footnote>
  <w:footnote w:id="44">
    <w:p w14:paraId="260AC99B" w14:textId="77777777" w:rsidR="00120A64" w:rsidRPr="00616A26" w:rsidRDefault="00120A64" w:rsidP="00120A64">
      <w:pPr>
        <w:pStyle w:val="FootnoteText"/>
        <w:rPr>
          <w:sz w:val="16"/>
          <w:szCs w:val="16"/>
        </w:rPr>
      </w:pPr>
      <w:r w:rsidRPr="00616A26">
        <w:rPr>
          <w:rStyle w:val="FootnoteReference"/>
          <w:sz w:val="16"/>
          <w:szCs w:val="16"/>
        </w:rPr>
        <w:footnoteRef/>
      </w:r>
      <w:r w:rsidRPr="00616A26">
        <w:rPr>
          <w:sz w:val="16"/>
          <w:szCs w:val="16"/>
        </w:rPr>
        <w:t xml:space="preserve"> </w:t>
      </w:r>
      <w:r w:rsidRPr="005F1745">
        <w:rPr>
          <w:sz w:val="16"/>
          <w:szCs w:val="16"/>
        </w:rPr>
        <w:t xml:space="preserve">Richard Barber, </w:t>
      </w:r>
      <w:r w:rsidRPr="005F1745">
        <w:rPr>
          <w:i/>
          <w:sz w:val="16"/>
          <w:szCs w:val="16"/>
        </w:rPr>
        <w:t>The Figure of Arthur</w:t>
      </w:r>
      <w:r w:rsidRPr="005F1745">
        <w:rPr>
          <w:sz w:val="16"/>
          <w:szCs w:val="16"/>
        </w:rPr>
        <w:t xml:space="preserve"> (London: Longman, 1972).</w:t>
      </w:r>
      <w:r>
        <w:rPr>
          <w:sz w:val="16"/>
          <w:szCs w:val="16"/>
        </w:rPr>
        <w:t xml:space="preserve"> p.101</w:t>
      </w:r>
    </w:p>
  </w:footnote>
  <w:footnote w:id="45">
    <w:p w14:paraId="06E4F76F" w14:textId="6CC2D427" w:rsidR="00120A64" w:rsidRPr="00CE70B9" w:rsidRDefault="00120A64" w:rsidP="00120A64">
      <w:pPr>
        <w:pStyle w:val="FootnoteText"/>
        <w:rPr>
          <w:sz w:val="16"/>
          <w:szCs w:val="16"/>
        </w:rPr>
      </w:pPr>
      <w:r w:rsidRPr="00CE70B9">
        <w:rPr>
          <w:rStyle w:val="FootnoteReference"/>
          <w:sz w:val="16"/>
          <w:szCs w:val="16"/>
        </w:rPr>
        <w:footnoteRef/>
      </w:r>
      <w:r w:rsidRPr="00CE70B9">
        <w:rPr>
          <w:sz w:val="16"/>
          <w:szCs w:val="16"/>
        </w:rPr>
        <w:t xml:space="preserve"> </w:t>
      </w:r>
      <w:r w:rsidRPr="0080181B">
        <w:rPr>
          <w:sz w:val="16"/>
          <w:szCs w:val="16"/>
        </w:rPr>
        <w:t xml:space="preserve">Thomas Charles-Edwards , </w:t>
      </w:r>
      <w:r w:rsidR="00B10300">
        <w:rPr>
          <w:sz w:val="16"/>
          <w:szCs w:val="16"/>
        </w:rPr>
        <w:t>‘</w:t>
      </w:r>
      <w:r w:rsidRPr="00B10300">
        <w:rPr>
          <w:sz w:val="16"/>
          <w:szCs w:val="16"/>
        </w:rPr>
        <w:t>The Arthur of History</w:t>
      </w:r>
      <w:r w:rsidR="00B10300">
        <w:rPr>
          <w:sz w:val="16"/>
          <w:szCs w:val="16"/>
        </w:rPr>
        <w:t>’,</w:t>
      </w:r>
      <w:r w:rsidRPr="0080181B">
        <w:rPr>
          <w:sz w:val="16"/>
          <w:szCs w:val="16"/>
        </w:rPr>
        <w:t xml:space="preserve"> in </w:t>
      </w:r>
      <w:r w:rsidRPr="0080181B">
        <w:rPr>
          <w:i/>
          <w:sz w:val="16"/>
          <w:szCs w:val="16"/>
        </w:rPr>
        <w:t>The Arthur of the Welsh: The Arthurian Legend in Medieval Welsh Literature</w:t>
      </w:r>
      <w:r w:rsidRPr="0080181B">
        <w:rPr>
          <w:sz w:val="16"/>
          <w:szCs w:val="16"/>
        </w:rPr>
        <w:t>, eds. Rachel Bromwich, A.O.H. Jarman, Brynley F. Roberts (Cardiff: University of Wales Press, 1991).</w:t>
      </w:r>
      <w:r w:rsidRPr="00216B36">
        <w:rPr>
          <w:sz w:val="16"/>
          <w:szCs w:val="16"/>
        </w:rPr>
        <w:t xml:space="preserve"> </w:t>
      </w:r>
      <w:r>
        <w:rPr>
          <w:sz w:val="16"/>
          <w:szCs w:val="16"/>
        </w:rPr>
        <w:t>p</w:t>
      </w:r>
      <w:r w:rsidRPr="00216B36">
        <w:rPr>
          <w:sz w:val="16"/>
          <w:szCs w:val="16"/>
        </w:rPr>
        <w:t>p.</w:t>
      </w:r>
      <w:r>
        <w:rPr>
          <w:sz w:val="16"/>
          <w:szCs w:val="16"/>
        </w:rPr>
        <w:t>26-7</w:t>
      </w:r>
    </w:p>
  </w:footnote>
  <w:footnote w:id="46">
    <w:p w14:paraId="18F512AD" w14:textId="1E9EC97A" w:rsidR="00120A64" w:rsidRPr="00087D19" w:rsidRDefault="00120A64" w:rsidP="00120A64">
      <w:pPr>
        <w:pStyle w:val="FootnoteText"/>
        <w:rPr>
          <w:sz w:val="16"/>
          <w:szCs w:val="16"/>
        </w:rPr>
      </w:pPr>
      <w:r w:rsidRPr="00087D19">
        <w:rPr>
          <w:rStyle w:val="FootnoteReference"/>
          <w:sz w:val="16"/>
          <w:szCs w:val="16"/>
        </w:rPr>
        <w:footnoteRef/>
      </w:r>
      <w:r w:rsidRPr="00087D19">
        <w:rPr>
          <w:sz w:val="16"/>
          <w:szCs w:val="16"/>
        </w:rPr>
        <w:t xml:space="preserve"> </w:t>
      </w:r>
      <w:r w:rsidR="007E619E">
        <w:rPr>
          <w:i/>
          <w:sz w:val="16"/>
          <w:szCs w:val="16"/>
        </w:rPr>
        <w:t>i</w:t>
      </w:r>
      <w:r w:rsidRPr="00087D19">
        <w:rPr>
          <w:i/>
          <w:sz w:val="16"/>
          <w:szCs w:val="16"/>
        </w:rPr>
        <w:t>bid</w:t>
      </w:r>
      <w:r>
        <w:rPr>
          <w:sz w:val="16"/>
          <w:szCs w:val="16"/>
        </w:rPr>
        <w:t>. p.45</w:t>
      </w:r>
    </w:p>
  </w:footnote>
  <w:footnote w:id="47">
    <w:p w14:paraId="0CDA36EA" w14:textId="77777777" w:rsidR="00120A64" w:rsidRPr="00760DA1" w:rsidRDefault="00120A64" w:rsidP="00120A64">
      <w:pPr>
        <w:pStyle w:val="FootnoteText"/>
        <w:rPr>
          <w:sz w:val="16"/>
          <w:szCs w:val="16"/>
        </w:rPr>
      </w:pPr>
      <w:r w:rsidRPr="00760DA1">
        <w:rPr>
          <w:rStyle w:val="FootnoteReference"/>
          <w:sz w:val="16"/>
          <w:szCs w:val="16"/>
        </w:rPr>
        <w:footnoteRef/>
      </w:r>
      <w:r w:rsidRPr="00760DA1">
        <w:rPr>
          <w:sz w:val="16"/>
          <w:szCs w:val="16"/>
        </w:rPr>
        <w:t xml:space="preserve"> </w:t>
      </w:r>
      <w:r w:rsidRPr="00CD775E">
        <w:rPr>
          <w:i/>
          <w:sz w:val="16"/>
          <w:szCs w:val="16"/>
          <w:lang w:val="en-US" w:bidi="en-US"/>
        </w:rPr>
        <w:t>Nennius: British History and the Welsh Annals,</w:t>
      </w:r>
      <w:r w:rsidRPr="00CD775E">
        <w:rPr>
          <w:sz w:val="16"/>
          <w:szCs w:val="16"/>
          <w:lang w:val="en-US" w:bidi="en-US"/>
        </w:rPr>
        <w:t xml:space="preserve"> ed. and trans. John Morris (London: Phillimore &amp; Co. Ltd., 1980).</w:t>
      </w:r>
      <w:r>
        <w:rPr>
          <w:sz w:val="16"/>
          <w:szCs w:val="16"/>
          <w:lang w:val="en-US" w:bidi="en-US"/>
        </w:rPr>
        <w:t xml:space="preserve"> </w:t>
      </w:r>
      <w:r w:rsidRPr="00921765">
        <w:rPr>
          <w:sz w:val="16"/>
          <w:szCs w:val="16"/>
        </w:rPr>
        <w:t>p.35</w:t>
      </w:r>
    </w:p>
  </w:footnote>
  <w:footnote w:id="48">
    <w:p w14:paraId="47F02670" w14:textId="4C51EF5B" w:rsidR="002A02EE" w:rsidRPr="002A02EE" w:rsidRDefault="002A02EE">
      <w:pPr>
        <w:pStyle w:val="FootnoteText"/>
        <w:rPr>
          <w:sz w:val="16"/>
          <w:szCs w:val="16"/>
        </w:rPr>
      </w:pPr>
      <w:r w:rsidRPr="002A02EE">
        <w:rPr>
          <w:rStyle w:val="FootnoteReference"/>
          <w:i/>
          <w:sz w:val="16"/>
          <w:szCs w:val="16"/>
        </w:rPr>
        <w:footnoteRef/>
      </w:r>
      <w:r w:rsidRPr="002A02EE">
        <w:rPr>
          <w:i/>
          <w:sz w:val="16"/>
          <w:szCs w:val="16"/>
        </w:rPr>
        <w:t xml:space="preserve"> </w:t>
      </w:r>
      <w:r w:rsidR="007E619E">
        <w:rPr>
          <w:i/>
          <w:sz w:val="16"/>
          <w:szCs w:val="16"/>
        </w:rPr>
        <w:t>i</w:t>
      </w:r>
      <w:r w:rsidRPr="002A02EE">
        <w:rPr>
          <w:i/>
          <w:sz w:val="16"/>
          <w:szCs w:val="16"/>
        </w:rPr>
        <w:t>bid</w:t>
      </w:r>
      <w:r w:rsidRPr="002A02EE">
        <w:rPr>
          <w:sz w:val="16"/>
          <w:szCs w:val="16"/>
        </w:rPr>
        <w:t>. p.42</w:t>
      </w:r>
    </w:p>
  </w:footnote>
  <w:footnote w:id="49">
    <w:p w14:paraId="2293137C" w14:textId="77777777" w:rsidR="00FC5544" w:rsidRPr="00655CB9" w:rsidRDefault="00FC5544" w:rsidP="00FC5544">
      <w:pPr>
        <w:pStyle w:val="FootnoteText"/>
        <w:rPr>
          <w:sz w:val="16"/>
          <w:szCs w:val="16"/>
        </w:rPr>
      </w:pPr>
      <w:r w:rsidRPr="00655CB9">
        <w:rPr>
          <w:rStyle w:val="FootnoteReference"/>
          <w:sz w:val="16"/>
          <w:szCs w:val="16"/>
        </w:rPr>
        <w:footnoteRef/>
      </w:r>
      <w:r w:rsidRPr="00655CB9">
        <w:rPr>
          <w:sz w:val="16"/>
          <w:szCs w:val="16"/>
        </w:rPr>
        <w:t xml:space="preserve"> </w:t>
      </w:r>
      <w:r>
        <w:rPr>
          <w:sz w:val="16"/>
          <w:szCs w:val="16"/>
        </w:rPr>
        <w:t xml:space="preserve">O.J. Padel, </w:t>
      </w:r>
      <w:r w:rsidRPr="002C5469">
        <w:rPr>
          <w:i/>
          <w:sz w:val="16"/>
          <w:szCs w:val="16"/>
        </w:rPr>
        <w:t>Arthur in Medieval Welsh Literature</w:t>
      </w:r>
      <w:r>
        <w:rPr>
          <w:sz w:val="16"/>
          <w:szCs w:val="16"/>
        </w:rPr>
        <w:t xml:space="preserve"> (Cardiff: University of Wales Press, 2000). p.28</w:t>
      </w:r>
    </w:p>
  </w:footnote>
  <w:footnote w:id="50">
    <w:p w14:paraId="7F5F348A" w14:textId="005690C3" w:rsidR="00FC5544" w:rsidRPr="0097214E" w:rsidRDefault="00FC5544" w:rsidP="00FC5544">
      <w:pPr>
        <w:pStyle w:val="FootnoteText"/>
        <w:rPr>
          <w:sz w:val="16"/>
          <w:szCs w:val="16"/>
        </w:rPr>
      </w:pPr>
      <w:r w:rsidRPr="0097214E">
        <w:rPr>
          <w:rStyle w:val="FootnoteReference"/>
          <w:sz w:val="16"/>
          <w:szCs w:val="16"/>
        </w:rPr>
        <w:footnoteRef/>
      </w:r>
      <w:r w:rsidRPr="0097214E">
        <w:rPr>
          <w:sz w:val="16"/>
          <w:szCs w:val="16"/>
        </w:rPr>
        <w:t xml:space="preserve"> </w:t>
      </w:r>
      <w:r>
        <w:rPr>
          <w:sz w:val="16"/>
          <w:szCs w:val="16"/>
        </w:rPr>
        <w:t xml:space="preserve">Patrick Sims-Williams, </w:t>
      </w:r>
      <w:r w:rsidR="00B10300">
        <w:rPr>
          <w:sz w:val="16"/>
          <w:szCs w:val="16"/>
        </w:rPr>
        <w:t>‘</w:t>
      </w:r>
      <w:r w:rsidRPr="00B10300">
        <w:rPr>
          <w:sz w:val="16"/>
          <w:szCs w:val="16"/>
        </w:rPr>
        <w:t>The Early Welsh Arthurian Poems</w:t>
      </w:r>
      <w:r w:rsidR="00B10300">
        <w:rPr>
          <w:sz w:val="16"/>
          <w:szCs w:val="16"/>
        </w:rPr>
        <w:t>’,</w:t>
      </w:r>
      <w:r>
        <w:rPr>
          <w:sz w:val="16"/>
          <w:szCs w:val="16"/>
        </w:rPr>
        <w:t xml:space="preserve"> in</w:t>
      </w:r>
      <w:r w:rsidRPr="001874BC">
        <w:rPr>
          <w:i/>
          <w:sz w:val="16"/>
          <w:szCs w:val="16"/>
        </w:rPr>
        <w:t xml:space="preserve"> </w:t>
      </w:r>
      <w:r w:rsidRPr="0080181B">
        <w:rPr>
          <w:i/>
          <w:sz w:val="16"/>
          <w:szCs w:val="16"/>
        </w:rPr>
        <w:t>The Arthur of the Welsh: The Arthurian Legend in Medieval Welsh Literature</w:t>
      </w:r>
      <w:r w:rsidRPr="0080181B">
        <w:rPr>
          <w:sz w:val="16"/>
          <w:szCs w:val="16"/>
        </w:rPr>
        <w:t>, eds. Rachel Bromwich, A.O.H. Jarman, Brynley F. Roberts (Cardiff: University of Wales Press, 1991).</w:t>
      </w:r>
      <w:r w:rsidRPr="00216B36">
        <w:rPr>
          <w:sz w:val="16"/>
          <w:szCs w:val="16"/>
        </w:rPr>
        <w:t xml:space="preserve"> </w:t>
      </w:r>
      <w:r>
        <w:rPr>
          <w:sz w:val="16"/>
          <w:szCs w:val="16"/>
        </w:rPr>
        <w:t xml:space="preserve"> p.36</w:t>
      </w:r>
    </w:p>
  </w:footnote>
  <w:footnote w:id="51">
    <w:p w14:paraId="026F90B1" w14:textId="77777777" w:rsidR="00FC5544" w:rsidRPr="00894121" w:rsidRDefault="00FC5544" w:rsidP="00FC5544">
      <w:pPr>
        <w:pStyle w:val="FootnoteText"/>
        <w:rPr>
          <w:sz w:val="16"/>
          <w:szCs w:val="16"/>
        </w:rPr>
      </w:pPr>
      <w:r w:rsidRPr="00894121">
        <w:rPr>
          <w:rStyle w:val="FootnoteReference"/>
          <w:sz w:val="16"/>
          <w:szCs w:val="16"/>
        </w:rPr>
        <w:footnoteRef/>
      </w:r>
      <w:r w:rsidRPr="00894121">
        <w:rPr>
          <w:sz w:val="16"/>
          <w:szCs w:val="16"/>
        </w:rPr>
        <w:t xml:space="preserve"> </w:t>
      </w:r>
      <w:r w:rsidRPr="005F1745">
        <w:rPr>
          <w:sz w:val="16"/>
          <w:szCs w:val="16"/>
        </w:rPr>
        <w:t xml:space="preserve">Richard Barber, </w:t>
      </w:r>
      <w:r w:rsidRPr="005F1745">
        <w:rPr>
          <w:i/>
          <w:sz w:val="16"/>
          <w:szCs w:val="16"/>
        </w:rPr>
        <w:t>The Figure of Arthur</w:t>
      </w:r>
      <w:r w:rsidRPr="005F1745">
        <w:rPr>
          <w:sz w:val="16"/>
          <w:szCs w:val="16"/>
        </w:rPr>
        <w:t xml:space="preserve"> (London: Longman, 1972).</w:t>
      </w:r>
      <w:r>
        <w:rPr>
          <w:sz w:val="16"/>
          <w:szCs w:val="16"/>
        </w:rPr>
        <w:t xml:space="preserve"> p.20</w:t>
      </w:r>
    </w:p>
  </w:footnote>
  <w:footnote w:id="52">
    <w:p w14:paraId="5C67C609" w14:textId="0BA71B4A" w:rsidR="00404C2D" w:rsidRPr="00404C2D" w:rsidRDefault="00404C2D">
      <w:pPr>
        <w:pStyle w:val="FootnoteText"/>
        <w:rPr>
          <w:sz w:val="16"/>
          <w:szCs w:val="16"/>
        </w:rPr>
      </w:pPr>
      <w:r w:rsidRPr="00404C2D">
        <w:rPr>
          <w:rStyle w:val="FootnoteReference"/>
          <w:sz w:val="16"/>
          <w:szCs w:val="16"/>
        </w:rPr>
        <w:footnoteRef/>
      </w:r>
      <w:r w:rsidRPr="00404C2D">
        <w:rPr>
          <w:sz w:val="16"/>
          <w:szCs w:val="16"/>
        </w:rPr>
        <w:t xml:space="preserve"> Antti Aarne</w:t>
      </w:r>
      <w:r>
        <w:rPr>
          <w:sz w:val="16"/>
          <w:szCs w:val="16"/>
        </w:rPr>
        <w:t xml:space="preserve"> and</w:t>
      </w:r>
      <w:r w:rsidRPr="00404C2D">
        <w:rPr>
          <w:sz w:val="16"/>
          <w:szCs w:val="16"/>
        </w:rPr>
        <w:t xml:space="preserve"> Stith Thompson</w:t>
      </w:r>
      <w:r>
        <w:rPr>
          <w:sz w:val="16"/>
          <w:szCs w:val="16"/>
        </w:rPr>
        <w:t>,</w:t>
      </w:r>
      <w:r w:rsidRPr="00404C2D">
        <w:t xml:space="preserve"> </w:t>
      </w:r>
      <w:r w:rsidRPr="00404C2D">
        <w:rPr>
          <w:i/>
          <w:sz w:val="16"/>
          <w:szCs w:val="16"/>
        </w:rPr>
        <w:t>Types of the Folktale</w:t>
      </w:r>
      <w:r w:rsidRPr="00404C2D">
        <w:rPr>
          <w:sz w:val="16"/>
          <w:szCs w:val="16"/>
        </w:rPr>
        <w:t>, (Helsinki: 1928)</w:t>
      </w:r>
    </w:p>
  </w:footnote>
  <w:footnote w:id="53">
    <w:p w14:paraId="0097B6AE" w14:textId="1D9EBB06" w:rsidR="00FC5544" w:rsidRPr="002C5469" w:rsidRDefault="00FC5544" w:rsidP="00FC5544">
      <w:pPr>
        <w:pStyle w:val="FootnoteText"/>
        <w:rPr>
          <w:sz w:val="16"/>
          <w:szCs w:val="16"/>
        </w:rPr>
      </w:pPr>
      <w:r w:rsidRPr="002C5469">
        <w:rPr>
          <w:rStyle w:val="FootnoteReference"/>
          <w:sz w:val="16"/>
          <w:szCs w:val="16"/>
        </w:rPr>
        <w:footnoteRef/>
      </w:r>
      <w:r w:rsidRPr="002C5469">
        <w:rPr>
          <w:sz w:val="16"/>
          <w:szCs w:val="16"/>
        </w:rPr>
        <w:t xml:space="preserve"> </w:t>
      </w:r>
      <w:r>
        <w:rPr>
          <w:sz w:val="16"/>
          <w:szCs w:val="16"/>
        </w:rPr>
        <w:t xml:space="preserve">Brynley F. Roberts, </w:t>
      </w:r>
      <w:r w:rsidR="00B10300">
        <w:rPr>
          <w:sz w:val="16"/>
          <w:szCs w:val="16"/>
        </w:rPr>
        <w:t>‘</w:t>
      </w:r>
      <w:proofErr w:type="spellStart"/>
      <w:r>
        <w:rPr>
          <w:sz w:val="16"/>
          <w:szCs w:val="16"/>
        </w:rPr>
        <w:t>Culhwch</w:t>
      </w:r>
      <w:proofErr w:type="spellEnd"/>
      <w:r>
        <w:rPr>
          <w:sz w:val="16"/>
          <w:szCs w:val="16"/>
        </w:rPr>
        <w:t xml:space="preserve"> ac Olwen</w:t>
      </w:r>
      <w:r w:rsidR="00B10300">
        <w:rPr>
          <w:sz w:val="16"/>
          <w:szCs w:val="16"/>
        </w:rPr>
        <w:t>’,</w:t>
      </w:r>
      <w:r>
        <w:rPr>
          <w:sz w:val="16"/>
          <w:szCs w:val="16"/>
        </w:rPr>
        <w:t xml:space="preserve"> in </w:t>
      </w:r>
      <w:r w:rsidRPr="0080181B">
        <w:rPr>
          <w:i/>
          <w:sz w:val="16"/>
          <w:szCs w:val="16"/>
        </w:rPr>
        <w:t>The Arthur of the Welsh: The Arthurian Legend in Medieval Welsh Literature</w:t>
      </w:r>
      <w:r w:rsidRPr="0080181B">
        <w:rPr>
          <w:sz w:val="16"/>
          <w:szCs w:val="16"/>
        </w:rPr>
        <w:t>, eds. Rachel Bromwich, A.O.H. Jarman, Brynley F. Roberts (Cardiff: University of Wales Press, 1991).</w:t>
      </w:r>
      <w:r w:rsidRPr="00216B36">
        <w:rPr>
          <w:sz w:val="16"/>
          <w:szCs w:val="16"/>
        </w:rPr>
        <w:t xml:space="preserve"> </w:t>
      </w:r>
      <w:r>
        <w:rPr>
          <w:sz w:val="16"/>
          <w:szCs w:val="16"/>
        </w:rPr>
        <w:t>p</w:t>
      </w:r>
      <w:r w:rsidRPr="00216B36">
        <w:rPr>
          <w:sz w:val="16"/>
          <w:szCs w:val="16"/>
        </w:rPr>
        <w:t>p.</w:t>
      </w:r>
      <w:r>
        <w:rPr>
          <w:sz w:val="16"/>
          <w:szCs w:val="16"/>
        </w:rPr>
        <w:t>77-9</w:t>
      </w:r>
    </w:p>
  </w:footnote>
  <w:footnote w:id="54">
    <w:p w14:paraId="5747E3B4" w14:textId="77777777" w:rsidR="00FC5544" w:rsidRPr="006C5796" w:rsidRDefault="00FC5544" w:rsidP="00FC5544">
      <w:pPr>
        <w:pStyle w:val="FootnoteText"/>
        <w:rPr>
          <w:sz w:val="16"/>
          <w:szCs w:val="16"/>
        </w:rPr>
      </w:pPr>
      <w:r w:rsidRPr="006C5796">
        <w:rPr>
          <w:rStyle w:val="FootnoteReference"/>
          <w:sz w:val="16"/>
          <w:szCs w:val="16"/>
        </w:rPr>
        <w:footnoteRef/>
      </w:r>
      <w:r w:rsidRPr="006C5796">
        <w:rPr>
          <w:sz w:val="16"/>
          <w:szCs w:val="16"/>
        </w:rPr>
        <w:t xml:space="preserve"> </w:t>
      </w:r>
      <w:r>
        <w:rPr>
          <w:sz w:val="16"/>
          <w:szCs w:val="16"/>
        </w:rPr>
        <w:t>J</w:t>
      </w:r>
      <w:r w:rsidRPr="00AE3096">
        <w:rPr>
          <w:sz w:val="16"/>
          <w:szCs w:val="16"/>
        </w:rPr>
        <w:t xml:space="preserve">on B. Coe and Simon Young, </w:t>
      </w:r>
      <w:r w:rsidRPr="00AE3096">
        <w:rPr>
          <w:i/>
          <w:sz w:val="16"/>
          <w:szCs w:val="16"/>
        </w:rPr>
        <w:t>The Celtic Sources for the Arthurian Legend</w:t>
      </w:r>
      <w:r w:rsidRPr="00AE3096">
        <w:rPr>
          <w:sz w:val="16"/>
          <w:szCs w:val="16"/>
        </w:rPr>
        <w:t xml:space="preserve"> (Burnham-on-Sea: Llanerch Press, 1995).</w:t>
      </w:r>
      <w:r>
        <w:rPr>
          <w:sz w:val="16"/>
          <w:szCs w:val="16"/>
        </w:rPr>
        <w:t xml:space="preserve"> pp.127-33</w:t>
      </w:r>
    </w:p>
  </w:footnote>
  <w:footnote w:id="55">
    <w:p w14:paraId="7BF74B4E" w14:textId="77777777" w:rsidR="00FC5544" w:rsidRPr="00C120BE" w:rsidRDefault="00FC5544" w:rsidP="00FC5544">
      <w:pPr>
        <w:rPr>
          <w:lang w:val="en-US" w:bidi="en-US"/>
        </w:rPr>
      </w:pPr>
      <w:r w:rsidRPr="00C120BE">
        <w:rPr>
          <w:rStyle w:val="FootnoteReference"/>
          <w:sz w:val="16"/>
          <w:szCs w:val="16"/>
        </w:rPr>
        <w:footnoteRef/>
      </w:r>
      <w:r w:rsidRPr="00C120BE">
        <w:rPr>
          <w:sz w:val="16"/>
          <w:szCs w:val="16"/>
        </w:rPr>
        <w:t xml:space="preserve"> </w:t>
      </w:r>
      <w:r w:rsidRPr="00C120BE">
        <w:rPr>
          <w:i/>
          <w:sz w:val="16"/>
          <w:szCs w:val="16"/>
          <w:lang w:val="en-US" w:bidi="en-US"/>
        </w:rPr>
        <w:t>Trioedd Ynys Prydein: The Triads of the Island of Britain</w:t>
      </w:r>
      <w:r w:rsidRPr="00C120BE">
        <w:rPr>
          <w:sz w:val="16"/>
          <w:szCs w:val="16"/>
          <w:lang w:val="en-US" w:bidi="en-US"/>
        </w:rPr>
        <w:t>, ed. and trans. Rachel Bromwich (Cardiff: University of Wales Press, 2014).</w:t>
      </w:r>
      <w:r>
        <w:rPr>
          <w:lang w:val="en-US" w:bidi="en-US"/>
        </w:rPr>
        <w:t xml:space="preserve"> </w:t>
      </w:r>
      <w:r>
        <w:rPr>
          <w:sz w:val="16"/>
          <w:szCs w:val="16"/>
        </w:rPr>
        <w:t>pp.146-9</w:t>
      </w:r>
    </w:p>
  </w:footnote>
  <w:footnote w:id="56">
    <w:p w14:paraId="5910E8B8" w14:textId="77777777" w:rsidR="00FC5544" w:rsidRPr="005A245E" w:rsidRDefault="00FC5544" w:rsidP="00FC5544">
      <w:pPr>
        <w:pStyle w:val="FootnoteText"/>
        <w:rPr>
          <w:sz w:val="16"/>
          <w:szCs w:val="16"/>
        </w:rPr>
      </w:pPr>
      <w:r w:rsidRPr="005A245E">
        <w:rPr>
          <w:rStyle w:val="FootnoteReference"/>
          <w:sz w:val="16"/>
          <w:szCs w:val="16"/>
        </w:rPr>
        <w:footnoteRef/>
      </w:r>
      <w:r w:rsidRPr="005A245E">
        <w:rPr>
          <w:sz w:val="16"/>
          <w:szCs w:val="16"/>
        </w:rPr>
        <w:t xml:space="preserve"> </w:t>
      </w:r>
      <w:r>
        <w:rPr>
          <w:sz w:val="16"/>
          <w:szCs w:val="16"/>
        </w:rPr>
        <w:t xml:space="preserve">O.J. Padel, </w:t>
      </w:r>
      <w:r w:rsidRPr="002C5469">
        <w:rPr>
          <w:i/>
          <w:sz w:val="16"/>
          <w:szCs w:val="16"/>
        </w:rPr>
        <w:t>Arthur in Medieval Welsh Literature</w:t>
      </w:r>
      <w:r>
        <w:rPr>
          <w:sz w:val="16"/>
          <w:szCs w:val="16"/>
        </w:rPr>
        <w:t xml:space="preserve"> (Cardiff: University of Wales Press, 2000). pp.34-5</w:t>
      </w:r>
    </w:p>
  </w:footnote>
  <w:footnote w:id="57">
    <w:p w14:paraId="40554C7E" w14:textId="77777777" w:rsidR="00FC5544" w:rsidRPr="0087535D" w:rsidRDefault="00FC5544" w:rsidP="00FC5544">
      <w:pPr>
        <w:pStyle w:val="FootnoteText"/>
        <w:rPr>
          <w:sz w:val="16"/>
          <w:szCs w:val="16"/>
        </w:rPr>
      </w:pPr>
      <w:r w:rsidRPr="0087535D">
        <w:rPr>
          <w:rStyle w:val="FootnoteReference"/>
          <w:sz w:val="16"/>
          <w:szCs w:val="16"/>
        </w:rPr>
        <w:footnoteRef/>
      </w:r>
      <w:r w:rsidRPr="0087535D">
        <w:rPr>
          <w:sz w:val="16"/>
          <w:szCs w:val="16"/>
        </w:rPr>
        <w:t xml:space="preserve"> </w:t>
      </w:r>
      <w:r>
        <w:rPr>
          <w:sz w:val="16"/>
          <w:szCs w:val="16"/>
        </w:rPr>
        <w:t xml:space="preserve">Kenneth Hurlstone Jackson, </w:t>
      </w:r>
      <w:r w:rsidRPr="00E03417">
        <w:rPr>
          <w:i/>
          <w:sz w:val="16"/>
          <w:szCs w:val="16"/>
        </w:rPr>
        <w:t>The Arthur of History</w:t>
      </w:r>
      <w:r>
        <w:rPr>
          <w:sz w:val="16"/>
          <w:szCs w:val="16"/>
        </w:rPr>
        <w:t xml:space="preserve"> in </w:t>
      </w:r>
      <w:r w:rsidRPr="00E03417">
        <w:rPr>
          <w:i/>
          <w:sz w:val="16"/>
          <w:szCs w:val="16"/>
        </w:rPr>
        <w:t>Arthurian Literature in the Middle Ages: A Collaborative History,</w:t>
      </w:r>
      <w:r w:rsidRPr="00E03417">
        <w:rPr>
          <w:sz w:val="16"/>
          <w:szCs w:val="16"/>
        </w:rPr>
        <w:t xml:space="preserve"> ed. Roger Sherman Loomis (Oxford: Clarendon Press, 1959).</w:t>
      </w:r>
      <w:r>
        <w:rPr>
          <w:sz w:val="16"/>
          <w:szCs w:val="16"/>
        </w:rPr>
        <w:t xml:space="preserve"> p.5</w:t>
      </w:r>
    </w:p>
  </w:footnote>
  <w:footnote w:id="58">
    <w:p w14:paraId="23645644" w14:textId="77777777" w:rsidR="00FC5544" w:rsidRPr="0085221E" w:rsidRDefault="00FC5544" w:rsidP="00FC5544">
      <w:pPr>
        <w:pStyle w:val="FootnoteText"/>
        <w:rPr>
          <w:sz w:val="16"/>
          <w:szCs w:val="16"/>
        </w:rPr>
      </w:pPr>
      <w:r w:rsidRPr="0085221E">
        <w:rPr>
          <w:rStyle w:val="FootnoteReference"/>
          <w:sz w:val="16"/>
          <w:szCs w:val="16"/>
        </w:rPr>
        <w:footnoteRef/>
      </w:r>
      <w:r w:rsidRPr="0085221E">
        <w:rPr>
          <w:sz w:val="16"/>
          <w:szCs w:val="16"/>
        </w:rPr>
        <w:t xml:space="preserve"> </w:t>
      </w:r>
      <w:r w:rsidRPr="005F1745">
        <w:rPr>
          <w:sz w:val="16"/>
          <w:szCs w:val="16"/>
        </w:rPr>
        <w:t xml:space="preserve">Richard Barber, </w:t>
      </w:r>
      <w:r w:rsidRPr="005F1745">
        <w:rPr>
          <w:i/>
          <w:sz w:val="16"/>
          <w:szCs w:val="16"/>
        </w:rPr>
        <w:t>The Figure of Arthur</w:t>
      </w:r>
      <w:r w:rsidRPr="005F1745">
        <w:rPr>
          <w:sz w:val="16"/>
          <w:szCs w:val="16"/>
        </w:rPr>
        <w:t xml:space="preserve"> (London: Longman, 1972).</w:t>
      </w:r>
      <w:r>
        <w:rPr>
          <w:sz w:val="16"/>
          <w:szCs w:val="16"/>
        </w:rPr>
        <w:t xml:space="preserve"> pp.11-12</w:t>
      </w:r>
    </w:p>
  </w:footnote>
  <w:footnote w:id="59">
    <w:p w14:paraId="39BF58E0" w14:textId="39D42D54" w:rsidR="009368B1" w:rsidRPr="0053725B" w:rsidRDefault="009368B1" w:rsidP="009368B1">
      <w:pPr>
        <w:pStyle w:val="FootnoteText"/>
        <w:rPr>
          <w:sz w:val="16"/>
          <w:szCs w:val="16"/>
        </w:rPr>
      </w:pPr>
      <w:r w:rsidRPr="0053725B">
        <w:rPr>
          <w:rStyle w:val="FootnoteReference"/>
          <w:sz w:val="16"/>
          <w:szCs w:val="16"/>
        </w:rPr>
        <w:footnoteRef/>
      </w:r>
      <w:r w:rsidRPr="0053725B">
        <w:rPr>
          <w:sz w:val="16"/>
          <w:szCs w:val="16"/>
        </w:rPr>
        <w:t xml:space="preserve"> </w:t>
      </w:r>
      <w:r>
        <w:rPr>
          <w:sz w:val="16"/>
          <w:szCs w:val="16"/>
        </w:rPr>
        <w:t xml:space="preserve">Brynley F. Roberts, </w:t>
      </w:r>
      <w:r w:rsidR="00B10300">
        <w:rPr>
          <w:sz w:val="16"/>
          <w:szCs w:val="16"/>
        </w:rPr>
        <w:t>‘</w:t>
      </w:r>
      <w:r>
        <w:rPr>
          <w:sz w:val="16"/>
          <w:szCs w:val="16"/>
        </w:rPr>
        <w:t xml:space="preserve">Geoffrey of Monmouth, Historia Regum Britanniae and Brut Y </w:t>
      </w:r>
      <w:proofErr w:type="spellStart"/>
      <w:r>
        <w:rPr>
          <w:sz w:val="16"/>
          <w:szCs w:val="16"/>
        </w:rPr>
        <w:t>Brenhinedd</w:t>
      </w:r>
      <w:proofErr w:type="spellEnd"/>
      <w:r w:rsidR="00B10300">
        <w:rPr>
          <w:sz w:val="16"/>
          <w:szCs w:val="16"/>
        </w:rPr>
        <w:t>’,</w:t>
      </w:r>
      <w:r>
        <w:rPr>
          <w:sz w:val="16"/>
          <w:szCs w:val="16"/>
        </w:rPr>
        <w:t xml:space="preserve"> in </w:t>
      </w:r>
      <w:r w:rsidRPr="0080181B">
        <w:rPr>
          <w:i/>
          <w:sz w:val="16"/>
          <w:szCs w:val="16"/>
        </w:rPr>
        <w:t>The Arthur of the Welsh: The Arthurian Legend in Medieval Welsh Literature</w:t>
      </w:r>
      <w:r w:rsidRPr="0080181B">
        <w:rPr>
          <w:sz w:val="16"/>
          <w:szCs w:val="16"/>
        </w:rPr>
        <w:t>, eds. Rachel Bromwich, A.O.H. Jarman, Brynley F. Roberts (Cardiff: University of Wales Press, 1991).</w:t>
      </w:r>
      <w:r w:rsidRPr="00216B36">
        <w:rPr>
          <w:sz w:val="16"/>
          <w:szCs w:val="16"/>
        </w:rPr>
        <w:t xml:space="preserve"> </w:t>
      </w:r>
      <w:r>
        <w:rPr>
          <w:sz w:val="16"/>
          <w:szCs w:val="16"/>
        </w:rPr>
        <w:t xml:space="preserve"> pp.97-106</w:t>
      </w:r>
    </w:p>
  </w:footnote>
  <w:footnote w:id="60">
    <w:p w14:paraId="7718319D" w14:textId="220121D3" w:rsidR="00C35D5C" w:rsidRPr="00C35D5C" w:rsidRDefault="00C35D5C">
      <w:pPr>
        <w:pStyle w:val="FootnoteText"/>
      </w:pPr>
      <w:r w:rsidRPr="00C35D5C">
        <w:rPr>
          <w:rStyle w:val="FootnoteReference"/>
          <w:sz w:val="16"/>
          <w:szCs w:val="16"/>
        </w:rPr>
        <w:t xml:space="preserve">62 </w:t>
      </w:r>
      <w:r w:rsidRPr="00C35D5C">
        <w:rPr>
          <w:sz w:val="16"/>
          <w:szCs w:val="16"/>
        </w:rPr>
        <w:t xml:space="preserve">Roberta L. Krueger, </w:t>
      </w:r>
      <w:r w:rsidR="00B10300">
        <w:rPr>
          <w:sz w:val="16"/>
          <w:szCs w:val="16"/>
        </w:rPr>
        <w:t>‘</w:t>
      </w:r>
      <w:r w:rsidRPr="00C35D5C">
        <w:rPr>
          <w:sz w:val="16"/>
          <w:szCs w:val="16"/>
        </w:rPr>
        <w:t>Chrétien de Troyes and the in</w:t>
      </w:r>
      <w:r>
        <w:rPr>
          <w:sz w:val="16"/>
          <w:szCs w:val="16"/>
        </w:rPr>
        <w:t xml:space="preserve">vention of Arthurian </w:t>
      </w:r>
      <w:r w:rsidR="00436F1B">
        <w:rPr>
          <w:sz w:val="16"/>
          <w:szCs w:val="16"/>
        </w:rPr>
        <w:t>Courtly</w:t>
      </w:r>
      <w:r>
        <w:rPr>
          <w:sz w:val="16"/>
          <w:szCs w:val="16"/>
        </w:rPr>
        <w:t xml:space="preserve"> Fiction</w:t>
      </w:r>
      <w:r w:rsidR="00B10300">
        <w:rPr>
          <w:sz w:val="16"/>
          <w:szCs w:val="16"/>
        </w:rPr>
        <w:t>’,</w:t>
      </w:r>
      <w:r>
        <w:rPr>
          <w:sz w:val="16"/>
          <w:szCs w:val="16"/>
        </w:rPr>
        <w:t xml:space="preserve"> in </w:t>
      </w:r>
      <w:r w:rsidRPr="007D4432">
        <w:rPr>
          <w:i/>
          <w:sz w:val="16"/>
          <w:szCs w:val="16"/>
        </w:rPr>
        <w:t>A Companion to Arthurian Literature</w:t>
      </w:r>
      <w:r w:rsidRPr="007D4432">
        <w:rPr>
          <w:sz w:val="16"/>
          <w:szCs w:val="16"/>
        </w:rPr>
        <w:t>, ed. Helen Fulton (Chichester: Wiley-Blackwell, 2009)</w:t>
      </w:r>
      <w:r>
        <w:rPr>
          <w:sz w:val="16"/>
          <w:szCs w:val="16"/>
        </w:rPr>
        <w:t>. pp.161-2</w:t>
      </w:r>
    </w:p>
  </w:footnote>
  <w:footnote w:id="61">
    <w:p w14:paraId="683881CC" w14:textId="116206A9" w:rsidR="00CA414C" w:rsidRPr="00CA414C" w:rsidRDefault="00CA414C">
      <w:pPr>
        <w:pStyle w:val="FootnoteText"/>
        <w:rPr>
          <w:sz w:val="16"/>
          <w:szCs w:val="16"/>
        </w:rPr>
      </w:pPr>
      <w:r w:rsidRPr="00CA414C">
        <w:rPr>
          <w:rStyle w:val="FootnoteReference"/>
          <w:sz w:val="16"/>
          <w:szCs w:val="16"/>
        </w:rPr>
        <w:footnoteRef/>
      </w:r>
      <w:r w:rsidRPr="00CA414C">
        <w:rPr>
          <w:sz w:val="16"/>
          <w:szCs w:val="16"/>
        </w:rPr>
        <w:t xml:space="preserve"> </w:t>
      </w:r>
      <w:r>
        <w:rPr>
          <w:sz w:val="16"/>
          <w:szCs w:val="16"/>
        </w:rPr>
        <w:t>Thomas Malory, Morte Darthur</w:t>
      </w:r>
      <w:r w:rsidR="00DE6F2B">
        <w:rPr>
          <w:sz w:val="16"/>
          <w:szCs w:val="16"/>
        </w:rPr>
        <w:t xml:space="preserve"> 1469-70</w:t>
      </w:r>
    </w:p>
  </w:footnote>
  <w:footnote w:id="62">
    <w:p w14:paraId="7E4FFF80" w14:textId="40B9D040" w:rsidR="00E91F31" w:rsidRPr="00E91F31" w:rsidRDefault="00E91F31">
      <w:pPr>
        <w:pStyle w:val="FootnoteText"/>
        <w:rPr>
          <w:sz w:val="16"/>
          <w:szCs w:val="16"/>
        </w:rPr>
      </w:pPr>
      <w:r w:rsidRPr="00E91F31">
        <w:rPr>
          <w:rStyle w:val="FootnoteReference"/>
          <w:sz w:val="16"/>
          <w:szCs w:val="16"/>
        </w:rPr>
        <w:footnoteRef/>
      </w:r>
      <w:r w:rsidRPr="00E91F31">
        <w:rPr>
          <w:sz w:val="16"/>
          <w:szCs w:val="16"/>
        </w:rPr>
        <w:t xml:space="preserve"> </w:t>
      </w:r>
      <w:r>
        <w:rPr>
          <w:sz w:val="16"/>
          <w:szCs w:val="16"/>
        </w:rPr>
        <w:t xml:space="preserve">Raluca L. Radulescu, </w:t>
      </w:r>
      <w:r w:rsidR="00B10300">
        <w:rPr>
          <w:sz w:val="16"/>
          <w:szCs w:val="16"/>
        </w:rPr>
        <w:t>‘</w:t>
      </w:r>
      <w:r>
        <w:rPr>
          <w:sz w:val="16"/>
          <w:szCs w:val="16"/>
        </w:rPr>
        <w:t>Malory and the Quest for th</w:t>
      </w:r>
      <w:r w:rsidR="00B36BBA">
        <w:rPr>
          <w:sz w:val="16"/>
          <w:szCs w:val="16"/>
        </w:rPr>
        <w:t>e Holy Grail</w:t>
      </w:r>
      <w:r w:rsidR="00B10300">
        <w:rPr>
          <w:sz w:val="16"/>
          <w:szCs w:val="16"/>
        </w:rPr>
        <w:t>’,</w:t>
      </w:r>
      <w:r w:rsidR="00B36BBA">
        <w:rPr>
          <w:sz w:val="16"/>
          <w:szCs w:val="16"/>
        </w:rPr>
        <w:t xml:space="preserve"> in </w:t>
      </w:r>
      <w:r w:rsidR="00B36BBA" w:rsidRPr="007D4432">
        <w:rPr>
          <w:i/>
          <w:sz w:val="16"/>
          <w:szCs w:val="16"/>
        </w:rPr>
        <w:t>A Companion to Arthurian Literature</w:t>
      </w:r>
      <w:r w:rsidR="00B36BBA" w:rsidRPr="007D4432">
        <w:rPr>
          <w:sz w:val="16"/>
          <w:szCs w:val="16"/>
        </w:rPr>
        <w:t>, ed. Helen Fulton (Chichester: Wiley-Blackwell, 2009)</w:t>
      </w:r>
      <w:r w:rsidR="00B36BBA">
        <w:rPr>
          <w:sz w:val="16"/>
          <w:szCs w:val="16"/>
        </w:rPr>
        <w:t xml:space="preserve">. pp.337-8 </w:t>
      </w:r>
    </w:p>
  </w:footnote>
  <w:footnote w:id="63">
    <w:p w14:paraId="509D6AA8" w14:textId="2CFB490F" w:rsidR="00F65AD7" w:rsidRPr="00DA316E" w:rsidRDefault="00F65AD7" w:rsidP="00DA316E">
      <w:pPr>
        <w:rPr>
          <w:rFonts w:ascii="Calibri" w:hAnsi="Calibri" w:cs="Calibri"/>
          <w:sz w:val="16"/>
          <w:szCs w:val="16"/>
        </w:rPr>
      </w:pPr>
      <w:r w:rsidRPr="00F65AD7">
        <w:rPr>
          <w:rStyle w:val="FootnoteReference"/>
          <w:sz w:val="16"/>
          <w:szCs w:val="16"/>
        </w:rPr>
        <w:footnoteRef/>
      </w:r>
      <w:r w:rsidRPr="00F65AD7">
        <w:rPr>
          <w:sz w:val="16"/>
          <w:szCs w:val="16"/>
        </w:rPr>
        <w:t xml:space="preserve"> </w:t>
      </w:r>
      <w:r>
        <w:rPr>
          <w:sz w:val="16"/>
          <w:szCs w:val="16"/>
        </w:rPr>
        <w:t xml:space="preserve">C.A. </w:t>
      </w:r>
      <w:r w:rsidRPr="00F65AD7">
        <w:rPr>
          <w:rFonts w:ascii="Calibri" w:hAnsi="Calibri" w:cs="Calibri"/>
          <w:bCs/>
          <w:sz w:val="16"/>
          <w:szCs w:val="16"/>
        </w:rPr>
        <w:t>McKenna,</w:t>
      </w:r>
      <w:r w:rsidRPr="00F65AD7">
        <w:rPr>
          <w:rFonts w:ascii="Calibri" w:hAnsi="Calibri" w:cs="Calibri"/>
          <w:sz w:val="16"/>
          <w:szCs w:val="16"/>
        </w:rPr>
        <w:t xml:space="preserve"> </w:t>
      </w:r>
      <w:r w:rsidR="00B10300">
        <w:rPr>
          <w:rFonts w:ascii="Calibri" w:hAnsi="Calibri" w:cs="Calibri"/>
          <w:sz w:val="16"/>
          <w:szCs w:val="16"/>
        </w:rPr>
        <w:t>‘</w:t>
      </w:r>
      <w:r w:rsidRPr="00B10300">
        <w:rPr>
          <w:rFonts w:ascii="Calibri" w:hAnsi="Calibri" w:cs="Calibri"/>
          <w:sz w:val="16"/>
          <w:szCs w:val="16"/>
        </w:rPr>
        <w:t>Learning Lordship: The education of Manawydan</w:t>
      </w:r>
      <w:r w:rsidR="00B10300">
        <w:rPr>
          <w:rFonts w:ascii="Calibri" w:hAnsi="Calibri" w:cs="Calibri"/>
          <w:sz w:val="16"/>
          <w:szCs w:val="16"/>
        </w:rPr>
        <w:t>’,</w:t>
      </w:r>
      <w:r w:rsidRPr="00F65AD7">
        <w:rPr>
          <w:rFonts w:ascii="Calibri" w:hAnsi="Calibri" w:cs="Calibri"/>
          <w:sz w:val="16"/>
          <w:szCs w:val="16"/>
        </w:rPr>
        <w:t xml:space="preserve"> </w:t>
      </w:r>
      <w:r>
        <w:rPr>
          <w:rFonts w:ascii="Calibri" w:hAnsi="Calibri" w:cs="Calibri"/>
          <w:sz w:val="16"/>
          <w:szCs w:val="16"/>
        </w:rPr>
        <w:t>i</w:t>
      </w:r>
      <w:r w:rsidRPr="00F65AD7">
        <w:rPr>
          <w:rFonts w:ascii="Calibri" w:hAnsi="Calibri" w:cs="Calibri"/>
          <w:sz w:val="16"/>
          <w:szCs w:val="16"/>
        </w:rPr>
        <w:t xml:space="preserve">n </w:t>
      </w:r>
      <w:proofErr w:type="spellStart"/>
      <w:r w:rsidRPr="00F65AD7">
        <w:rPr>
          <w:rFonts w:ascii="Calibri" w:hAnsi="Calibri" w:cs="Calibri"/>
          <w:i/>
          <w:iCs/>
          <w:sz w:val="16"/>
          <w:szCs w:val="16"/>
        </w:rPr>
        <w:t>Ildánach</w:t>
      </w:r>
      <w:proofErr w:type="spellEnd"/>
      <w:r w:rsidRPr="00F65AD7">
        <w:rPr>
          <w:rFonts w:ascii="Calibri" w:hAnsi="Calibri" w:cs="Calibri"/>
          <w:i/>
          <w:iCs/>
          <w:sz w:val="16"/>
          <w:szCs w:val="16"/>
        </w:rPr>
        <w:t xml:space="preserve"> </w:t>
      </w:r>
      <w:proofErr w:type="spellStart"/>
      <w:r w:rsidRPr="00F65AD7">
        <w:rPr>
          <w:rFonts w:ascii="Calibri" w:hAnsi="Calibri" w:cs="Calibri"/>
          <w:i/>
          <w:iCs/>
          <w:sz w:val="16"/>
          <w:szCs w:val="16"/>
        </w:rPr>
        <w:t>Ildírech</w:t>
      </w:r>
      <w:proofErr w:type="spellEnd"/>
      <w:r w:rsidRPr="00F65AD7">
        <w:rPr>
          <w:rFonts w:ascii="Calibri" w:hAnsi="Calibri" w:cs="Calibri"/>
          <w:i/>
          <w:iCs/>
          <w:sz w:val="16"/>
          <w:szCs w:val="16"/>
        </w:rPr>
        <w:t>: a festschrift for Proinsias Mac Cana</w:t>
      </w:r>
      <w:r w:rsidR="00EF39C8">
        <w:rPr>
          <w:rFonts w:ascii="Calibri" w:hAnsi="Calibri" w:cs="Calibri"/>
          <w:i/>
          <w:iCs/>
          <w:sz w:val="16"/>
          <w:szCs w:val="16"/>
        </w:rPr>
        <w:t xml:space="preserve">, </w:t>
      </w:r>
      <w:r w:rsidR="00EF39C8">
        <w:rPr>
          <w:rFonts w:ascii="Calibri" w:hAnsi="Calibri" w:cs="Calibri"/>
          <w:iCs/>
          <w:sz w:val="16"/>
          <w:szCs w:val="16"/>
        </w:rPr>
        <w:t>eds.</w:t>
      </w:r>
      <w:r w:rsidR="00EF39C8" w:rsidRPr="00EF39C8">
        <w:rPr>
          <w:rFonts w:ascii="Calibri" w:hAnsi="Calibri" w:cs="Calibri"/>
          <w:sz w:val="16"/>
          <w:szCs w:val="16"/>
        </w:rPr>
        <w:t xml:space="preserve"> </w:t>
      </w:r>
      <w:r w:rsidR="00EF39C8" w:rsidRPr="00F65AD7">
        <w:rPr>
          <w:rFonts w:ascii="Calibri" w:hAnsi="Calibri" w:cs="Calibri"/>
          <w:sz w:val="16"/>
          <w:szCs w:val="16"/>
        </w:rPr>
        <w:t xml:space="preserve">Carey, J. </w:t>
      </w:r>
      <w:r w:rsidR="00EF39C8" w:rsidRPr="00EF39C8">
        <w:rPr>
          <w:rFonts w:ascii="Calibri" w:hAnsi="Calibri" w:cs="Calibri"/>
          <w:i/>
          <w:sz w:val="16"/>
          <w:szCs w:val="16"/>
        </w:rPr>
        <w:t>et al.</w:t>
      </w:r>
      <w:r w:rsidR="00EF39C8" w:rsidRPr="00F65AD7">
        <w:rPr>
          <w:rFonts w:ascii="Calibri" w:hAnsi="Calibri" w:cs="Calibri"/>
          <w:sz w:val="16"/>
          <w:szCs w:val="16"/>
        </w:rPr>
        <w:t xml:space="preserve"> </w:t>
      </w:r>
      <w:r w:rsidR="00EF39C8">
        <w:rPr>
          <w:rFonts w:ascii="Calibri" w:hAnsi="Calibri" w:cs="Calibri"/>
          <w:iCs/>
          <w:sz w:val="16"/>
          <w:szCs w:val="16"/>
        </w:rPr>
        <w:t xml:space="preserve"> (</w:t>
      </w:r>
      <w:r w:rsidRPr="00F65AD7">
        <w:rPr>
          <w:rFonts w:ascii="Calibri" w:hAnsi="Calibri" w:cs="Calibri"/>
          <w:sz w:val="16"/>
          <w:szCs w:val="16"/>
        </w:rPr>
        <w:t>Aberystwyth and Andover MA: Celtic Studies Publications,</w:t>
      </w:r>
      <w:r>
        <w:rPr>
          <w:rFonts w:ascii="Calibri" w:hAnsi="Calibri" w:cs="Calibri"/>
          <w:sz w:val="16"/>
          <w:szCs w:val="16"/>
        </w:rPr>
        <w:t xml:space="preserve"> 1999)</w:t>
      </w:r>
      <w:r w:rsidRPr="00F65AD7">
        <w:rPr>
          <w:rFonts w:ascii="Calibri" w:hAnsi="Calibri" w:cs="Calibri"/>
          <w:sz w:val="16"/>
          <w:szCs w:val="16"/>
        </w:rPr>
        <w:t xml:space="preserve"> pp. 1</w:t>
      </w:r>
      <w:r>
        <w:rPr>
          <w:rFonts w:ascii="Calibri" w:hAnsi="Calibri" w:cs="Calibri"/>
          <w:sz w:val="16"/>
          <w:szCs w:val="16"/>
        </w:rPr>
        <w:t>18</w:t>
      </w:r>
      <w:r w:rsidRPr="00F65AD7">
        <w:rPr>
          <w:rFonts w:ascii="Calibri" w:hAnsi="Calibri" w:cs="Calibri"/>
          <w:sz w:val="16"/>
          <w:szCs w:val="16"/>
        </w:rPr>
        <w:t>–</w:t>
      </w:r>
      <w:r>
        <w:rPr>
          <w:rFonts w:ascii="Calibri" w:hAnsi="Calibri" w:cs="Calibri"/>
          <w:sz w:val="16"/>
          <w:szCs w:val="16"/>
        </w:rPr>
        <w:t>9</w:t>
      </w:r>
    </w:p>
  </w:footnote>
  <w:footnote w:id="64">
    <w:p w14:paraId="43A8260D" w14:textId="6F4CDD9C" w:rsidR="00DA316E" w:rsidRPr="00DA316E" w:rsidRDefault="00DA316E">
      <w:pPr>
        <w:pStyle w:val="FootnoteText"/>
        <w:rPr>
          <w:sz w:val="16"/>
          <w:szCs w:val="16"/>
        </w:rPr>
      </w:pPr>
      <w:r w:rsidRPr="00DA316E">
        <w:rPr>
          <w:rStyle w:val="FootnoteReference"/>
          <w:sz w:val="16"/>
          <w:szCs w:val="16"/>
        </w:rPr>
        <w:footnoteRef/>
      </w:r>
      <w:r w:rsidRPr="00DA316E">
        <w:rPr>
          <w:sz w:val="16"/>
          <w:szCs w:val="16"/>
        </w:rPr>
        <w:t xml:space="preserve"> </w:t>
      </w:r>
      <w:r>
        <w:rPr>
          <w:sz w:val="16"/>
          <w:szCs w:val="16"/>
        </w:rPr>
        <w:t xml:space="preserve">Andrew Lynch, </w:t>
      </w:r>
      <w:r w:rsidR="00B10300">
        <w:rPr>
          <w:sz w:val="16"/>
          <w:szCs w:val="16"/>
        </w:rPr>
        <w:t>‘</w:t>
      </w:r>
      <w:r>
        <w:rPr>
          <w:sz w:val="16"/>
          <w:szCs w:val="16"/>
        </w:rPr>
        <w:t xml:space="preserve">Malory’s </w:t>
      </w:r>
      <w:proofErr w:type="spellStart"/>
      <w:r>
        <w:rPr>
          <w:sz w:val="16"/>
          <w:szCs w:val="16"/>
        </w:rPr>
        <w:t>Morte</w:t>
      </w:r>
      <w:proofErr w:type="spellEnd"/>
      <w:r>
        <w:rPr>
          <w:sz w:val="16"/>
          <w:szCs w:val="16"/>
        </w:rPr>
        <w:t xml:space="preserve"> </w:t>
      </w:r>
      <w:proofErr w:type="spellStart"/>
      <w:r>
        <w:rPr>
          <w:sz w:val="16"/>
          <w:szCs w:val="16"/>
        </w:rPr>
        <w:t>Darthur</w:t>
      </w:r>
      <w:proofErr w:type="spellEnd"/>
      <w:r>
        <w:rPr>
          <w:sz w:val="16"/>
          <w:szCs w:val="16"/>
        </w:rPr>
        <w:t xml:space="preserve"> and History</w:t>
      </w:r>
      <w:r w:rsidR="00B10300">
        <w:rPr>
          <w:sz w:val="16"/>
          <w:szCs w:val="16"/>
        </w:rPr>
        <w:t>’,</w:t>
      </w:r>
      <w:r>
        <w:rPr>
          <w:sz w:val="16"/>
          <w:szCs w:val="16"/>
        </w:rPr>
        <w:t xml:space="preserve"> in </w:t>
      </w:r>
      <w:r w:rsidRPr="007D4432">
        <w:rPr>
          <w:i/>
          <w:sz w:val="16"/>
          <w:szCs w:val="16"/>
        </w:rPr>
        <w:t>A Companion to Arthurian Literature</w:t>
      </w:r>
      <w:r w:rsidRPr="007D4432">
        <w:rPr>
          <w:sz w:val="16"/>
          <w:szCs w:val="16"/>
        </w:rPr>
        <w:t>, ed. Helen Fulton (Chichester: Wiley-Blackwell, 2009)</w:t>
      </w:r>
      <w:r>
        <w:rPr>
          <w:sz w:val="16"/>
          <w:szCs w:val="16"/>
        </w:rPr>
        <w:t>. p.297</w:t>
      </w:r>
    </w:p>
  </w:footnote>
  <w:footnote w:id="65">
    <w:p w14:paraId="25415622" w14:textId="121E6642" w:rsidR="00823F09" w:rsidRPr="00823F09" w:rsidRDefault="00823F09" w:rsidP="00823F09">
      <w:pPr>
        <w:pStyle w:val="FootnoteText"/>
        <w:rPr>
          <w:sz w:val="16"/>
          <w:szCs w:val="16"/>
        </w:rPr>
      </w:pPr>
      <w:r w:rsidRPr="00823F09">
        <w:rPr>
          <w:rStyle w:val="FootnoteReference"/>
          <w:sz w:val="16"/>
          <w:szCs w:val="16"/>
        </w:rPr>
        <w:footnoteRef/>
      </w:r>
      <w:r w:rsidRPr="00823F09">
        <w:rPr>
          <w:sz w:val="16"/>
          <w:szCs w:val="16"/>
        </w:rPr>
        <w:t xml:space="preserve"> </w:t>
      </w:r>
      <w:r>
        <w:rPr>
          <w:sz w:val="16"/>
          <w:szCs w:val="16"/>
        </w:rPr>
        <w:t xml:space="preserve">Brynley F. Roberts, </w:t>
      </w:r>
      <w:r w:rsidR="00B10300">
        <w:rPr>
          <w:sz w:val="16"/>
          <w:szCs w:val="16"/>
        </w:rPr>
        <w:t>‘</w:t>
      </w:r>
      <w:r>
        <w:rPr>
          <w:sz w:val="16"/>
          <w:szCs w:val="16"/>
        </w:rPr>
        <w:t xml:space="preserve">Geoffrey of Monmouth, Historia Regum Britanniae and Brut Y </w:t>
      </w:r>
      <w:proofErr w:type="spellStart"/>
      <w:r>
        <w:rPr>
          <w:sz w:val="16"/>
          <w:szCs w:val="16"/>
        </w:rPr>
        <w:t>Brenhinedd</w:t>
      </w:r>
      <w:proofErr w:type="spellEnd"/>
      <w:r w:rsidR="00B10300">
        <w:rPr>
          <w:sz w:val="16"/>
          <w:szCs w:val="16"/>
        </w:rPr>
        <w:t>’,</w:t>
      </w:r>
      <w:r>
        <w:rPr>
          <w:sz w:val="16"/>
          <w:szCs w:val="16"/>
        </w:rPr>
        <w:t xml:space="preserve"> in </w:t>
      </w:r>
      <w:r w:rsidRPr="0080181B">
        <w:rPr>
          <w:i/>
          <w:sz w:val="16"/>
          <w:szCs w:val="16"/>
        </w:rPr>
        <w:t>The Arthur of the Welsh: The Arthurian Legend in Medieval Welsh Literature</w:t>
      </w:r>
      <w:r w:rsidRPr="0080181B">
        <w:rPr>
          <w:sz w:val="16"/>
          <w:szCs w:val="16"/>
        </w:rPr>
        <w:t>, eds. Rachel Bromwich, A.O.H. Jarman, Brynley F. Roberts (Cardiff: University of Wales Press, 1991).</w:t>
      </w:r>
      <w:r w:rsidRPr="00216B36">
        <w:rPr>
          <w:sz w:val="16"/>
          <w:szCs w:val="16"/>
        </w:rPr>
        <w:t xml:space="preserve"> </w:t>
      </w:r>
      <w:r>
        <w:rPr>
          <w:sz w:val="16"/>
          <w:szCs w:val="16"/>
        </w:rPr>
        <w:t>p.108</w:t>
      </w:r>
    </w:p>
  </w:footnote>
  <w:footnote w:id="66">
    <w:p w14:paraId="33F2D990" w14:textId="1AAC350E" w:rsidR="007E619E" w:rsidRPr="007E619E" w:rsidRDefault="007E619E" w:rsidP="007E619E">
      <w:pPr>
        <w:pStyle w:val="NormalWeb"/>
        <w:spacing w:before="0" w:beforeAutospacing="0" w:after="0" w:afterAutospacing="0" w:line="216" w:lineRule="auto"/>
        <w:rPr>
          <w:rFonts w:asciiTheme="minorHAnsi" w:hAnsiTheme="minorHAnsi" w:cstheme="minorHAnsi"/>
          <w:sz w:val="16"/>
          <w:szCs w:val="16"/>
        </w:rPr>
      </w:pPr>
      <w:r w:rsidRPr="007E619E">
        <w:rPr>
          <w:rStyle w:val="FootnoteReference"/>
          <w:rFonts w:asciiTheme="minorHAnsi" w:hAnsiTheme="minorHAnsi" w:cstheme="minorHAnsi"/>
          <w:sz w:val="16"/>
          <w:szCs w:val="16"/>
        </w:rPr>
        <w:footnoteRef/>
      </w:r>
      <w:r w:rsidRPr="007E619E">
        <w:rPr>
          <w:rFonts w:asciiTheme="minorHAnsi" w:hAnsiTheme="minorHAnsi" w:cstheme="minorHAnsi"/>
          <w:sz w:val="16"/>
          <w:szCs w:val="16"/>
        </w:rPr>
        <w:t xml:space="preserve"> </w:t>
      </w:r>
      <w:r w:rsidRPr="007E619E">
        <w:rPr>
          <w:rFonts w:asciiTheme="minorHAnsi" w:hAnsiTheme="minorHAnsi" w:cstheme="minorHAnsi"/>
          <w:bCs/>
          <w:color w:val="000000" w:themeColor="text1"/>
          <w:kern w:val="24"/>
          <w:sz w:val="16"/>
          <w:szCs w:val="16"/>
        </w:rPr>
        <w:t xml:space="preserve">Ceridwen Lloyd-Morgan, </w:t>
      </w:r>
      <w:r w:rsidR="00B10300">
        <w:rPr>
          <w:rFonts w:asciiTheme="minorHAnsi" w:hAnsiTheme="minorHAnsi" w:cstheme="minorHAnsi"/>
          <w:bCs/>
          <w:color w:val="000000" w:themeColor="text1"/>
          <w:kern w:val="24"/>
          <w:sz w:val="16"/>
          <w:szCs w:val="16"/>
        </w:rPr>
        <w:t xml:space="preserve">2016. </w:t>
      </w:r>
      <w:r w:rsidRPr="007E619E">
        <w:rPr>
          <w:rFonts w:asciiTheme="minorHAnsi" w:eastAsiaTheme="majorEastAsia" w:hAnsiTheme="minorHAnsi" w:cstheme="minorHAnsi"/>
          <w:bCs/>
          <w:i/>
          <w:iCs/>
          <w:color w:val="000000" w:themeColor="text1"/>
          <w:kern w:val="24"/>
          <w:sz w:val="16"/>
          <w:szCs w:val="16"/>
        </w:rPr>
        <w:t>Evolution and instability:  Reading Welsh Arthurian literature</w:t>
      </w:r>
      <w:r w:rsidR="00B10300">
        <w:rPr>
          <w:rFonts w:asciiTheme="minorHAnsi" w:eastAsiaTheme="majorEastAsia" w:hAnsiTheme="minorHAnsi" w:cstheme="minorHAnsi"/>
          <w:bCs/>
          <w:i/>
          <w:iCs/>
          <w:color w:val="000000" w:themeColor="text1"/>
          <w:kern w:val="24"/>
          <w:sz w:val="16"/>
          <w:szCs w:val="16"/>
        </w:rPr>
        <w:t>.</w:t>
      </w:r>
    </w:p>
    <w:p w14:paraId="7484A1FD" w14:textId="0D63424A" w:rsidR="007E619E" w:rsidRDefault="007E619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5862895"/>
      <w:docPartObj>
        <w:docPartGallery w:val="Page Numbers (Top of Page)"/>
        <w:docPartUnique/>
      </w:docPartObj>
    </w:sdtPr>
    <w:sdtEndPr>
      <w:rPr>
        <w:rStyle w:val="PageNumber"/>
      </w:rPr>
    </w:sdtEndPr>
    <w:sdtContent>
      <w:p w14:paraId="730FDF2F" w14:textId="77777777" w:rsidR="00736BF4" w:rsidRDefault="00085DE5" w:rsidP="00164D9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F1F194" w14:textId="77777777" w:rsidR="00736BF4" w:rsidRDefault="00B80B9B" w:rsidP="00736BF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9376092"/>
      <w:docPartObj>
        <w:docPartGallery w:val="Page Numbers (Top of Page)"/>
        <w:docPartUnique/>
      </w:docPartObj>
    </w:sdtPr>
    <w:sdtEndPr>
      <w:rPr>
        <w:rStyle w:val="PageNumber"/>
      </w:rPr>
    </w:sdtEndPr>
    <w:sdtContent>
      <w:p w14:paraId="3A142667" w14:textId="39950EF9" w:rsidR="008A58B3" w:rsidRDefault="008A58B3" w:rsidP="00164D9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967FD53" w14:textId="77777777" w:rsidR="00736BF4" w:rsidRDefault="00B80B9B" w:rsidP="00736BF4">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64"/>
    <w:rsid w:val="0001436E"/>
    <w:rsid w:val="00016A21"/>
    <w:rsid w:val="00026063"/>
    <w:rsid w:val="000279B7"/>
    <w:rsid w:val="00031402"/>
    <w:rsid w:val="00035813"/>
    <w:rsid w:val="00037C73"/>
    <w:rsid w:val="00067BA4"/>
    <w:rsid w:val="000765F0"/>
    <w:rsid w:val="00084C13"/>
    <w:rsid w:val="00085DE5"/>
    <w:rsid w:val="000957C4"/>
    <w:rsid w:val="000A14D6"/>
    <w:rsid w:val="000A270A"/>
    <w:rsid w:val="000A7C93"/>
    <w:rsid w:val="000B0957"/>
    <w:rsid w:val="000B2966"/>
    <w:rsid w:val="000B31C7"/>
    <w:rsid w:val="000D584F"/>
    <w:rsid w:val="000E25A7"/>
    <w:rsid w:val="000E2750"/>
    <w:rsid w:val="000E4398"/>
    <w:rsid w:val="000E7E9D"/>
    <w:rsid w:val="000F2597"/>
    <w:rsid w:val="000F399C"/>
    <w:rsid w:val="000F7A47"/>
    <w:rsid w:val="001064B5"/>
    <w:rsid w:val="00106EBB"/>
    <w:rsid w:val="00115BD7"/>
    <w:rsid w:val="001200CE"/>
    <w:rsid w:val="00120A64"/>
    <w:rsid w:val="00134914"/>
    <w:rsid w:val="00141353"/>
    <w:rsid w:val="001442F0"/>
    <w:rsid w:val="00145A9C"/>
    <w:rsid w:val="001554B2"/>
    <w:rsid w:val="00155C2D"/>
    <w:rsid w:val="00157061"/>
    <w:rsid w:val="001605D0"/>
    <w:rsid w:val="00162F95"/>
    <w:rsid w:val="00164420"/>
    <w:rsid w:val="00164D95"/>
    <w:rsid w:val="001701CD"/>
    <w:rsid w:val="0017484D"/>
    <w:rsid w:val="001A0347"/>
    <w:rsid w:val="001B412B"/>
    <w:rsid w:val="001C0657"/>
    <w:rsid w:val="001C0B81"/>
    <w:rsid w:val="001D324F"/>
    <w:rsid w:val="001D7774"/>
    <w:rsid w:val="001E747D"/>
    <w:rsid w:val="001E7A7D"/>
    <w:rsid w:val="001F3ADC"/>
    <w:rsid w:val="001F3E92"/>
    <w:rsid w:val="00205CBF"/>
    <w:rsid w:val="00205E9C"/>
    <w:rsid w:val="00206B1A"/>
    <w:rsid w:val="002132ED"/>
    <w:rsid w:val="002156A4"/>
    <w:rsid w:val="00240100"/>
    <w:rsid w:val="00247AA8"/>
    <w:rsid w:val="00251B86"/>
    <w:rsid w:val="002523D8"/>
    <w:rsid w:val="00255D5D"/>
    <w:rsid w:val="0025701F"/>
    <w:rsid w:val="00257591"/>
    <w:rsid w:val="0026183A"/>
    <w:rsid w:val="002619D2"/>
    <w:rsid w:val="00264905"/>
    <w:rsid w:val="00270E39"/>
    <w:rsid w:val="00281421"/>
    <w:rsid w:val="00283009"/>
    <w:rsid w:val="0029319B"/>
    <w:rsid w:val="00295BE8"/>
    <w:rsid w:val="002A02EE"/>
    <w:rsid w:val="002A1620"/>
    <w:rsid w:val="002A5CE9"/>
    <w:rsid w:val="002C6726"/>
    <w:rsid w:val="002D02B8"/>
    <w:rsid w:val="002E0EFD"/>
    <w:rsid w:val="002E5578"/>
    <w:rsid w:val="002F1E7C"/>
    <w:rsid w:val="002F62C4"/>
    <w:rsid w:val="003014CD"/>
    <w:rsid w:val="00301540"/>
    <w:rsid w:val="00306268"/>
    <w:rsid w:val="0033422B"/>
    <w:rsid w:val="003349C2"/>
    <w:rsid w:val="00336FF8"/>
    <w:rsid w:val="00337E2A"/>
    <w:rsid w:val="00340E81"/>
    <w:rsid w:val="003462B0"/>
    <w:rsid w:val="00347B5A"/>
    <w:rsid w:val="00347CE7"/>
    <w:rsid w:val="0035183D"/>
    <w:rsid w:val="003613CA"/>
    <w:rsid w:val="0036599F"/>
    <w:rsid w:val="003719E3"/>
    <w:rsid w:val="00381606"/>
    <w:rsid w:val="00381E1D"/>
    <w:rsid w:val="00384F78"/>
    <w:rsid w:val="0039465B"/>
    <w:rsid w:val="0039652A"/>
    <w:rsid w:val="003975B5"/>
    <w:rsid w:val="003C5B11"/>
    <w:rsid w:val="003D1617"/>
    <w:rsid w:val="003D5798"/>
    <w:rsid w:val="003E2375"/>
    <w:rsid w:val="003F5F79"/>
    <w:rsid w:val="00404C2D"/>
    <w:rsid w:val="00405ECE"/>
    <w:rsid w:val="004061FA"/>
    <w:rsid w:val="00411E0C"/>
    <w:rsid w:val="00414799"/>
    <w:rsid w:val="00415A03"/>
    <w:rsid w:val="00436F1B"/>
    <w:rsid w:val="00437C1F"/>
    <w:rsid w:val="004454CB"/>
    <w:rsid w:val="00450A2A"/>
    <w:rsid w:val="00465B39"/>
    <w:rsid w:val="00467AB6"/>
    <w:rsid w:val="004751CD"/>
    <w:rsid w:val="00477CCF"/>
    <w:rsid w:val="00485514"/>
    <w:rsid w:val="00492837"/>
    <w:rsid w:val="004A2B7C"/>
    <w:rsid w:val="004A2D25"/>
    <w:rsid w:val="004B1A68"/>
    <w:rsid w:val="004B2969"/>
    <w:rsid w:val="004B30D7"/>
    <w:rsid w:val="004B33EC"/>
    <w:rsid w:val="004C385E"/>
    <w:rsid w:val="004D0446"/>
    <w:rsid w:val="004F1684"/>
    <w:rsid w:val="004F3361"/>
    <w:rsid w:val="005042F6"/>
    <w:rsid w:val="00511B26"/>
    <w:rsid w:val="00512158"/>
    <w:rsid w:val="005170AF"/>
    <w:rsid w:val="0052452B"/>
    <w:rsid w:val="0053268B"/>
    <w:rsid w:val="00535E91"/>
    <w:rsid w:val="005363A8"/>
    <w:rsid w:val="00546746"/>
    <w:rsid w:val="00551477"/>
    <w:rsid w:val="00554765"/>
    <w:rsid w:val="00554D0A"/>
    <w:rsid w:val="00557687"/>
    <w:rsid w:val="0057712C"/>
    <w:rsid w:val="00577410"/>
    <w:rsid w:val="005A058B"/>
    <w:rsid w:val="005A68FF"/>
    <w:rsid w:val="005C74B7"/>
    <w:rsid w:val="005D3B5D"/>
    <w:rsid w:val="005D40B8"/>
    <w:rsid w:val="005D568B"/>
    <w:rsid w:val="005D6839"/>
    <w:rsid w:val="005D690F"/>
    <w:rsid w:val="005E5BD5"/>
    <w:rsid w:val="006011DA"/>
    <w:rsid w:val="00601AE2"/>
    <w:rsid w:val="0060665E"/>
    <w:rsid w:val="00611434"/>
    <w:rsid w:val="006117AB"/>
    <w:rsid w:val="00630161"/>
    <w:rsid w:val="00645F56"/>
    <w:rsid w:val="00665722"/>
    <w:rsid w:val="00680A77"/>
    <w:rsid w:val="00682B26"/>
    <w:rsid w:val="006850FB"/>
    <w:rsid w:val="00687502"/>
    <w:rsid w:val="0069099D"/>
    <w:rsid w:val="00692633"/>
    <w:rsid w:val="00693812"/>
    <w:rsid w:val="0069675C"/>
    <w:rsid w:val="00697443"/>
    <w:rsid w:val="006A1900"/>
    <w:rsid w:val="006A20F5"/>
    <w:rsid w:val="006A6B26"/>
    <w:rsid w:val="006B39DB"/>
    <w:rsid w:val="006B5A45"/>
    <w:rsid w:val="006D3B8D"/>
    <w:rsid w:val="006D46EF"/>
    <w:rsid w:val="006D6DF2"/>
    <w:rsid w:val="006E2FC7"/>
    <w:rsid w:val="006E40C1"/>
    <w:rsid w:val="006E54FC"/>
    <w:rsid w:val="006F0894"/>
    <w:rsid w:val="006F0E1C"/>
    <w:rsid w:val="007146E9"/>
    <w:rsid w:val="007324EB"/>
    <w:rsid w:val="0073501A"/>
    <w:rsid w:val="00740F9D"/>
    <w:rsid w:val="00751A57"/>
    <w:rsid w:val="00754DC2"/>
    <w:rsid w:val="00764C76"/>
    <w:rsid w:val="0076714E"/>
    <w:rsid w:val="007729E7"/>
    <w:rsid w:val="007758AF"/>
    <w:rsid w:val="00777343"/>
    <w:rsid w:val="0078411F"/>
    <w:rsid w:val="00793FB2"/>
    <w:rsid w:val="00797C96"/>
    <w:rsid w:val="007A0FF6"/>
    <w:rsid w:val="007A400E"/>
    <w:rsid w:val="007A51DC"/>
    <w:rsid w:val="007B17F4"/>
    <w:rsid w:val="007B35E0"/>
    <w:rsid w:val="007B517E"/>
    <w:rsid w:val="007C4021"/>
    <w:rsid w:val="007D73F6"/>
    <w:rsid w:val="007E00BC"/>
    <w:rsid w:val="007E619E"/>
    <w:rsid w:val="007E7007"/>
    <w:rsid w:val="007E7115"/>
    <w:rsid w:val="007F1119"/>
    <w:rsid w:val="007F311B"/>
    <w:rsid w:val="00800375"/>
    <w:rsid w:val="0080352A"/>
    <w:rsid w:val="008047B8"/>
    <w:rsid w:val="00806ADE"/>
    <w:rsid w:val="0080785B"/>
    <w:rsid w:val="008109FF"/>
    <w:rsid w:val="00823F09"/>
    <w:rsid w:val="00846205"/>
    <w:rsid w:val="00850D24"/>
    <w:rsid w:val="00851ACC"/>
    <w:rsid w:val="00851C2C"/>
    <w:rsid w:val="00857768"/>
    <w:rsid w:val="008773CE"/>
    <w:rsid w:val="00881515"/>
    <w:rsid w:val="0089559D"/>
    <w:rsid w:val="008A2BF9"/>
    <w:rsid w:val="008A58B3"/>
    <w:rsid w:val="008C486B"/>
    <w:rsid w:val="008D2A0C"/>
    <w:rsid w:val="008E6DF5"/>
    <w:rsid w:val="008E700E"/>
    <w:rsid w:val="008F5604"/>
    <w:rsid w:val="008F6BD7"/>
    <w:rsid w:val="009005A2"/>
    <w:rsid w:val="009059C0"/>
    <w:rsid w:val="00907AB3"/>
    <w:rsid w:val="00912289"/>
    <w:rsid w:val="00912FA5"/>
    <w:rsid w:val="0091313A"/>
    <w:rsid w:val="00922C0F"/>
    <w:rsid w:val="00930DA1"/>
    <w:rsid w:val="00932059"/>
    <w:rsid w:val="00933503"/>
    <w:rsid w:val="0093566A"/>
    <w:rsid w:val="009368B1"/>
    <w:rsid w:val="00946798"/>
    <w:rsid w:val="00951F8F"/>
    <w:rsid w:val="0095698B"/>
    <w:rsid w:val="00962A1F"/>
    <w:rsid w:val="00966A79"/>
    <w:rsid w:val="00970685"/>
    <w:rsid w:val="009750CB"/>
    <w:rsid w:val="00975AB6"/>
    <w:rsid w:val="0099254E"/>
    <w:rsid w:val="00996619"/>
    <w:rsid w:val="009A2D04"/>
    <w:rsid w:val="009B0217"/>
    <w:rsid w:val="009B698B"/>
    <w:rsid w:val="009D6703"/>
    <w:rsid w:val="009E57F3"/>
    <w:rsid w:val="009E5EA1"/>
    <w:rsid w:val="009F4F08"/>
    <w:rsid w:val="00A039BC"/>
    <w:rsid w:val="00A04EA5"/>
    <w:rsid w:val="00A12E85"/>
    <w:rsid w:val="00A15198"/>
    <w:rsid w:val="00A175AE"/>
    <w:rsid w:val="00A222C2"/>
    <w:rsid w:val="00A23B4D"/>
    <w:rsid w:val="00A265B4"/>
    <w:rsid w:val="00A4095A"/>
    <w:rsid w:val="00A613B2"/>
    <w:rsid w:val="00A70AF2"/>
    <w:rsid w:val="00A717F1"/>
    <w:rsid w:val="00A75852"/>
    <w:rsid w:val="00A8210F"/>
    <w:rsid w:val="00A91D79"/>
    <w:rsid w:val="00AA0AA8"/>
    <w:rsid w:val="00AC3C61"/>
    <w:rsid w:val="00AD13B4"/>
    <w:rsid w:val="00AF398A"/>
    <w:rsid w:val="00B00331"/>
    <w:rsid w:val="00B007F3"/>
    <w:rsid w:val="00B10300"/>
    <w:rsid w:val="00B120AF"/>
    <w:rsid w:val="00B232F3"/>
    <w:rsid w:val="00B31D8F"/>
    <w:rsid w:val="00B36BBA"/>
    <w:rsid w:val="00B36C79"/>
    <w:rsid w:val="00B3789E"/>
    <w:rsid w:val="00B4187D"/>
    <w:rsid w:val="00B45214"/>
    <w:rsid w:val="00B46C5E"/>
    <w:rsid w:val="00B51ADB"/>
    <w:rsid w:val="00B70690"/>
    <w:rsid w:val="00B73B18"/>
    <w:rsid w:val="00B80B9B"/>
    <w:rsid w:val="00B84415"/>
    <w:rsid w:val="00B85E49"/>
    <w:rsid w:val="00B8728C"/>
    <w:rsid w:val="00B92DA5"/>
    <w:rsid w:val="00B96EB8"/>
    <w:rsid w:val="00BB47CC"/>
    <w:rsid w:val="00BD43DB"/>
    <w:rsid w:val="00BD5C39"/>
    <w:rsid w:val="00BE5AA2"/>
    <w:rsid w:val="00BF07F2"/>
    <w:rsid w:val="00C004E8"/>
    <w:rsid w:val="00C00B8E"/>
    <w:rsid w:val="00C01BDB"/>
    <w:rsid w:val="00C0788C"/>
    <w:rsid w:val="00C10EC7"/>
    <w:rsid w:val="00C1754A"/>
    <w:rsid w:val="00C2167C"/>
    <w:rsid w:val="00C2252D"/>
    <w:rsid w:val="00C2288E"/>
    <w:rsid w:val="00C247E8"/>
    <w:rsid w:val="00C35D5C"/>
    <w:rsid w:val="00C37233"/>
    <w:rsid w:val="00C4483B"/>
    <w:rsid w:val="00C44AB3"/>
    <w:rsid w:val="00C525CB"/>
    <w:rsid w:val="00C547C2"/>
    <w:rsid w:val="00C55588"/>
    <w:rsid w:val="00C633FC"/>
    <w:rsid w:val="00C67C00"/>
    <w:rsid w:val="00C77448"/>
    <w:rsid w:val="00C85DC4"/>
    <w:rsid w:val="00C86AE1"/>
    <w:rsid w:val="00C92508"/>
    <w:rsid w:val="00C93239"/>
    <w:rsid w:val="00C95952"/>
    <w:rsid w:val="00C95E28"/>
    <w:rsid w:val="00CA200D"/>
    <w:rsid w:val="00CA414C"/>
    <w:rsid w:val="00CA55A3"/>
    <w:rsid w:val="00CA7D26"/>
    <w:rsid w:val="00CB30F3"/>
    <w:rsid w:val="00CD0029"/>
    <w:rsid w:val="00CE274E"/>
    <w:rsid w:val="00CF747A"/>
    <w:rsid w:val="00CF7600"/>
    <w:rsid w:val="00D00810"/>
    <w:rsid w:val="00D14D17"/>
    <w:rsid w:val="00D16238"/>
    <w:rsid w:val="00D20AB8"/>
    <w:rsid w:val="00D25791"/>
    <w:rsid w:val="00D35472"/>
    <w:rsid w:val="00D364C9"/>
    <w:rsid w:val="00D4561E"/>
    <w:rsid w:val="00D53F7C"/>
    <w:rsid w:val="00D55BA8"/>
    <w:rsid w:val="00D610B0"/>
    <w:rsid w:val="00D72B51"/>
    <w:rsid w:val="00D87483"/>
    <w:rsid w:val="00D87AFF"/>
    <w:rsid w:val="00DA316E"/>
    <w:rsid w:val="00DA4D19"/>
    <w:rsid w:val="00DC2BC8"/>
    <w:rsid w:val="00DC76ED"/>
    <w:rsid w:val="00DE6F2B"/>
    <w:rsid w:val="00E0666D"/>
    <w:rsid w:val="00E0795B"/>
    <w:rsid w:val="00E11DCA"/>
    <w:rsid w:val="00E17340"/>
    <w:rsid w:val="00E2548B"/>
    <w:rsid w:val="00E26CC0"/>
    <w:rsid w:val="00E33114"/>
    <w:rsid w:val="00E401DB"/>
    <w:rsid w:val="00E41F03"/>
    <w:rsid w:val="00E530D5"/>
    <w:rsid w:val="00E53D61"/>
    <w:rsid w:val="00E562C4"/>
    <w:rsid w:val="00E6432E"/>
    <w:rsid w:val="00E64400"/>
    <w:rsid w:val="00E6736F"/>
    <w:rsid w:val="00E70B2C"/>
    <w:rsid w:val="00E769B0"/>
    <w:rsid w:val="00E80D82"/>
    <w:rsid w:val="00E82C95"/>
    <w:rsid w:val="00E91F31"/>
    <w:rsid w:val="00EB51AD"/>
    <w:rsid w:val="00EB67E0"/>
    <w:rsid w:val="00EC580D"/>
    <w:rsid w:val="00ED0836"/>
    <w:rsid w:val="00ED3956"/>
    <w:rsid w:val="00EE2D5A"/>
    <w:rsid w:val="00EE3119"/>
    <w:rsid w:val="00EE5679"/>
    <w:rsid w:val="00EE6688"/>
    <w:rsid w:val="00EF0800"/>
    <w:rsid w:val="00EF39C8"/>
    <w:rsid w:val="00EF4C4F"/>
    <w:rsid w:val="00EF65F3"/>
    <w:rsid w:val="00F00779"/>
    <w:rsid w:val="00F2227D"/>
    <w:rsid w:val="00F34228"/>
    <w:rsid w:val="00F37C1D"/>
    <w:rsid w:val="00F45E9E"/>
    <w:rsid w:val="00F504C0"/>
    <w:rsid w:val="00F51CEC"/>
    <w:rsid w:val="00F6026A"/>
    <w:rsid w:val="00F60EEF"/>
    <w:rsid w:val="00F61313"/>
    <w:rsid w:val="00F65AD7"/>
    <w:rsid w:val="00F667E2"/>
    <w:rsid w:val="00F76AD2"/>
    <w:rsid w:val="00F864A6"/>
    <w:rsid w:val="00F90AE5"/>
    <w:rsid w:val="00F9121A"/>
    <w:rsid w:val="00F938D9"/>
    <w:rsid w:val="00F943B5"/>
    <w:rsid w:val="00F95920"/>
    <w:rsid w:val="00F976B5"/>
    <w:rsid w:val="00FA4C3F"/>
    <w:rsid w:val="00FB155C"/>
    <w:rsid w:val="00FC5544"/>
    <w:rsid w:val="00FC7DA7"/>
    <w:rsid w:val="00FD1EA6"/>
    <w:rsid w:val="00FD20DD"/>
    <w:rsid w:val="00FE2BF6"/>
    <w:rsid w:val="00FF424C"/>
    <w:rsid w:val="00FF7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BE881"/>
  <w14:defaultImageDpi w14:val="32767"/>
  <w15:chartTrackingRefBased/>
  <w15:docId w15:val="{38FF491A-D654-C04E-BBE0-EC4D8B161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0A64"/>
  </w:style>
  <w:style w:type="paragraph" w:styleId="Heading1">
    <w:name w:val="heading 1"/>
    <w:basedOn w:val="Normal"/>
    <w:next w:val="Normal"/>
    <w:link w:val="Heading1Char"/>
    <w:uiPriority w:val="9"/>
    <w:qFormat/>
    <w:rsid w:val="00C247E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next w:val="Normal"/>
    <w:link w:val="Heading3Char"/>
    <w:uiPriority w:val="9"/>
    <w:semiHidden/>
    <w:unhideWhenUsed/>
    <w:qFormat/>
    <w:rsid w:val="00AF398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20A64"/>
    <w:rPr>
      <w:sz w:val="20"/>
      <w:szCs w:val="20"/>
    </w:rPr>
  </w:style>
  <w:style w:type="character" w:customStyle="1" w:styleId="FootnoteTextChar">
    <w:name w:val="Footnote Text Char"/>
    <w:basedOn w:val="DefaultParagraphFont"/>
    <w:link w:val="FootnoteText"/>
    <w:uiPriority w:val="99"/>
    <w:semiHidden/>
    <w:rsid w:val="00120A64"/>
    <w:rPr>
      <w:sz w:val="20"/>
      <w:szCs w:val="20"/>
    </w:rPr>
  </w:style>
  <w:style w:type="character" w:styleId="FootnoteReference">
    <w:name w:val="footnote reference"/>
    <w:basedOn w:val="DefaultParagraphFont"/>
    <w:uiPriority w:val="99"/>
    <w:semiHidden/>
    <w:unhideWhenUsed/>
    <w:rsid w:val="00120A64"/>
    <w:rPr>
      <w:vertAlign w:val="superscript"/>
    </w:rPr>
  </w:style>
  <w:style w:type="character" w:styleId="Hyperlink">
    <w:name w:val="Hyperlink"/>
    <w:basedOn w:val="DefaultParagraphFont"/>
    <w:uiPriority w:val="99"/>
    <w:unhideWhenUsed/>
    <w:rsid w:val="00120A64"/>
    <w:rPr>
      <w:color w:val="0563C1" w:themeColor="hyperlink"/>
      <w:u w:val="single"/>
    </w:rPr>
  </w:style>
  <w:style w:type="paragraph" w:styleId="Header">
    <w:name w:val="header"/>
    <w:basedOn w:val="Normal"/>
    <w:link w:val="HeaderChar"/>
    <w:uiPriority w:val="99"/>
    <w:unhideWhenUsed/>
    <w:rsid w:val="00120A64"/>
    <w:pPr>
      <w:tabs>
        <w:tab w:val="center" w:pos="4680"/>
        <w:tab w:val="right" w:pos="9360"/>
      </w:tabs>
    </w:pPr>
  </w:style>
  <w:style w:type="character" w:customStyle="1" w:styleId="HeaderChar">
    <w:name w:val="Header Char"/>
    <w:basedOn w:val="DefaultParagraphFont"/>
    <w:link w:val="Header"/>
    <w:uiPriority w:val="99"/>
    <w:rsid w:val="00120A64"/>
  </w:style>
  <w:style w:type="character" w:styleId="PageNumber">
    <w:name w:val="page number"/>
    <w:basedOn w:val="DefaultParagraphFont"/>
    <w:uiPriority w:val="99"/>
    <w:semiHidden/>
    <w:unhideWhenUsed/>
    <w:rsid w:val="00120A64"/>
  </w:style>
  <w:style w:type="character" w:styleId="CommentReference">
    <w:name w:val="annotation reference"/>
    <w:basedOn w:val="DefaultParagraphFont"/>
    <w:uiPriority w:val="99"/>
    <w:semiHidden/>
    <w:unhideWhenUsed/>
    <w:rsid w:val="00120A64"/>
    <w:rPr>
      <w:sz w:val="16"/>
      <w:szCs w:val="16"/>
    </w:rPr>
  </w:style>
  <w:style w:type="paragraph" w:styleId="CommentText">
    <w:name w:val="annotation text"/>
    <w:basedOn w:val="Normal"/>
    <w:link w:val="CommentTextChar"/>
    <w:uiPriority w:val="99"/>
    <w:semiHidden/>
    <w:unhideWhenUsed/>
    <w:rsid w:val="00120A64"/>
    <w:rPr>
      <w:sz w:val="20"/>
      <w:szCs w:val="20"/>
    </w:rPr>
  </w:style>
  <w:style w:type="character" w:customStyle="1" w:styleId="CommentTextChar">
    <w:name w:val="Comment Text Char"/>
    <w:basedOn w:val="DefaultParagraphFont"/>
    <w:link w:val="CommentText"/>
    <w:uiPriority w:val="99"/>
    <w:semiHidden/>
    <w:rsid w:val="00120A64"/>
    <w:rPr>
      <w:sz w:val="20"/>
      <w:szCs w:val="20"/>
    </w:rPr>
  </w:style>
  <w:style w:type="paragraph" w:styleId="CommentSubject">
    <w:name w:val="annotation subject"/>
    <w:basedOn w:val="CommentText"/>
    <w:next w:val="CommentText"/>
    <w:link w:val="CommentSubjectChar"/>
    <w:uiPriority w:val="99"/>
    <w:semiHidden/>
    <w:unhideWhenUsed/>
    <w:rsid w:val="00120A64"/>
    <w:rPr>
      <w:b/>
      <w:bCs/>
    </w:rPr>
  </w:style>
  <w:style w:type="character" w:customStyle="1" w:styleId="CommentSubjectChar">
    <w:name w:val="Comment Subject Char"/>
    <w:basedOn w:val="CommentTextChar"/>
    <w:link w:val="CommentSubject"/>
    <w:uiPriority w:val="99"/>
    <w:semiHidden/>
    <w:rsid w:val="00120A64"/>
    <w:rPr>
      <w:b/>
      <w:bCs/>
      <w:sz w:val="20"/>
      <w:szCs w:val="20"/>
    </w:rPr>
  </w:style>
  <w:style w:type="paragraph" w:styleId="BalloonText">
    <w:name w:val="Balloon Text"/>
    <w:basedOn w:val="Normal"/>
    <w:link w:val="BalloonTextChar"/>
    <w:uiPriority w:val="99"/>
    <w:semiHidden/>
    <w:unhideWhenUsed/>
    <w:rsid w:val="00120A6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20A64"/>
    <w:rPr>
      <w:rFonts w:ascii="Times New Roman" w:hAnsi="Times New Roman" w:cs="Times New Roman"/>
      <w:sz w:val="18"/>
      <w:szCs w:val="18"/>
    </w:rPr>
  </w:style>
  <w:style w:type="character" w:customStyle="1" w:styleId="Heading1Char">
    <w:name w:val="Heading 1 Char"/>
    <w:basedOn w:val="DefaultParagraphFont"/>
    <w:link w:val="Heading1"/>
    <w:uiPriority w:val="9"/>
    <w:rsid w:val="00C247E8"/>
    <w:rPr>
      <w:rFonts w:asciiTheme="majorHAnsi" w:eastAsiaTheme="majorEastAsia" w:hAnsiTheme="majorHAnsi" w:cstheme="majorBidi"/>
      <w:b/>
      <w:bCs/>
      <w:color w:val="2F5496" w:themeColor="accent1" w:themeShade="BF"/>
      <w:sz w:val="28"/>
      <w:szCs w:val="28"/>
      <w:lang w:val="en-US" w:bidi="en-US"/>
    </w:rPr>
  </w:style>
  <w:style w:type="character" w:customStyle="1" w:styleId="Heading3Char">
    <w:name w:val="Heading 3 Char"/>
    <w:basedOn w:val="DefaultParagraphFont"/>
    <w:link w:val="Heading3"/>
    <w:uiPriority w:val="9"/>
    <w:semiHidden/>
    <w:rsid w:val="00AF398A"/>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rsid w:val="00AF398A"/>
    <w:pPr>
      <w:spacing w:before="100" w:beforeAutospacing="1" w:after="100" w:afterAutospacing="1"/>
    </w:pPr>
    <w:rPr>
      <w:rFonts w:ascii="Georgia" w:eastAsia="SimSun" w:hAnsi="Georgia" w:cs="Times New Roman"/>
      <w:noProof/>
      <w:color w:val="000000"/>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rcebooks.fordham.edu/basis/1150-Caradoc-LifeofGildas.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rthuriana.co.uk/historicity/arthur.htm%20accessed%2026/10/201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arthuriana.co.uk/historicity/arthur.htm%20accessed%2026/10/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4DED7-D27E-9C4C-A7E7-94A7E2970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3204</TotalTime>
  <Pages>19</Pages>
  <Words>4435</Words>
  <Characters>25283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Ewart (1502444)</dc:creator>
  <cp:keywords/>
  <dc:description/>
  <cp:lastModifiedBy>Douglas Ewart (1502444)</cp:lastModifiedBy>
  <cp:revision>95</cp:revision>
  <cp:lastPrinted>2019-01-01T11:56:00Z</cp:lastPrinted>
  <dcterms:created xsi:type="dcterms:W3CDTF">2018-12-01T11:23:00Z</dcterms:created>
  <dcterms:modified xsi:type="dcterms:W3CDTF">2019-01-02T15:14:00Z</dcterms:modified>
</cp:coreProperties>
</file>