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1AA49" w14:textId="77777777" w:rsidR="00570C6E" w:rsidRPr="00A85BFE" w:rsidRDefault="00570C6E" w:rsidP="00570C6E">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zh-TW"/>
        </w:rPr>
        <w:drawing>
          <wp:anchor distT="0" distB="0" distL="114300" distR="114300" simplePos="0" relativeHeight="251659264" behindDoc="0" locked="0" layoutInCell="1" allowOverlap="1" wp14:anchorId="7C6DFA87" wp14:editId="22310BD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3FEE8ADC" w14:textId="77777777" w:rsidR="00570C6E" w:rsidRPr="00A406E5" w:rsidRDefault="00570C6E" w:rsidP="00570C6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70C6E" w:rsidRPr="00A406E5" w14:paraId="0CE4674C" w14:textId="77777777" w:rsidTr="00420AAE">
        <w:tc>
          <w:tcPr>
            <w:tcW w:w="9922" w:type="dxa"/>
            <w:shd w:val="clear" w:color="auto" w:fill="C0C0C0"/>
          </w:tcPr>
          <w:p w14:paraId="3D51F9AE" w14:textId="77777777" w:rsidR="00570C6E" w:rsidRPr="00A406E5" w:rsidRDefault="00570C6E" w:rsidP="00420AAE">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15B9558" w14:textId="77777777" w:rsidR="00570C6E" w:rsidRPr="00A406E5" w:rsidRDefault="00570C6E" w:rsidP="00570C6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70C6E" w:rsidRPr="00A406E5" w14:paraId="7238B653" w14:textId="77777777" w:rsidTr="00420AAE">
        <w:tc>
          <w:tcPr>
            <w:tcW w:w="2093" w:type="dxa"/>
            <w:shd w:val="pct15" w:color="auto" w:fill="auto"/>
          </w:tcPr>
          <w:p w14:paraId="217D166E" w14:textId="77777777" w:rsidR="00570C6E" w:rsidRPr="00A406E5" w:rsidRDefault="00570C6E" w:rsidP="00420AAE">
            <w:pPr>
              <w:spacing w:before="120" w:after="120"/>
              <w:jc w:val="both"/>
              <w:rPr>
                <w:rFonts w:ascii="Arial" w:hAnsi="Arial" w:cs="Arial"/>
                <w:b/>
              </w:rPr>
            </w:pPr>
            <w:r w:rsidRPr="00A406E5">
              <w:rPr>
                <w:rFonts w:ascii="Arial" w:hAnsi="Arial" w:cs="Arial"/>
                <w:b/>
              </w:rPr>
              <w:t>Student name:</w:t>
            </w:r>
          </w:p>
        </w:tc>
        <w:tc>
          <w:tcPr>
            <w:tcW w:w="3293" w:type="dxa"/>
          </w:tcPr>
          <w:p w14:paraId="56D23C0C" w14:textId="5F2E1482" w:rsidR="00570C6E" w:rsidRPr="00A406E5" w:rsidRDefault="00570C6E" w:rsidP="00420AAE">
            <w:pPr>
              <w:spacing w:before="120" w:after="120"/>
              <w:jc w:val="both"/>
              <w:rPr>
                <w:rFonts w:ascii="Arial" w:hAnsi="Arial" w:cs="Arial"/>
                <w:b/>
              </w:rPr>
            </w:pPr>
            <w:r>
              <w:rPr>
                <w:rFonts w:ascii="Arial" w:hAnsi="Arial" w:cs="Arial"/>
                <w:b/>
              </w:rPr>
              <w:t>Chan Kwok On Clive</w:t>
            </w:r>
          </w:p>
        </w:tc>
        <w:tc>
          <w:tcPr>
            <w:tcW w:w="2268" w:type="dxa"/>
            <w:shd w:val="clear" w:color="auto" w:fill="D9D9D9"/>
          </w:tcPr>
          <w:p w14:paraId="5A567A24" w14:textId="77777777" w:rsidR="00570C6E" w:rsidRPr="00A406E5" w:rsidRDefault="00570C6E" w:rsidP="00420AAE">
            <w:pPr>
              <w:spacing w:before="120" w:after="120"/>
              <w:jc w:val="both"/>
              <w:rPr>
                <w:rFonts w:ascii="Arial" w:hAnsi="Arial" w:cs="Arial"/>
                <w:b/>
              </w:rPr>
            </w:pPr>
            <w:r w:rsidRPr="00A406E5">
              <w:rPr>
                <w:rFonts w:ascii="Arial" w:hAnsi="Arial" w:cs="Arial"/>
                <w:b/>
              </w:rPr>
              <w:t>Student ID number:</w:t>
            </w:r>
          </w:p>
        </w:tc>
        <w:tc>
          <w:tcPr>
            <w:tcW w:w="2268" w:type="dxa"/>
          </w:tcPr>
          <w:p w14:paraId="4298927E" w14:textId="77777777" w:rsidR="00570C6E" w:rsidRPr="00A406E5" w:rsidRDefault="00570C6E" w:rsidP="00420AAE">
            <w:pPr>
              <w:spacing w:before="120" w:after="120"/>
              <w:jc w:val="both"/>
              <w:rPr>
                <w:rFonts w:ascii="Arial" w:hAnsi="Arial" w:cs="Arial"/>
                <w:b/>
              </w:rPr>
            </w:pPr>
          </w:p>
        </w:tc>
      </w:tr>
      <w:tr w:rsidR="00570C6E" w:rsidRPr="00A406E5" w14:paraId="0748960C" w14:textId="77777777" w:rsidTr="00420AAE">
        <w:tc>
          <w:tcPr>
            <w:tcW w:w="2093" w:type="dxa"/>
            <w:shd w:val="pct15" w:color="auto" w:fill="auto"/>
          </w:tcPr>
          <w:p w14:paraId="04B78418" w14:textId="77777777" w:rsidR="00570C6E" w:rsidRPr="00A406E5" w:rsidRDefault="00570C6E" w:rsidP="00420AAE">
            <w:pPr>
              <w:spacing w:before="120" w:after="120"/>
              <w:jc w:val="both"/>
              <w:rPr>
                <w:rFonts w:ascii="Arial" w:hAnsi="Arial" w:cs="Arial"/>
                <w:b/>
              </w:rPr>
            </w:pPr>
            <w:r w:rsidRPr="00A406E5">
              <w:rPr>
                <w:rFonts w:ascii="Arial" w:hAnsi="Arial" w:cs="Arial"/>
                <w:b/>
              </w:rPr>
              <w:t>Programme:</w:t>
            </w:r>
          </w:p>
        </w:tc>
        <w:tc>
          <w:tcPr>
            <w:tcW w:w="7829" w:type="dxa"/>
            <w:gridSpan w:val="3"/>
          </w:tcPr>
          <w:p w14:paraId="0F533C9A"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DBA</w:t>
            </w:r>
          </w:p>
        </w:tc>
      </w:tr>
      <w:tr w:rsidR="00570C6E" w:rsidRPr="00A406E5" w14:paraId="333773CF" w14:textId="77777777" w:rsidTr="00420AAE">
        <w:tc>
          <w:tcPr>
            <w:tcW w:w="2093" w:type="dxa"/>
            <w:shd w:val="pct15" w:color="auto" w:fill="auto"/>
          </w:tcPr>
          <w:p w14:paraId="06B10362" w14:textId="77777777" w:rsidR="00570C6E" w:rsidRPr="00A406E5" w:rsidRDefault="00570C6E" w:rsidP="00420AA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FDB82D8"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Managing in Complex environments: Strategies, Insights and Solutions</w:t>
            </w:r>
          </w:p>
        </w:tc>
      </w:tr>
      <w:tr w:rsidR="00570C6E" w:rsidRPr="00A406E5" w14:paraId="569B5008" w14:textId="77777777" w:rsidTr="00420AAE">
        <w:tc>
          <w:tcPr>
            <w:tcW w:w="2093" w:type="dxa"/>
            <w:shd w:val="pct15" w:color="auto" w:fill="auto"/>
          </w:tcPr>
          <w:p w14:paraId="71628FC8" w14:textId="77777777" w:rsidR="00570C6E" w:rsidRPr="00A406E5" w:rsidRDefault="00570C6E" w:rsidP="00420AAE">
            <w:pPr>
              <w:spacing w:before="120" w:after="120"/>
              <w:jc w:val="both"/>
              <w:rPr>
                <w:rFonts w:ascii="Arial" w:hAnsi="Arial" w:cs="Arial"/>
                <w:b/>
              </w:rPr>
            </w:pPr>
            <w:r w:rsidRPr="00A406E5">
              <w:rPr>
                <w:rFonts w:ascii="Arial" w:hAnsi="Arial" w:cs="Arial"/>
                <w:b/>
              </w:rPr>
              <w:t>Module code:</w:t>
            </w:r>
          </w:p>
        </w:tc>
        <w:tc>
          <w:tcPr>
            <w:tcW w:w="3293" w:type="dxa"/>
          </w:tcPr>
          <w:p w14:paraId="6D32E5B6" w14:textId="77777777" w:rsidR="00570C6E" w:rsidRPr="00A406E5" w:rsidRDefault="00570C6E" w:rsidP="00420AAE">
            <w:pPr>
              <w:spacing w:before="120" w:after="120"/>
              <w:jc w:val="both"/>
              <w:rPr>
                <w:rFonts w:ascii="Arial" w:hAnsi="Arial" w:cs="Arial"/>
                <w:b/>
                <w:lang w:eastAsia="zh-HK"/>
              </w:rPr>
            </w:pPr>
            <w:r>
              <w:rPr>
                <w:rFonts w:ascii="Arial" w:hAnsi="Arial" w:cs="Arial"/>
                <w:b/>
                <w:lang w:eastAsia="zh-HK"/>
              </w:rPr>
              <w:t>HKBM7002</w:t>
            </w:r>
          </w:p>
        </w:tc>
        <w:tc>
          <w:tcPr>
            <w:tcW w:w="2268" w:type="dxa"/>
            <w:shd w:val="clear" w:color="auto" w:fill="D9D9D9"/>
          </w:tcPr>
          <w:p w14:paraId="54A37346" w14:textId="77777777" w:rsidR="00570C6E" w:rsidRPr="004D5E9B" w:rsidRDefault="00570C6E" w:rsidP="00420AA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D8A1D86"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100%</w:t>
            </w:r>
          </w:p>
        </w:tc>
      </w:tr>
      <w:tr w:rsidR="00570C6E" w:rsidRPr="00A406E5" w14:paraId="2DF18B71" w14:textId="77777777" w:rsidTr="00420AAE">
        <w:tc>
          <w:tcPr>
            <w:tcW w:w="2093" w:type="dxa"/>
            <w:shd w:val="pct15" w:color="auto" w:fill="auto"/>
          </w:tcPr>
          <w:p w14:paraId="1F5A1F25" w14:textId="77777777" w:rsidR="00570C6E" w:rsidRPr="00A406E5" w:rsidRDefault="00570C6E" w:rsidP="00420AAE">
            <w:pPr>
              <w:spacing w:before="120" w:after="120"/>
              <w:jc w:val="both"/>
              <w:rPr>
                <w:rFonts w:ascii="Arial" w:hAnsi="Arial" w:cs="Arial"/>
                <w:b/>
              </w:rPr>
            </w:pPr>
            <w:r w:rsidRPr="00A406E5">
              <w:rPr>
                <w:rFonts w:ascii="Arial" w:hAnsi="Arial" w:cs="Arial"/>
                <w:b/>
              </w:rPr>
              <w:t>Lecturer:</w:t>
            </w:r>
          </w:p>
        </w:tc>
        <w:tc>
          <w:tcPr>
            <w:tcW w:w="3293" w:type="dxa"/>
          </w:tcPr>
          <w:p w14:paraId="5F6998EB" w14:textId="77777777" w:rsidR="00570C6E" w:rsidRPr="00A406E5" w:rsidRDefault="00570C6E" w:rsidP="00420AAE">
            <w:pPr>
              <w:spacing w:before="120" w:after="120"/>
              <w:jc w:val="both"/>
              <w:rPr>
                <w:rFonts w:ascii="Arial" w:hAnsi="Arial" w:cs="Arial"/>
                <w:b/>
                <w:lang w:eastAsia="zh-HK"/>
              </w:rPr>
            </w:pPr>
            <w:r>
              <w:rPr>
                <w:rFonts w:ascii="Arial" w:hAnsi="Arial" w:cs="Arial" w:hint="eastAsia"/>
                <w:b/>
                <w:lang w:eastAsia="zh-HK"/>
              </w:rPr>
              <w:t>Dr. Leo Ho</w:t>
            </w:r>
          </w:p>
        </w:tc>
        <w:tc>
          <w:tcPr>
            <w:tcW w:w="2268" w:type="dxa"/>
            <w:shd w:val="clear" w:color="auto" w:fill="D9D9D9"/>
          </w:tcPr>
          <w:p w14:paraId="711C5E56" w14:textId="77777777" w:rsidR="00570C6E" w:rsidRPr="00A406E5" w:rsidRDefault="00570C6E" w:rsidP="00420AAE">
            <w:pPr>
              <w:spacing w:before="120" w:after="120"/>
              <w:jc w:val="both"/>
              <w:rPr>
                <w:rFonts w:ascii="Arial" w:hAnsi="Arial" w:cs="Arial"/>
                <w:b/>
              </w:rPr>
            </w:pPr>
            <w:r w:rsidRPr="00A406E5">
              <w:rPr>
                <w:rFonts w:ascii="Arial" w:hAnsi="Arial" w:cs="Arial"/>
                <w:b/>
              </w:rPr>
              <w:t>Internal Verifier:</w:t>
            </w:r>
          </w:p>
        </w:tc>
        <w:tc>
          <w:tcPr>
            <w:tcW w:w="2268" w:type="dxa"/>
          </w:tcPr>
          <w:p w14:paraId="685C09D1" w14:textId="77777777" w:rsidR="00570C6E" w:rsidRPr="00A406E5" w:rsidRDefault="00570C6E" w:rsidP="00420AAE">
            <w:pPr>
              <w:spacing w:before="120" w:after="120"/>
              <w:jc w:val="both"/>
              <w:rPr>
                <w:rFonts w:ascii="Arial" w:hAnsi="Arial" w:cs="Arial"/>
                <w:b/>
              </w:rPr>
            </w:pPr>
          </w:p>
        </w:tc>
      </w:tr>
      <w:tr w:rsidR="00570C6E" w:rsidRPr="00A406E5" w14:paraId="4C1E5526" w14:textId="77777777" w:rsidTr="00420AAE">
        <w:tc>
          <w:tcPr>
            <w:tcW w:w="2093" w:type="dxa"/>
            <w:shd w:val="pct15" w:color="auto" w:fill="auto"/>
          </w:tcPr>
          <w:p w14:paraId="267F32D6" w14:textId="77777777" w:rsidR="00570C6E" w:rsidRPr="00A406E5" w:rsidRDefault="00570C6E" w:rsidP="00420AAE">
            <w:pPr>
              <w:spacing w:before="120" w:after="120"/>
              <w:jc w:val="both"/>
              <w:rPr>
                <w:rFonts w:ascii="Arial" w:hAnsi="Arial" w:cs="Arial"/>
                <w:b/>
              </w:rPr>
            </w:pPr>
            <w:r w:rsidRPr="00A406E5">
              <w:rPr>
                <w:rFonts w:ascii="Arial" w:hAnsi="Arial" w:cs="Arial"/>
                <w:b/>
              </w:rPr>
              <w:t>Assignment Title:</w:t>
            </w:r>
          </w:p>
        </w:tc>
        <w:tc>
          <w:tcPr>
            <w:tcW w:w="3293" w:type="dxa"/>
          </w:tcPr>
          <w:p w14:paraId="78CE0BD6" w14:textId="77777777" w:rsidR="00570C6E" w:rsidRPr="00A406E5" w:rsidRDefault="00570C6E" w:rsidP="00420AAE">
            <w:pPr>
              <w:spacing w:before="120" w:after="120"/>
              <w:jc w:val="both"/>
              <w:rPr>
                <w:rFonts w:ascii="Arial" w:hAnsi="Arial" w:cs="Arial"/>
                <w:b/>
                <w:lang w:eastAsia="zh-HK"/>
              </w:rPr>
            </w:pPr>
            <w:r>
              <w:rPr>
                <w:rFonts w:ascii="Arial" w:hAnsi="Arial" w:cs="Arial"/>
                <w:b/>
              </w:rPr>
              <w:t>Management Report</w:t>
            </w:r>
          </w:p>
        </w:tc>
        <w:tc>
          <w:tcPr>
            <w:tcW w:w="2268" w:type="dxa"/>
            <w:shd w:val="pct15" w:color="auto" w:fill="auto"/>
          </w:tcPr>
          <w:p w14:paraId="13A9179E" w14:textId="77777777" w:rsidR="00570C6E" w:rsidRPr="00A406E5" w:rsidRDefault="00570C6E" w:rsidP="00420AAE">
            <w:pPr>
              <w:spacing w:before="120" w:after="120"/>
              <w:jc w:val="both"/>
              <w:rPr>
                <w:rFonts w:ascii="Arial" w:hAnsi="Arial" w:cs="Arial"/>
                <w:b/>
              </w:rPr>
            </w:pPr>
            <w:r>
              <w:rPr>
                <w:rFonts w:ascii="Arial" w:hAnsi="Arial" w:cs="Arial"/>
                <w:b/>
              </w:rPr>
              <w:t>Word count (or equivalent):</w:t>
            </w:r>
          </w:p>
        </w:tc>
        <w:tc>
          <w:tcPr>
            <w:tcW w:w="2268" w:type="dxa"/>
          </w:tcPr>
          <w:p w14:paraId="58FBBA13" w14:textId="77777777" w:rsidR="00570C6E" w:rsidRPr="00A406E5" w:rsidRDefault="00570C6E" w:rsidP="00420AAE">
            <w:pPr>
              <w:spacing w:before="120" w:after="120"/>
              <w:jc w:val="both"/>
              <w:rPr>
                <w:rFonts w:ascii="Arial" w:hAnsi="Arial" w:cs="Arial"/>
                <w:b/>
                <w:lang w:eastAsia="zh-HK"/>
              </w:rPr>
            </w:pPr>
            <w:r>
              <w:rPr>
                <w:rFonts w:ascii="Arial" w:hAnsi="Arial" w:cs="Arial"/>
                <w:b/>
              </w:rPr>
              <w:t>7500 (+/- 10%)</w:t>
            </w:r>
          </w:p>
        </w:tc>
      </w:tr>
      <w:tr w:rsidR="00570C6E" w:rsidRPr="00A406E5" w14:paraId="767C5D69" w14:textId="77777777" w:rsidTr="00420AAE">
        <w:tc>
          <w:tcPr>
            <w:tcW w:w="2093" w:type="dxa"/>
            <w:shd w:val="pct15" w:color="auto" w:fill="auto"/>
          </w:tcPr>
          <w:p w14:paraId="42B58260" w14:textId="77777777" w:rsidR="00570C6E" w:rsidRPr="00A406E5" w:rsidRDefault="00570C6E" w:rsidP="00420AA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857621C" w14:textId="77777777" w:rsidR="00570C6E" w:rsidRPr="00A406E5" w:rsidRDefault="00570C6E" w:rsidP="00420AAE">
            <w:pPr>
              <w:spacing w:before="120" w:after="120"/>
              <w:jc w:val="both"/>
              <w:rPr>
                <w:rFonts w:ascii="Arial" w:hAnsi="Arial" w:cs="Arial"/>
                <w:b/>
                <w:lang w:eastAsia="zh-HK"/>
              </w:rPr>
            </w:pPr>
            <w:r>
              <w:rPr>
                <w:rFonts w:ascii="Arial" w:hAnsi="Arial" w:cs="Arial"/>
                <w:b/>
                <w:lang w:eastAsia="zh-HK"/>
              </w:rPr>
              <w:t>Feb 28, 2022</w:t>
            </w:r>
          </w:p>
        </w:tc>
        <w:tc>
          <w:tcPr>
            <w:tcW w:w="2268" w:type="dxa"/>
            <w:shd w:val="pct15" w:color="auto" w:fill="auto"/>
          </w:tcPr>
          <w:p w14:paraId="5B5B9FB7" w14:textId="77777777" w:rsidR="00570C6E" w:rsidRPr="00A406E5" w:rsidRDefault="00570C6E" w:rsidP="00420AA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650B1DA0" w14:textId="77777777" w:rsidR="00570C6E" w:rsidRPr="00A406E5" w:rsidRDefault="00570C6E" w:rsidP="00420AAE">
            <w:pPr>
              <w:spacing w:before="120" w:after="120"/>
              <w:jc w:val="both"/>
              <w:rPr>
                <w:rFonts w:ascii="Arial" w:hAnsi="Arial" w:cs="Arial"/>
                <w:b/>
                <w:lang w:eastAsia="zh-HK"/>
              </w:rPr>
            </w:pPr>
          </w:p>
        </w:tc>
      </w:tr>
      <w:tr w:rsidR="00570C6E" w:rsidRPr="00A406E5" w14:paraId="7C10BAD9" w14:textId="77777777" w:rsidTr="00420AAE">
        <w:tc>
          <w:tcPr>
            <w:tcW w:w="2093" w:type="dxa"/>
            <w:shd w:val="pct15" w:color="auto" w:fill="auto"/>
          </w:tcPr>
          <w:p w14:paraId="1C1880A1" w14:textId="77777777" w:rsidR="00570C6E" w:rsidRPr="00A406E5" w:rsidRDefault="00570C6E" w:rsidP="00420AA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30B6126" w14:textId="77777777" w:rsidR="00570C6E" w:rsidRPr="00A406E5" w:rsidRDefault="00570C6E" w:rsidP="00420AAE">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9AE5A5" w14:textId="77777777" w:rsidR="00570C6E" w:rsidRPr="00A406E5" w:rsidRDefault="00570C6E" w:rsidP="00420AAE">
            <w:pPr>
              <w:spacing w:before="120" w:after="120"/>
              <w:jc w:val="both"/>
              <w:rPr>
                <w:rFonts w:ascii="Arial" w:hAnsi="Arial" w:cs="Arial"/>
                <w:b/>
              </w:rPr>
            </w:pPr>
            <w:r w:rsidRPr="00A406E5">
              <w:rPr>
                <w:rFonts w:ascii="Arial" w:hAnsi="Arial" w:cs="Arial"/>
                <w:b/>
              </w:rPr>
              <w:t xml:space="preserve">Alternative submission method (if applicable): </w:t>
            </w:r>
          </w:p>
          <w:p w14:paraId="4F68A1B7" w14:textId="77777777" w:rsidR="00570C6E" w:rsidRPr="00A406E5" w:rsidRDefault="00570C6E" w:rsidP="00420AA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570C6E" w:rsidRPr="00A406E5" w14:paraId="3B029529" w14:textId="77777777" w:rsidTr="00420AAE">
        <w:tc>
          <w:tcPr>
            <w:tcW w:w="2093" w:type="dxa"/>
            <w:shd w:val="pct15" w:color="auto" w:fill="auto"/>
          </w:tcPr>
          <w:p w14:paraId="28DD2114" w14:textId="77777777" w:rsidR="00570C6E" w:rsidRPr="00A406E5" w:rsidRDefault="00570C6E" w:rsidP="00420AA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64AB4B0" w14:textId="77777777" w:rsidR="00570C6E" w:rsidRPr="00A406E5" w:rsidRDefault="00570C6E" w:rsidP="00420AAE">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D211BD6" w14:textId="77777777" w:rsidR="00570C6E" w:rsidRDefault="00570C6E" w:rsidP="00570C6E">
      <w:pPr>
        <w:rPr>
          <w:rFonts w:ascii="Arial" w:hAnsi="Arial" w:cs="Arial"/>
          <w:sz w:val="32"/>
          <w:lang w:eastAsia="zh-HK"/>
        </w:rPr>
      </w:pPr>
    </w:p>
    <w:p w14:paraId="067CCA6A" w14:textId="6F65BEE7" w:rsidR="00570C6E" w:rsidRDefault="00570C6E" w:rsidP="00570C6E">
      <w:pPr>
        <w:rPr>
          <w:rFonts w:ascii="Arial" w:hAnsi="Arial" w:cs="Arial"/>
          <w:sz w:val="32"/>
          <w:lang w:eastAsia="zh-HK"/>
        </w:rPr>
      </w:pPr>
    </w:p>
    <w:p w14:paraId="2D599CC7" w14:textId="77777777" w:rsidR="00570C6E" w:rsidRDefault="00570C6E" w:rsidP="00570C6E">
      <w:pPr>
        <w:rPr>
          <w:rFonts w:ascii="Arial" w:hAnsi="Arial" w:cs="Arial"/>
          <w:sz w:val="32"/>
          <w:lang w:eastAsia="zh-HK"/>
        </w:rPr>
      </w:pPr>
    </w:p>
    <w:p w14:paraId="15E43DED" w14:textId="527A66F1" w:rsidR="00BD12BB" w:rsidRPr="007B22FA" w:rsidRDefault="00887154">
      <w:pPr>
        <w:rPr>
          <w:rFonts w:ascii="Times New Roman" w:hAnsi="Times New Roman" w:cs="Times New Roman"/>
          <w:b/>
          <w:bCs/>
          <w:sz w:val="24"/>
          <w:szCs w:val="24"/>
          <w:lang w:val="en-US"/>
        </w:rPr>
      </w:pPr>
      <w:r w:rsidRPr="007B22FA">
        <w:rPr>
          <w:rFonts w:ascii="Times New Roman" w:hAnsi="Times New Roman" w:cs="Times New Roman"/>
          <w:b/>
          <w:bCs/>
          <w:sz w:val="24"/>
          <w:szCs w:val="24"/>
          <w:lang w:val="en-US"/>
        </w:rPr>
        <w:lastRenderedPageBreak/>
        <w:t>Introduction</w:t>
      </w:r>
    </w:p>
    <w:p w14:paraId="3CCC005F" w14:textId="02C1831A" w:rsidR="007B22FA" w:rsidRDefault="007B22FA">
      <w:pPr>
        <w:rPr>
          <w:rFonts w:ascii="Times New Roman" w:hAnsi="Times New Roman" w:cs="Times New Roman"/>
          <w:sz w:val="24"/>
          <w:szCs w:val="24"/>
          <w:lang w:val="en-US"/>
        </w:rPr>
      </w:pPr>
      <w:r>
        <w:rPr>
          <w:rFonts w:ascii="Times New Roman" w:hAnsi="Times New Roman" w:cs="Times New Roman"/>
          <w:sz w:val="24"/>
          <w:szCs w:val="24"/>
          <w:lang w:val="en-US"/>
        </w:rPr>
        <w:t>In this paper, it is a management of the two electric and electronic companies, which have last for more than a hundred years and still survive with progressive business and revenue. The two Companies are Philips and Schneider. Originally they were started with their electric business with small scale and only limited in Europe area, but now they have plenty of projects all over the world and have been continuously emerged their business focus. The paper will go through their journey of change and identify the element of their success.</w:t>
      </w:r>
    </w:p>
    <w:p w14:paraId="75BDA85F" w14:textId="77777777" w:rsidR="007B22FA" w:rsidRPr="007B22FA" w:rsidRDefault="007B22FA" w:rsidP="007B22FA">
      <w:pPr>
        <w:jc w:val="both"/>
        <w:rPr>
          <w:rFonts w:ascii="Times New Roman" w:hAnsi="Times New Roman" w:cs="Times New Roman"/>
          <w:b/>
          <w:bCs/>
          <w:sz w:val="24"/>
          <w:szCs w:val="24"/>
          <w:lang w:val="en-US"/>
        </w:rPr>
      </w:pPr>
      <w:r w:rsidRPr="007B22FA">
        <w:rPr>
          <w:rFonts w:ascii="Times New Roman" w:hAnsi="Times New Roman" w:cs="Times New Roman"/>
          <w:b/>
          <w:bCs/>
          <w:sz w:val="24"/>
          <w:szCs w:val="24"/>
          <w:lang w:val="en-US"/>
        </w:rPr>
        <w:t xml:space="preserve">Company Profile of Philips Healthcare </w:t>
      </w:r>
    </w:p>
    <w:p w14:paraId="07F12BD7"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Philips Healthcare (Philips or 'the company'), a part of Koninklijke Philips (Philips), develops and</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distributes diagnostic imaging systems, healthcare information technology solutions, patient monitoring</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and cardiac devices. The company’s product portfolio includes clinical care systems, computed</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tomography, healthcare informatics, home healthcare solutions, hospital respiratory systems, imaging</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systems among others. The company's services include healthcare IT and networking, maintenance</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services, medical parts and supplies, performance improvement services, upgrades and trade-ins,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healthcare consulting, education and training and equipment lifecycle management. Philips has its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operations across the globe. The company is headquartered in Cambridge, Massachusetts the US.</w:t>
      </w:r>
    </w:p>
    <w:p w14:paraId="4A2B9D2A" w14:textId="77777777" w:rsidR="007B22FA" w:rsidRPr="000D05D9" w:rsidRDefault="007B22FA" w:rsidP="007B22FA">
      <w:pPr>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0D05D9">
        <w:rPr>
          <w:rFonts w:ascii="Times New Roman" w:hAnsi="Times New Roman" w:cs="Times New Roman"/>
          <w:sz w:val="24"/>
          <w:szCs w:val="24"/>
          <w:lang w:val="en-US"/>
        </w:rPr>
        <w:t xml:space="preserve"> strategic focus</w:t>
      </w:r>
    </w:p>
    <w:p w14:paraId="063927BB"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At Philips, </w:t>
      </w:r>
      <w:r>
        <w:rPr>
          <w:rFonts w:ascii="Times New Roman" w:hAnsi="Times New Roman" w:cs="Times New Roman"/>
          <w:sz w:val="24"/>
          <w:szCs w:val="24"/>
          <w:lang w:val="en-US"/>
        </w:rPr>
        <w:t>their</w:t>
      </w:r>
      <w:r w:rsidRPr="000D05D9">
        <w:rPr>
          <w:rFonts w:ascii="Times New Roman" w:hAnsi="Times New Roman" w:cs="Times New Roman"/>
          <w:sz w:val="24"/>
          <w:szCs w:val="24"/>
          <w:lang w:val="en-US"/>
        </w:rPr>
        <w:t xml:space="preserve"> purpose to improve people’s health and well-being through meaningful innovation is at the heart of everything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do. Never has this central tenet been more important than it is now, in these challenging times.</w:t>
      </w:r>
    </w:p>
    <w:p w14:paraId="59B5F1BF"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Company strategy masthead</w:t>
      </w:r>
    </w:p>
    <w:p w14:paraId="34080ACC"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As a leading health technology company,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believe that innovation can improve people’s health and healthcare outcomes, as well as making care more accessible and affordable. In concrete terms,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aim to improve the lives of 2 billion people a year by 2025, including 300 million in underserved communities, rising to 2.5 billion and 400 million respectively by 2030.</w:t>
      </w:r>
    </w:p>
    <w:p w14:paraId="339308DB"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Guided by this purpose, it is </w:t>
      </w:r>
      <w:r>
        <w:rPr>
          <w:rFonts w:ascii="Times New Roman" w:hAnsi="Times New Roman" w:cs="Times New Roman"/>
          <w:sz w:val="24"/>
          <w:szCs w:val="24"/>
          <w:lang w:val="en-US"/>
        </w:rPr>
        <w:t>their</w:t>
      </w:r>
      <w:r w:rsidRPr="000D05D9">
        <w:rPr>
          <w:rFonts w:ascii="Times New Roman" w:hAnsi="Times New Roman" w:cs="Times New Roman"/>
          <w:sz w:val="24"/>
          <w:szCs w:val="24"/>
          <w:lang w:val="en-US"/>
        </w:rPr>
        <w:t xml:space="preserve"> strategy to lead with innovative solutions that combine systems, smart devices, informatics and services, and leverage big data – helping our customers deliver on the Quadruple Aim (better health outcomes, improved patient experience, improved staff experience, lower cost of care) and helping people to take better care of their health at every stage of life.</w:t>
      </w:r>
    </w:p>
    <w:p w14:paraId="2AC77DBF" w14:textId="77777777" w:rsidR="007B22FA" w:rsidRPr="000D05D9" w:rsidRDefault="007B22FA" w:rsidP="007B22FA">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aim to grow Philips responsibly and sustainably.</w:t>
      </w:r>
    </w:p>
    <w:p w14:paraId="422FC71A"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To this end,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have deployed a comprehensive set of commitments across all the Environmental, Social and Governance (ESG) dimensions that guide the execution of our strategy and support our contribution to UN Sustainable Development Goals 3 ‘Ensure healthy lives and promote well-being for all at all ages’, 12 ‘Ensure sustainable consumption and production patterns’ and 13 ‘Take urgent action to combat climate change and its impacts’.</w:t>
      </w:r>
    </w:p>
    <w:p w14:paraId="3DF60B8F" w14:textId="77777777" w:rsidR="007B22FA" w:rsidRPr="000D05D9" w:rsidRDefault="007B22FA" w:rsidP="007B22FA">
      <w:pPr>
        <w:jc w:val="both"/>
        <w:rPr>
          <w:rFonts w:ascii="Times New Roman" w:hAnsi="Times New Roman" w:cs="Times New Roman"/>
          <w:sz w:val="24"/>
          <w:szCs w:val="24"/>
          <w:lang w:val="en-US"/>
        </w:rPr>
      </w:pPr>
      <w:r>
        <w:rPr>
          <w:rFonts w:ascii="Times New Roman" w:hAnsi="Times New Roman" w:cs="Times New Roman"/>
          <w:sz w:val="24"/>
          <w:szCs w:val="24"/>
          <w:lang w:val="en-US"/>
        </w:rPr>
        <w:t>Their</w:t>
      </w:r>
      <w:r w:rsidRPr="000D05D9">
        <w:rPr>
          <w:rFonts w:ascii="Times New Roman" w:hAnsi="Times New Roman" w:cs="Times New Roman"/>
          <w:sz w:val="24"/>
          <w:szCs w:val="24"/>
          <w:lang w:val="en-US"/>
        </w:rPr>
        <w:t xml:space="preserve"> view on healthcare</w:t>
      </w:r>
    </w:p>
    <w:p w14:paraId="232641FF"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Health technology is a large market, which is expected to grow by around 4% each year*. Besides the natural drivers of growth – aging populations, the rise of chronic diseases, </w:t>
      </w:r>
      <w:r w:rsidRPr="000D05D9">
        <w:rPr>
          <w:rFonts w:ascii="Times New Roman" w:hAnsi="Times New Roman" w:cs="Times New Roman"/>
          <w:sz w:val="24"/>
          <w:szCs w:val="24"/>
          <w:lang w:val="en-US"/>
        </w:rPr>
        <w:lastRenderedPageBreak/>
        <w:t xml:space="preserve">increased spending on healthcare in emerging markets –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believe that health technology will be a major growth driver in the years to come. </w:t>
      </w:r>
    </w:p>
    <w:p w14:paraId="0DBE8D56"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At Philips,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see healthcare as a continuum, since it puts people’s health journeys front and center and builds upon the idea of integrated care pathways. Believing that healthcare should, and can, be seamless, efficient and effective,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strive to ‘connect the dots’ for our customers and consumers, supporting the flow of data needed to care for people in real time, wherever they are.</w:t>
      </w:r>
    </w:p>
    <w:p w14:paraId="6240CA79" w14:textId="77777777" w:rsidR="007B22FA" w:rsidRPr="000D05D9" w:rsidRDefault="007B22FA" w:rsidP="007B22FA">
      <w:pPr>
        <w:jc w:val="both"/>
        <w:rPr>
          <w:rFonts w:ascii="Times New Roman" w:hAnsi="Times New Roman" w:cs="Times New Roman"/>
          <w:sz w:val="24"/>
          <w:szCs w:val="24"/>
          <w:lang w:val="en-US"/>
        </w:rPr>
      </w:pPr>
      <w:r>
        <w:rPr>
          <w:rFonts w:ascii="Times New Roman" w:hAnsi="Times New Roman" w:cs="Times New Roman"/>
          <w:sz w:val="24"/>
          <w:szCs w:val="24"/>
          <w:lang w:val="en-US"/>
        </w:rPr>
        <w:t>Their</w:t>
      </w:r>
      <w:r w:rsidRPr="000D05D9">
        <w:rPr>
          <w:rFonts w:ascii="Times New Roman" w:hAnsi="Times New Roman" w:cs="Times New Roman"/>
          <w:sz w:val="24"/>
          <w:szCs w:val="24"/>
          <w:lang w:val="en-US"/>
        </w:rPr>
        <w:t xml:space="preserve"> view on healthcare</w:t>
      </w:r>
    </w:p>
    <w:p w14:paraId="6AA46091"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Going forward, the digitalization of healthcare and – accelerated by COVID-19 – the more widespread adoption of telehealth will play an increasing role in helping people to live healthily and cope with disease, and in enabling care providers to meet people’s health needs, deliver better outcomes and improve productivity.</w:t>
      </w:r>
    </w:p>
    <w:p w14:paraId="3F1987FF"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Company strategy banner</w:t>
      </w:r>
    </w:p>
    <w:p w14:paraId="51831C00"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Helping our customers address their healthcare challenges</w:t>
      </w:r>
    </w:p>
    <w:p w14:paraId="2DD60817"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In the consumer domain, </w:t>
      </w:r>
      <w:r>
        <w:rPr>
          <w:rFonts w:ascii="Times New Roman" w:hAnsi="Times New Roman" w:cs="Times New Roman"/>
          <w:sz w:val="24"/>
          <w:szCs w:val="24"/>
          <w:lang w:val="en-US"/>
        </w:rPr>
        <w:t>th</w:t>
      </w:r>
      <w:r w:rsidRPr="000D05D9">
        <w:rPr>
          <w:rFonts w:ascii="Times New Roman" w:hAnsi="Times New Roman" w:cs="Times New Roman"/>
          <w:sz w:val="24"/>
          <w:szCs w:val="24"/>
          <w:lang w:val="en-US"/>
        </w:rPr>
        <w:t>e</w:t>
      </w:r>
      <w:r>
        <w:rPr>
          <w:rFonts w:ascii="Times New Roman" w:hAnsi="Times New Roman" w:cs="Times New Roman"/>
          <w:sz w:val="24"/>
          <w:szCs w:val="24"/>
          <w:lang w:val="en-US"/>
        </w:rPr>
        <w:t>y</w:t>
      </w:r>
      <w:r w:rsidRPr="000D05D9">
        <w:rPr>
          <w:rFonts w:ascii="Times New Roman" w:hAnsi="Times New Roman" w:cs="Times New Roman"/>
          <w:sz w:val="24"/>
          <w:szCs w:val="24"/>
          <w:lang w:val="en-US"/>
        </w:rPr>
        <w:t xml:space="preserve"> develop innovative solutions that support healthier lifestyles, prevent disease, and help people to live well with chronic illness, also in the home and community settings.</w:t>
      </w:r>
    </w:p>
    <w:p w14:paraId="070116E7"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In clinics and hospitals,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are teaming up with healthcare providers to innovate and transform the way care is delivered. </w:t>
      </w:r>
      <w:r>
        <w:rPr>
          <w:rFonts w:ascii="Times New Roman" w:hAnsi="Times New Roman" w:cs="Times New Roman"/>
          <w:sz w:val="24"/>
          <w:szCs w:val="24"/>
          <w:lang w:val="en-US"/>
        </w:rPr>
        <w:t>L</w:t>
      </w:r>
      <w:r w:rsidRPr="000D05D9">
        <w:rPr>
          <w:rFonts w:ascii="Times New Roman" w:hAnsi="Times New Roman" w:cs="Times New Roman"/>
          <w:sz w:val="24"/>
          <w:szCs w:val="24"/>
          <w:lang w:val="en-US"/>
        </w:rPr>
        <w:t xml:space="preserve">isten closely to our customers’ needs and together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co-create solutions that help our customers improve outcomes, patient and staff experience and productivity, and so deliver on the Quadruple Aim of value-based care. </w:t>
      </w:r>
    </w:p>
    <w:p w14:paraId="4FD84667"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Increasingly,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are working together with our health systems customers in novel business models, including outcome-oriented payment models, that align their interests and ours in long-term partnerships. The combination of compelling solutions and consultative partnership contracts, including a broad range of professional services, drives growth rates above the group average, as well as a higher proportion of recurring revenues. </w:t>
      </w:r>
    </w:p>
    <w:p w14:paraId="3711B6E2" w14:textId="77777777" w:rsidR="007B22FA" w:rsidRPr="000D05D9" w:rsidRDefault="007B22FA" w:rsidP="007B22FA">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are embedding AI and data science in our propositions – for instance, applying the power of predictive data analytics and artificial intelligence at the point of care – to leverage the value of data in the clinical and operational domains, aiding clinical decision making and improving the quality and efficiency of healthcare services.</w:t>
      </w:r>
    </w:p>
    <w:p w14:paraId="3DA1D14C"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With </w:t>
      </w:r>
      <w:r>
        <w:rPr>
          <w:rFonts w:ascii="Times New Roman" w:hAnsi="Times New Roman" w:cs="Times New Roman"/>
          <w:sz w:val="24"/>
          <w:szCs w:val="24"/>
          <w:lang w:val="en-US"/>
        </w:rPr>
        <w:t>their</w:t>
      </w:r>
      <w:r w:rsidRPr="000D05D9">
        <w:rPr>
          <w:rFonts w:ascii="Times New Roman" w:hAnsi="Times New Roman" w:cs="Times New Roman"/>
          <w:sz w:val="24"/>
          <w:szCs w:val="24"/>
          <w:lang w:val="en-US"/>
        </w:rPr>
        <w:t xml:space="preserve"> global reach, market leadership positions, deep clinical and technological insights, and innovation capability, </w:t>
      </w:r>
      <w:r>
        <w:rPr>
          <w:rFonts w:ascii="Times New Roman" w:hAnsi="Times New Roman" w:cs="Times New Roman"/>
          <w:sz w:val="24"/>
          <w:szCs w:val="24"/>
          <w:lang w:val="en-US"/>
        </w:rPr>
        <w:t>they</w:t>
      </w:r>
      <w:r w:rsidRPr="000D05D9">
        <w:rPr>
          <w:rFonts w:ascii="Times New Roman" w:hAnsi="Times New Roman" w:cs="Times New Roman"/>
          <w:sz w:val="24"/>
          <w:szCs w:val="24"/>
          <w:lang w:val="en-US"/>
        </w:rPr>
        <w:t xml:space="preserve"> are strongly placed to create further value in a changing healthcare world through our propositions in:</w:t>
      </w:r>
    </w:p>
    <w:p w14:paraId="03E7183F"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Personal Health</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Delivering solutions that enable healthier lifestyles, personal hygiene and living with chronic disease.</w:t>
      </w:r>
    </w:p>
    <w:p w14:paraId="5399CEE0" w14:textId="77777777" w:rsidR="007B22FA"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Diagnosis &amp; Treatment</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Precision Diagnosis – providing smart, connected systems, optimized workflows, and integrated diagnostic insights, leading to clear care pathways and predictable outcomes</w:t>
      </w:r>
      <w:r>
        <w:rPr>
          <w:rFonts w:ascii="Times New Roman" w:hAnsi="Times New Roman" w:cs="Times New Roman"/>
          <w:sz w:val="24"/>
          <w:szCs w:val="24"/>
          <w:lang w:val="en-US"/>
        </w:rPr>
        <w:t xml:space="preserve"> </w:t>
      </w:r>
    </w:p>
    <w:p w14:paraId="4EA244BC"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lastRenderedPageBreak/>
        <w:t>Image Guided Therapy – innovating minimally invasive procedures in a growing number of therapeutic areas, with significantly better outcomes and productivity</w:t>
      </w:r>
    </w:p>
    <w:p w14:paraId="4233C693"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Connected Care</w:t>
      </w:r>
    </w:p>
    <w:p w14:paraId="5755CCEB"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Driving better care management by seamlessly connecting patients and caregivers from the hospital to the home.</w:t>
      </w:r>
    </w:p>
    <w:p w14:paraId="11A33335" w14:textId="77777777" w:rsidR="007B22FA" w:rsidRPr="000D05D9" w:rsidRDefault="007B22FA" w:rsidP="007B22FA">
      <w:pPr>
        <w:jc w:val="both"/>
        <w:rPr>
          <w:rFonts w:ascii="Times New Roman" w:hAnsi="Times New Roman" w:cs="Times New Roman"/>
          <w:sz w:val="24"/>
          <w:szCs w:val="24"/>
          <w:lang w:val="en-US"/>
        </w:rPr>
      </w:pPr>
      <w:r>
        <w:rPr>
          <w:rFonts w:ascii="Times New Roman" w:hAnsi="Times New Roman" w:cs="Times New Roman"/>
          <w:sz w:val="24"/>
          <w:szCs w:val="24"/>
          <w:lang w:val="en-US"/>
        </w:rPr>
        <w:t>History</w:t>
      </w:r>
    </w:p>
    <w:p w14:paraId="3CF037F2"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1890s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Entrepreneurs in a new light </w:t>
      </w:r>
    </w:p>
    <w:p w14:paraId="669F0186"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Philips &amp; Co was founded in 1891 in Eindhoven, the Netherlands, by Frederik Philips and his son, Gerard. Recognizing the opportunity presented by the mass-market introduction of electricity, and inspired by Gerard’s keen interest in sc</w:t>
      </w:r>
      <w:r>
        <w:rPr>
          <w:rFonts w:ascii="Times New Roman" w:hAnsi="Times New Roman" w:cs="Times New Roman"/>
          <w:sz w:val="24"/>
          <w:szCs w:val="24"/>
          <w:lang w:val="en-US"/>
        </w:rPr>
        <w:t>i</w:t>
      </w:r>
      <w:r w:rsidRPr="000D05D9">
        <w:rPr>
          <w:rFonts w:ascii="Times New Roman" w:hAnsi="Times New Roman" w:cs="Times New Roman"/>
          <w:sz w:val="24"/>
          <w:szCs w:val="24"/>
          <w:lang w:val="en-US"/>
        </w:rPr>
        <w:t>ence and engineering, the pair soon conceived a bold but timely plan: cost-effective, reliable electric incandescent light bulbs.</w:t>
      </w:r>
    </w:p>
    <w:p w14:paraId="7D0A5DDF"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1900s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The social pioneers</w:t>
      </w:r>
    </w:p>
    <w:p w14:paraId="11C03F4E"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The 1900s were a time of dramatic social and economic change. During this time, Philips became the largest private employer in the Netherlands, with over 2,000 employees. As mass industrialization gathered pace, Gerard and his brother Anton invested in providing housing, healthcare and sports, instilling a culture of social responsibility that continues to this day.</w:t>
      </w:r>
    </w:p>
    <w:p w14:paraId="17496097"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1910s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Growth and success through innovation</w:t>
      </w:r>
    </w:p>
    <w:p w14:paraId="750B3EBE"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Recognizing the value of scientific research to product innovation, the first Philips research laboratory – known as ‘Philips Nat Lab’ - opened in 1914. Led by Dr Gilles Holst, it aspired to the highest standards of research, embarking on visionary projects, such as investigating emerging lighting technologies to discover new sources of light, while its breakthroughs in X-ray tubes ultimately marked the origin of Philips' involvement in health technology.</w:t>
      </w:r>
    </w:p>
    <w:p w14:paraId="4B730093"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1920s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A leader in design</w:t>
      </w:r>
    </w:p>
    <w:p w14:paraId="15E9E37E"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Much of our Philips design expertise can be traced back to Louis Christiaan Kalff. An architect with a passion for graphic design, Kalff understood the importance of consistent, effective design and recognized its role in driving consumer preference for the company’s products as well as brand. The first product to reflect this design vision was the Philips radio, which also introduced the famous waves-and-stars shield.</w:t>
      </w:r>
    </w:p>
    <w:p w14:paraId="48C91551"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1930s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Changing the face of shaving  </w:t>
      </w:r>
    </w:p>
    <w:p w14:paraId="65439545"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During the 1930s, Philips introduced its pioneering rotary electric razor, the Philishave. With its ergonomics and attractive appearance, the Philips Philishave heralded the age of mass-market consumerism. It was an instant success and set the stage for appealing, customer-centric products. Since its introduction in 1939, Philips has sold an average of 700 Philishaves an hour.</w:t>
      </w:r>
    </w:p>
    <w:p w14:paraId="6CC277E4"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1940s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The modern age of broadcasting begins  </w:t>
      </w:r>
    </w:p>
    <w:p w14:paraId="7B7E6162"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After the second World War, Philips Research developed innovations to aid post-war recovery. These included using UV light to kill bacteria, tubular fluorescent lights, new magnetic materials and ceramics, a hearing aid, a gramophone as well as miniaturizing and modernizing </w:t>
      </w:r>
      <w:r w:rsidRPr="000D05D9">
        <w:rPr>
          <w:rFonts w:ascii="Times New Roman" w:hAnsi="Times New Roman" w:cs="Times New Roman"/>
          <w:sz w:val="24"/>
          <w:szCs w:val="24"/>
          <w:lang w:val="en-US"/>
        </w:rPr>
        <w:lastRenderedPageBreak/>
        <w:t>its radio and shaver technologies. The most significant introduction, though, was mass-market television.</w:t>
      </w:r>
    </w:p>
    <w:p w14:paraId="3A6ADAAC"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1950s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From products to experiences  </w:t>
      </w:r>
    </w:p>
    <w:p w14:paraId="3053CBE1"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The World Fair was an expression of post-war ideals of peace and innovation. Philips was alone among multinationals in being awarded a pavilion of its own at the 1958 Expo. Known as Le Poème Electronique, the futuristic Philips space hosted a showcase of color, sound and images, creating a unique ‘ambient’ experience; a revolutionary concept at the time and a prelude to Philips Ambient Experience.</w:t>
      </w:r>
    </w:p>
    <w:p w14:paraId="19C156F3"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1960s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Sound of the Sixties  </w:t>
      </w:r>
    </w:p>
    <w:p w14:paraId="29316472"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In response to popular culture and consumer spending power, Philips focused on making its technologies accessible. The first Compact Cassette audio player - ideal for the mass market - was an instant success. It set the global standard for tape recording and was followed by the first stereo Compact Cassette player, as well as car and portable radio cassette players.</w:t>
      </w:r>
    </w:p>
    <w:p w14:paraId="66E73DC8"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1970s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Continued innovation in sound and vision</w:t>
      </w:r>
    </w:p>
    <w:p w14:paraId="503A0FBA"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As the video age dawned, Philips launched the first video cassette recorder (VCR) in 1971. While the VCR and ongoing innovations kept Philips at the forefront of consumer products, the company was also undergoing further change as the world globalized.</w:t>
      </w:r>
    </w:p>
    <w:p w14:paraId="5E7A25E4"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1980s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Leading the digital world  </w:t>
      </w:r>
    </w:p>
    <w:p w14:paraId="0F0C7512"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Informed by its pioneering work in images, sound and data, Philips remained at the forefront of emerging consumer digital technologies in the 1980s. Introductions included the LaserVision Optical Disc, optical telecommunication systems and, one of its biggest successes, Compact Disc (CD) – developed together with Sony.</w:t>
      </w:r>
    </w:p>
    <w:p w14:paraId="6BF3F3D3" w14:textId="77777777" w:rsidR="007B22FA"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1990s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Human-centered design</w:t>
      </w:r>
    </w:p>
    <w:p w14:paraId="08DDE004"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As technology became more complex and ever-present, the 1990s saw the rise of products designed to be easier to use and more comfortable to experience. Philips adopted a human-centered approach to product design entitled ‘Design for Life’, which harmonized and integrated all aspects, improving patient experience and throughput.</w:t>
      </w:r>
    </w:p>
    <w:p w14:paraId="42E79E65"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2000s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Delivering new experiences  </w:t>
      </w:r>
    </w:p>
    <w:p w14:paraId="4AB45139"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Philips is more than a company name – it is a brand with a purpose. This era marked a renewed, people-centric focus and the company’s first fully comprehensive approach to creating a harmonized Philips brand experience, delivering solutions that were advanced, easy to use, and designed around the user</w:t>
      </w:r>
    </w:p>
    <w:p w14:paraId="029CCAF5" w14:textId="77777777" w:rsidR="007B22FA" w:rsidRPr="000D05D9"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2010s</w:t>
      </w:r>
      <w:r>
        <w:rPr>
          <w:rFonts w:ascii="Times New Roman" w:hAnsi="Times New Roman" w:cs="Times New Roman"/>
          <w:sz w:val="24"/>
          <w:szCs w:val="24"/>
          <w:lang w:val="en-US"/>
        </w:rPr>
        <w:t xml:space="preserve">: </w:t>
      </w:r>
      <w:r w:rsidRPr="000D05D9">
        <w:rPr>
          <w:rFonts w:ascii="Times New Roman" w:hAnsi="Times New Roman" w:cs="Times New Roman"/>
          <w:sz w:val="24"/>
          <w:szCs w:val="24"/>
          <w:lang w:val="en-US"/>
        </w:rPr>
        <w:t xml:space="preserve">Leading in health technology  </w:t>
      </w:r>
    </w:p>
    <w:p w14:paraId="5422C4E9" w14:textId="2D73EB9E" w:rsidR="007B22FA" w:rsidRDefault="007B22FA" w:rsidP="007B22FA">
      <w:pPr>
        <w:jc w:val="both"/>
        <w:rPr>
          <w:rFonts w:ascii="Times New Roman" w:hAnsi="Times New Roman" w:cs="Times New Roman"/>
          <w:sz w:val="24"/>
          <w:szCs w:val="24"/>
          <w:lang w:val="en-US"/>
        </w:rPr>
      </w:pPr>
      <w:r w:rsidRPr="000D05D9">
        <w:rPr>
          <w:rFonts w:ascii="Times New Roman" w:hAnsi="Times New Roman" w:cs="Times New Roman"/>
          <w:sz w:val="24"/>
          <w:szCs w:val="24"/>
          <w:lang w:val="en-US"/>
        </w:rPr>
        <w:t xml:space="preserve"> Inspired by its purpose to improve people’s health and well-being through meaningful innovation, Philips aims to improve the lives of 2.5 billion people per year by 2030. Today its growing portfolio of innovative health technology solutions supports value-based care across the health continuum.</w:t>
      </w:r>
    </w:p>
    <w:p w14:paraId="29FE5118" w14:textId="77777777" w:rsidR="007B22FA" w:rsidRPr="00BE6A9C" w:rsidRDefault="007B22FA" w:rsidP="007B22FA">
      <w:pPr>
        <w:jc w:val="both"/>
        <w:rPr>
          <w:rFonts w:ascii="Times New Roman" w:hAnsi="Times New Roman" w:cs="Times New Roman"/>
          <w:b/>
          <w:bCs/>
          <w:sz w:val="24"/>
          <w:szCs w:val="24"/>
          <w:lang w:val="en-US"/>
        </w:rPr>
      </w:pPr>
      <w:r w:rsidRPr="00BE6A9C">
        <w:rPr>
          <w:rFonts w:ascii="Times New Roman" w:hAnsi="Times New Roman" w:cs="Times New Roman"/>
          <w:b/>
          <w:bCs/>
          <w:sz w:val="24"/>
          <w:szCs w:val="24"/>
          <w:lang w:val="en-US"/>
        </w:rPr>
        <w:t>Innovation management of Philips Healthcare</w:t>
      </w:r>
    </w:p>
    <w:p w14:paraId="1C79DC90"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lastRenderedPageBreak/>
        <w:t xml:space="preserve">The solutions </w:t>
      </w:r>
      <w:r>
        <w:rPr>
          <w:rFonts w:ascii="Times New Roman" w:hAnsi="Times New Roman" w:cs="Times New Roman"/>
          <w:sz w:val="24"/>
          <w:szCs w:val="24"/>
          <w:lang w:val="en-US"/>
        </w:rPr>
        <w:t>which Philips</w:t>
      </w:r>
      <w:r w:rsidRPr="0039000D">
        <w:rPr>
          <w:rFonts w:ascii="Times New Roman" w:hAnsi="Times New Roman" w:cs="Times New Roman"/>
          <w:sz w:val="24"/>
          <w:szCs w:val="24"/>
          <w:lang w:val="en-US"/>
        </w:rPr>
        <w:t xml:space="preserve"> develop</w:t>
      </w:r>
      <w:r>
        <w:rPr>
          <w:rFonts w:ascii="Times New Roman" w:hAnsi="Times New Roman" w:cs="Times New Roman"/>
          <w:sz w:val="24"/>
          <w:szCs w:val="24"/>
          <w:lang w:val="en-US"/>
        </w:rPr>
        <w:t>s</w:t>
      </w:r>
      <w:r w:rsidRPr="0039000D">
        <w:rPr>
          <w:rFonts w:ascii="Times New Roman" w:hAnsi="Times New Roman" w:cs="Times New Roman"/>
          <w:sz w:val="24"/>
          <w:szCs w:val="24"/>
          <w:lang w:val="en-US"/>
        </w:rPr>
        <w:t xml:space="preserve"> aim to deliver better health outcomes, improved experience for both patients and staff, and lower cost of care. By doing so, we help people take better care of their health, at every stage of life.</w:t>
      </w:r>
    </w:p>
    <w:p w14:paraId="0A0F47CC"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People-focused innovation</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Our approach to innovations is centered on the people around us, patients and consumers, our customers and business partners.</w:t>
      </w:r>
    </w:p>
    <w:p w14:paraId="07421B87"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Meaningful innovation</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 xml:space="preserve">We develop relevant, impactful solutions that address people’s needs while making a meaningful contribution to health and well-being. </w:t>
      </w:r>
    </w:p>
    <w:p w14:paraId="0E26C949"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Collaborative innovation</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We actively seek out leading and impactful innovation partnerships across the health ecosystem.</w:t>
      </w:r>
    </w:p>
    <w:p w14:paraId="0104B4B0"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Agile innovation</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 xml:space="preserve">We plan for the future, while remaining firmly anchored in what matters now. Our innovations constantly evolve, in line with customer needs. </w:t>
      </w:r>
    </w:p>
    <w:p w14:paraId="2C947C23"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Responsible innovation</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We are committed to working with key stakeholders to create more sustainable, fair, and trustworthy healthcare systems.</w:t>
      </w:r>
    </w:p>
    <w:p w14:paraId="576B0708"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Future-proof innovation</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We plan for the future, while remaining firmly anchored in what matters now. Our innovations evolve over time in line with customer needs.</w:t>
      </w:r>
    </w:p>
    <w:p w14:paraId="3FF9ABB7"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Developing impactful solutions</w:t>
      </w:r>
    </w:p>
    <w:p w14:paraId="683D598E"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People are at the heart of our innovation process. At each step, we look at the world through the lens of their experiences, their needs and their daily routines. Our approach connects people, technology, and data-driven insights, through solutions that are integrated in the workflow of healthcare professionals and the daily routine of consumers.</w:t>
      </w:r>
    </w:p>
    <w:p w14:paraId="14A180C5"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Innovation across the company</w:t>
      </w:r>
    </w:p>
    <w:p w14:paraId="12D5B36D"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Throughout Philips, we strive to maximize the impact of innovation, always looking further ahead and considering the future while staying firmly rooted in what matters now.</w:t>
      </w:r>
    </w:p>
    <w:p w14:paraId="2B51165E"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Philips Research</w:t>
      </w:r>
    </w:p>
    <w:p w14:paraId="60D3EFB6"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Developing and exploring next-generation technologies and identifying the key capabilities required for future-oriented innovation.</w:t>
      </w:r>
    </w:p>
    <w:p w14:paraId="3D9FF19C"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Philips Experience Design</w:t>
      </w:r>
    </w:p>
    <w:p w14:paraId="3C04B501"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Our multi-disciplinary creative force and a key driver in ensuring our solutions make a meaningful contribution to people’s lives.</w:t>
      </w:r>
    </w:p>
    <w:p w14:paraId="1BA0BE35"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Philips Intellectual Property and Standards</w:t>
      </w:r>
    </w:p>
    <w:p w14:paraId="00ADBEBD"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Supporting innovation and new business opportunities by offering access to Philips IP, know-how, technologies and brand licenses.</w:t>
      </w:r>
    </w:p>
    <w:p w14:paraId="247B1714"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Philips Innovation Hubs</w:t>
      </w:r>
    </w:p>
    <w:p w14:paraId="21311982"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Maximizing the impact of innovations, our Innovation Hubs provide access to regional capabilities and networks to serve global businesses and customers.</w:t>
      </w:r>
    </w:p>
    <w:p w14:paraId="73AC5AE4"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Philips Engineering Solutions</w:t>
      </w:r>
    </w:p>
    <w:p w14:paraId="3627CA09"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lastRenderedPageBreak/>
        <w:t>Providing engineering expertise and building on the latest digital technologies to help turn our ideas into tangible innovations.</w:t>
      </w:r>
    </w:p>
    <w:p w14:paraId="2F7E9E67"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Philips HealthSuite Platform</w:t>
      </w:r>
    </w:p>
    <w:p w14:paraId="278F94CF" w14:textId="77777777" w:rsidR="007B22FA" w:rsidRPr="0039000D"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Our open cloud-based platform that collects, compiles and analyzes data, to support innovations in connected health and well-being solutions.</w:t>
      </w:r>
    </w:p>
    <w:p w14:paraId="4A4C964D" w14:textId="5C12A050" w:rsidR="007B22FA" w:rsidRDefault="007B22FA" w:rsidP="007B22FA">
      <w:pPr>
        <w:jc w:val="both"/>
        <w:rPr>
          <w:rFonts w:ascii="Times New Roman" w:hAnsi="Times New Roman" w:cs="Times New Roman"/>
          <w:sz w:val="24"/>
          <w:szCs w:val="24"/>
          <w:lang w:val="en-US"/>
        </w:rPr>
      </w:pPr>
      <w:r w:rsidRPr="0039000D">
        <w:rPr>
          <w:rFonts w:ascii="Times New Roman" w:hAnsi="Times New Roman" w:cs="Times New Roman"/>
          <w:sz w:val="24"/>
          <w:szCs w:val="24"/>
          <w:lang w:val="en-US"/>
        </w:rPr>
        <w:t>In June 2014, leading healthcare and consumer technology company, Royal Philips ("Philips"), announced its HealthSuite Digital Platform to house healthcare data and enable applications used by physicians and patients. Philips had strong equity in the healthcare technology space, due to its extensive portfolio of medical devices and related software sold primarily to hospitals. Philips designed the first two apps for the platform (eCareCoordinator and eCareCompanion) in-house, but it planned to open it up to third-party developers who would create an array of health-focused apps. Healthcare had long lagged behind other industries in adoption of technology as well as patient-relationship management. However, many health players had recently increased investment in new infrastructure and data analytics.</w:t>
      </w:r>
      <w:r w:rsidRPr="0039000D">
        <w:rPr>
          <w:rFonts w:ascii="Times New Roman" w:hAnsi="Times New Roman" w:cs="Times New Roman"/>
          <w:sz w:val="24"/>
          <w:szCs w:val="24"/>
        </w:rPr>
        <w:t xml:space="preserve"> </w:t>
      </w:r>
      <w:r>
        <w:rPr>
          <w:rFonts w:ascii="Times New Roman" w:hAnsi="Times New Roman" w:cs="Times New Roman"/>
          <w:sz w:val="24"/>
          <w:szCs w:val="24"/>
        </w:rPr>
        <w:t>(</w:t>
      </w:r>
      <w:r w:rsidRPr="0039000D">
        <w:rPr>
          <w:rFonts w:ascii="Times New Roman" w:hAnsi="Times New Roman" w:cs="Times New Roman"/>
          <w:sz w:val="24"/>
          <w:szCs w:val="24"/>
          <w:lang w:val="en-US"/>
        </w:rPr>
        <w:t>Quelch</w:t>
      </w:r>
      <w:r>
        <w:rPr>
          <w:rFonts w:ascii="Times New Roman" w:hAnsi="Times New Roman" w:cs="Times New Roman"/>
          <w:sz w:val="24"/>
          <w:szCs w:val="24"/>
          <w:lang w:val="en-US"/>
        </w:rPr>
        <w:t xml:space="preserve"> &amp; </w:t>
      </w:r>
      <w:r w:rsidRPr="0039000D">
        <w:rPr>
          <w:rFonts w:ascii="Times New Roman" w:hAnsi="Times New Roman" w:cs="Times New Roman"/>
          <w:sz w:val="24"/>
          <w:szCs w:val="24"/>
          <w:lang w:val="en-US"/>
        </w:rPr>
        <w:t>Rodriguez</w:t>
      </w:r>
      <w:r>
        <w:rPr>
          <w:rFonts w:ascii="Times New Roman" w:hAnsi="Times New Roman" w:cs="Times New Roman"/>
          <w:sz w:val="24"/>
          <w:szCs w:val="24"/>
          <w:lang w:val="en-US"/>
        </w:rPr>
        <w:t xml:space="preserve">, </w:t>
      </w:r>
      <w:r w:rsidRPr="0039000D">
        <w:rPr>
          <w:rFonts w:ascii="Times New Roman" w:hAnsi="Times New Roman" w:cs="Times New Roman"/>
          <w:sz w:val="24"/>
          <w:szCs w:val="24"/>
          <w:lang w:val="en-US"/>
        </w:rPr>
        <w:t>2015</w:t>
      </w:r>
      <w:r>
        <w:rPr>
          <w:rFonts w:ascii="Times New Roman" w:hAnsi="Times New Roman" w:cs="Times New Roman"/>
          <w:sz w:val="24"/>
          <w:szCs w:val="24"/>
          <w:lang w:val="en-US"/>
        </w:rPr>
        <w:t>)</w:t>
      </w:r>
      <w:r>
        <w:rPr>
          <w:rFonts w:ascii="Times New Roman" w:hAnsi="Times New Roman" w:cs="Times New Roman"/>
          <w:sz w:val="24"/>
          <w:szCs w:val="24"/>
          <w:lang w:val="en-US"/>
        </w:rPr>
        <w:t>.</w:t>
      </w:r>
    </w:p>
    <w:p w14:paraId="1C1FFCD7" w14:textId="77777777" w:rsidR="007B22FA" w:rsidRDefault="007B22FA" w:rsidP="007B22FA">
      <w:pPr>
        <w:jc w:val="both"/>
        <w:rPr>
          <w:rFonts w:ascii="Times New Roman" w:hAnsi="Times New Roman" w:cs="Times New Roman"/>
          <w:sz w:val="24"/>
          <w:szCs w:val="24"/>
          <w:lang w:val="en-US"/>
        </w:rPr>
      </w:pPr>
      <w:r w:rsidRPr="006C7C50">
        <w:rPr>
          <w:rFonts w:ascii="Times New Roman" w:hAnsi="Times New Roman" w:cs="Times New Roman"/>
          <w:sz w:val="24"/>
          <w:szCs w:val="24"/>
          <w:lang w:val="en-US"/>
        </w:rPr>
        <w:t>SWOT A</w:t>
      </w:r>
      <w:r>
        <w:rPr>
          <w:rFonts w:ascii="Times New Roman" w:hAnsi="Times New Roman" w:cs="Times New Roman"/>
          <w:sz w:val="24"/>
          <w:szCs w:val="24"/>
          <w:lang w:val="en-US"/>
        </w:rPr>
        <w:t>nalysis of Philips Healthcare</w:t>
      </w:r>
    </w:p>
    <w:p w14:paraId="12337F9A"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Philips Healthcare (Philips or 'the company'), a subsidiary of Koninklijke Philips, is a medical system manufacturer and marketer. Its important assets include a diverse corporate portfolio and an emphasis on research and development, but private ownership remains a major source of worry. However, the worldwide diagnostic imaging market, rising healthcare expenditures, and shifting demographics may give the firm with ample growth potential. Philips' future success may be jeopardized by uncertain R&amp;D outcomes, a regulatory environment, and a shortage of healthcare experts.</w:t>
      </w:r>
    </w:p>
    <w:p w14:paraId="5CB2F2F6"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Strength</w:t>
      </w:r>
    </w:p>
    <w:p w14:paraId="581FB429"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Diversified commercial portfolio</w:t>
      </w:r>
    </w:p>
    <w:p w14:paraId="534F7F35"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Philips' business portfolio has been significantly simplified across all of its industries, including healthcare. It has focused on personal health, diagnosis and treatment, linked care, and health informatics; personal health encompasses health and wellness, as well as personal care, home appliances, and sleep and respiratory care. Diagnostic imaging, image-guided therapy, and ultrasound are used to diagnose and treat patients. Patient care and monitoring solutions, healthcare informatics, solutions and services, and population health management are all included in linked care and health informatics. Additionally, the company offers customer service solutions such as ultrasound and imaging systems, as well as e-alerts. Philips Healthcare offers ambient experience, education and training, equipment lifecycle management, healthcare consultancy, healthcare information technology and networking, maintenance services, medical parts and supplies, performance improvement services, upgrades, and trade-in. Philips collaborates with clinical provider customers to improve the quality of life for at-risk individuals in their homes by increasing awareness, diagnosing, treating, monitoring, and managing their diseases.</w:t>
      </w:r>
    </w:p>
    <w:p w14:paraId="2BCFE6D4"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Concentrated research and development efforts</w:t>
      </w:r>
    </w:p>
    <w:p w14:paraId="61D70CEF"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lastRenderedPageBreak/>
        <w:t>Improved research and development (R&amp;D) activities result in decreased time-to-market and greater innovation effectiveness. Additionally, it enables the corporation to maintain its current market share. The company is constantly expanding its personal health and diagnosis and treatment businesses; its research and innovation program diversifies the company's product and service portfolio, enabling it to achieve preferred supplier status. The increasing velocity with which it innovates is a significant business driver. The corporation operates significant research and development facilities in the United States, Germany, the Netherlands, Africa, France, China, and India. Additionally, its growth and profitability will be fueled by continual clinical innovation and breakthroughs.</w:t>
      </w:r>
    </w:p>
    <w:p w14:paraId="12181654"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Weakness</w:t>
      </w:r>
    </w:p>
    <w:p w14:paraId="411D3E67"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Ownership by individuals</w:t>
      </w:r>
    </w:p>
    <w:p w14:paraId="19EFBD80"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Philips Healthcare is a family-owned business. Although the company has a skilled management team, it continues to face the numerous problems that a privately held business faces. It has a minimal number of management layers, which means that decisions are always made by a few members, which may be detrimental to the business. On the other hand, public limited companies have an advantage over these businesses since they are mandated to have a sufficient number of members on the management and board of directors, which provides a broader view on any business challenge and facilitates and expedites decision making. Additionally, these companies are required to report their financial and operational actions, which promotes transparency in their operations and builds goodwill for the business. Additionally, this enables the organization to obtain financing on favorable conditions from the market. Thus, private ownership disadvantages the company in comparison to its public limited equivalents.</w:t>
      </w:r>
    </w:p>
    <w:p w14:paraId="1D45A74D"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Opportunity</w:t>
      </w:r>
    </w:p>
    <w:p w14:paraId="142FF99C"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In the United States, healthcare expenditures are increasing.</w:t>
      </w:r>
    </w:p>
    <w:p w14:paraId="0F8797D6"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The rising cost of healthcare in the United States presents huge income prospects for the corporation. National health spending, according to the US government's Center for Medicare and Medicaid Services (CMS), is predicted to grow at an average annual rate of 5.5 percent from 2017 to 2026, reaching US$5.7 trillion by 2026. This expansion is being fueled by fundamental economic and demographic variables, including changes in predicted income growth, increases in the prices of medical goods and services, and enrolment transfers from private health insurance to Medicare as the population ages. Medicare spending growth (7.4 percent per year) and Medicaid spending growth (5.8 percent per year) both contribute significantly to the pace of national health expenditure growth over the projection period. Medicare's key driver is predicted enrollment increase; Medicaid's primary driver is a rising projected share of aged and handicapped enrollees.</w:t>
      </w:r>
    </w:p>
    <w:p w14:paraId="5FD8AF21"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Global market for diagnostic imaging</w:t>
      </w:r>
    </w:p>
    <w:p w14:paraId="16C35C48"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The company may benefit from the rapidly rising market for diagnostic imaging. According to internal projections, the global diagnostic imaging market is estimated to reach US$52,773.9 million in 2022. The global diagnostic imaging market is primarily driven by four primary product categories: ultrasound systems, x-ray systems, magnetic resonance imaging (MRI) systems, and computed tomography (CT) systems. CT systems and MRI systems were the </w:t>
      </w:r>
      <w:r w:rsidRPr="00FF3DC3">
        <w:rPr>
          <w:rFonts w:ascii="Times New Roman" w:hAnsi="Times New Roman" w:cs="Times New Roman"/>
          <w:sz w:val="24"/>
          <w:szCs w:val="24"/>
          <w:lang w:val="en-US"/>
        </w:rPr>
        <w:lastRenderedPageBreak/>
        <w:t>fastest growing segments of the worldwide diagnostic imaging market, with respective revenues anticipated to reach US$16,427.3 million and US$8,856.8 million in 2022. By 2022, the CT Systems category is predicted to reach US$10,172.3 million in Asia Pacific, US$1,547.5 million in Europe, and US$3,598.1 million in North America, respectively. In 2022, revenue from MRI systems is estimated to total US$5,078.4 million in Asia Pacific, US$1,770.7 million in Europe, and US$1,427.3 million in North America. According to in-house research, the global market for X-ray systems is expected to approach US$3,767.4 million by 2022. By 2022, the global market for ultrasound systems is estimated to reach US$4,595.1 million. By 2022, revenue in the X-ray Systems category is expected to reach US$1,643.6 million in Asia Pacific, US$810.3 million in Europe, and US$955.6 million in North America. In 2022, Ultrasound Systems is predicted to earn US$1,608.1 million in Asia Pacific, US$1,456.9 million in Europe, and US$1,364.8 million in North America. The increase in demand for MRI and CT scans is related to an increase in the number of applications and their acceptance by physicians and payers in the United States. MRI and CT are more versatile than X-ray and are used to evaluate a broader range of medical disorders than X-ray. MRI angiography, MRI spectroscopy, better teleradiology systems, and integrated PET/CT scanners are only a few of the novel applications. Additional advancements in imaging technology, contrast agents, and scan capabilities aided in the non-invasive identification of coronary artery blockages in the heart, pelvic disorders, liver metastases, and vascular anomalies. Additionally, diagnostic imaging services are increasingly being employed as a preventative care screening tool. These developments in technology will result in an increase in demand for diagnostic imaging services. These methods are less expensive and take less time than alternative procedures, such as surgery.</w:t>
      </w:r>
    </w:p>
    <w:p w14:paraId="5FB80115"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Demographic shifts</w:t>
      </w:r>
    </w:p>
    <w:p w14:paraId="310E750C"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The growing population of seniors, who consume disproportionately more medications and are more susceptible to chronic ailments, represents a substantial business opportunity for the organization. Seniors are the single greatest customer segment for pharmaceutical businesses, consuming three times the amount of prescription pharmaceuticals per capita as those under 65. The US Census Bureau reports that the US population contains 40.20 million Americans aged 65 or older, or 13% of the total population. By 2030, the elderly population in the United States is predicted to reach 71.5 million, or 19.7 percent of the overall population. Additionally, as Americans' life expectancy increases, the number of persons aged 85 and older is predicted to climb by 57 percent by 2030. These projected increases in the number of people above the age of 65 may have a beneficial effect on the company's future growth.</w:t>
      </w:r>
    </w:p>
    <w:p w14:paraId="12AD0EDA"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Threat</w:t>
      </w:r>
    </w:p>
    <w:p w14:paraId="141F6B3C"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Uncertainty regarding R&amp;D outcomes</w:t>
      </w:r>
    </w:p>
    <w:p w14:paraId="14618C74"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 xml:space="preserve">Adverse or inconclusive preclinical or clinical trial findings may significantly delay or terminate the development of the company's numerous product prospects, hence compromising the company's profitability timeline. Clinical trials always have an unknown outcome. Following the discovery of a new chemical, a significant amount of money and effort must be committed in order to effectively market a new product. Additionally, clinical development may be halted if the efficacy of a medicine is not established as predicted, or if substantial adverse effects occur. Additionally, medications are subject to legislative constraints in each </w:t>
      </w:r>
      <w:r w:rsidRPr="00FF3DC3">
        <w:rPr>
          <w:rFonts w:ascii="Times New Roman" w:hAnsi="Times New Roman" w:cs="Times New Roman"/>
          <w:sz w:val="24"/>
          <w:szCs w:val="24"/>
          <w:lang w:val="en-US"/>
        </w:rPr>
        <w:lastRenderedPageBreak/>
        <w:t>country, and regulatory approval is required prior to launching a product in each country. It is difficult to predict with certainty when a new product will receive approval.</w:t>
      </w:r>
    </w:p>
    <w:p w14:paraId="7D5605B2"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Environmental Regulations</w:t>
      </w:r>
    </w:p>
    <w:p w14:paraId="68256969"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The healthcare industry should adhere to all applicable federal, state, and local rules. To be certified as hospitals and to be eligible to participate in government programs such as Medicare and Medicaid, all hospitals must meet these regulatory standards. These standards pertain to the appropriateness of medical service, staff, equipment, operating policies and procedures, hospital use, the preservation of acceptable records, rate setting, compliance with environmental protection legislation, and compliance with building codes. If the corporation violates applicable rules and regulations, it may face penalties and civil sanctions, and the hospital's licenses may be revoked, as well as its ability to participate in the programs. Government laws may alter, affecting facilities, staff, equipment, and services. Federal, state, and municipal authorities may inspect hospitals to ensure compliance with applicable legislation and licensing and certification criteria.</w:t>
      </w:r>
    </w:p>
    <w:p w14:paraId="7E49C2C6" w14:textId="77777777" w:rsidR="007B22FA" w:rsidRPr="00FF3DC3"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Professional shortages in healthcare</w:t>
      </w:r>
    </w:p>
    <w:p w14:paraId="6EC219C4" w14:textId="77777777" w:rsidR="007B22FA" w:rsidRPr="006C7C50" w:rsidRDefault="007B22FA" w:rsidP="007B22FA">
      <w:pPr>
        <w:jc w:val="both"/>
        <w:rPr>
          <w:rFonts w:ascii="Times New Roman" w:hAnsi="Times New Roman" w:cs="Times New Roman"/>
          <w:sz w:val="24"/>
          <w:szCs w:val="24"/>
          <w:lang w:val="en-US"/>
        </w:rPr>
      </w:pPr>
      <w:r w:rsidRPr="00FF3DC3">
        <w:rPr>
          <w:rFonts w:ascii="Times New Roman" w:hAnsi="Times New Roman" w:cs="Times New Roman"/>
          <w:sz w:val="24"/>
          <w:szCs w:val="24"/>
          <w:lang w:val="en-US"/>
        </w:rPr>
        <w:t>The US healthcare industry is projected to experience a lack of healthcare professionals in the future, affecting the industry's and organization's growth potential. The health care sector, particularly hospitals, requires specialized knowledge in the form of skilled nurses. Registered nurses (RNs), licensed practical nurses (LPNs), and certified nursing assistants (CNAs) are all types of nursing professionals (CNAs). According to the United States Department of Health and Human Services, the country is experiencing a nursing professional shortage, which is expected to reach 1.2 million by 2020. The nursing population in the United States is rapidly aging, and by 2020, the registered nurse workforce is expected to fall nearly 20% short of projected nursing workforce requirements. A healthcare service provider organization's ability to offer high-quality care is contingent upon the expertise of its healthcare personnel. Worldwide, organizations have invested substantially in recruiting and training their healthcare professionals. Because the labor market is already tight, competition for talented healthcare workers is intensifying. This could result in an increase in the wage expense for the organization. Without a suitable quantity of healthcare specialists, the organization's services will suffer in quality.</w:t>
      </w:r>
      <w:r>
        <w:rPr>
          <w:rFonts w:ascii="Times New Roman" w:hAnsi="Times New Roman" w:cs="Times New Roman"/>
          <w:sz w:val="24"/>
          <w:szCs w:val="24"/>
          <w:lang w:val="en-US"/>
        </w:rPr>
        <w:t xml:space="preserve"> (Market Line 2021)</w:t>
      </w:r>
    </w:p>
    <w:p w14:paraId="0EDEC6F3" w14:textId="77777777" w:rsidR="00275EA0" w:rsidRPr="009E04CD" w:rsidRDefault="00275EA0" w:rsidP="00275EA0">
      <w:pPr>
        <w:jc w:val="both"/>
        <w:rPr>
          <w:rFonts w:ascii="Times New Roman" w:hAnsi="Times New Roman" w:cs="Times New Roman"/>
          <w:b/>
          <w:bCs/>
          <w:sz w:val="24"/>
          <w:szCs w:val="24"/>
          <w:lang w:val="en-US"/>
        </w:rPr>
      </w:pPr>
      <w:r w:rsidRPr="009E04CD">
        <w:rPr>
          <w:rFonts w:ascii="Times New Roman" w:hAnsi="Times New Roman" w:cs="Times New Roman"/>
          <w:b/>
          <w:bCs/>
          <w:sz w:val="24"/>
          <w:szCs w:val="24"/>
          <w:lang w:val="en-US"/>
        </w:rPr>
        <w:t>Company Profile of Schneider Electric</w:t>
      </w:r>
    </w:p>
    <w:p w14:paraId="1383236F" w14:textId="77777777" w:rsidR="00275EA0"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Schneider Electric SE (Schneider or 'the company') is a provider of energy and automation digital solutions. The company is involved in electrical equipment manufacturing, electrical distribution, secured power supply, building control, automation and safety, and managing all types of data centers, networks, equipment and other infrastructure.</w:t>
      </w:r>
    </w:p>
    <w:p w14:paraId="28F313EB" w14:textId="77777777" w:rsidR="00275EA0"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 xml:space="preserve">It offers IoT enabled, plug and play, interoperable architecture and platform, in homes, buildings, data centres, infrastructure and industries. The company offers automation and control products, low voltage products and systems, solar and energy storage, critical power, cooling and racks, and medium voltage distribution and grid automation. Schneider has operations across Europe, North America, and Asia Pacific. The company is headquartered in Rueil-Malmaison, Ile-deFrance, France. </w:t>
      </w:r>
    </w:p>
    <w:p w14:paraId="104FF9DD"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lastRenderedPageBreak/>
        <w:t>The company reported revenues of (Euro) EUR25,159 million for the fiscal year ended December 2020 (FY2020), a decrease of 7.4% over FY2019. In FY2020, the company’s operating margin was 12.3%, compared to an operating margin of 12.5% in FY2019. In FY2020, the company recorded a net margin of 8.4%, compared to a net margin of 8.9% in FY2019.</w:t>
      </w:r>
    </w:p>
    <w:p w14:paraId="67313E71"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Schneider</w:t>
      </w:r>
      <w:r>
        <w:rPr>
          <w:rFonts w:ascii="Times New Roman" w:hAnsi="Times New Roman" w:cs="Times New Roman"/>
          <w:sz w:val="24"/>
          <w:szCs w:val="24"/>
          <w:lang w:val="en-US"/>
        </w:rPr>
        <w:t xml:space="preserve"> claims their </w:t>
      </w:r>
      <w:r w:rsidRPr="00DC1748">
        <w:rPr>
          <w:rFonts w:ascii="Times New Roman" w:hAnsi="Times New Roman" w:cs="Times New Roman"/>
          <w:sz w:val="24"/>
          <w:szCs w:val="24"/>
          <w:lang w:val="en-US"/>
        </w:rPr>
        <w:t xml:space="preserve">’s purpose is to empower all to make the most of our energy and resources, bridging progress and sustainability for all. At Schneider, </w:t>
      </w: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call this Life Is On.</w:t>
      </w:r>
    </w:p>
    <w:p w14:paraId="673566DD" w14:textId="77777777" w:rsidR="00275EA0" w:rsidRPr="00DC1748" w:rsidRDefault="00275EA0" w:rsidP="00275EA0">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believe access to energy and digital is a basic human right.  </w:t>
      </w:r>
      <w:r>
        <w:rPr>
          <w:rFonts w:ascii="Times New Roman" w:hAnsi="Times New Roman" w:cs="Times New Roman"/>
          <w:sz w:val="24"/>
          <w:szCs w:val="24"/>
          <w:lang w:val="en-US"/>
        </w:rPr>
        <w:t xml:space="preserve">The existing </w:t>
      </w:r>
      <w:r w:rsidRPr="00DC1748">
        <w:rPr>
          <w:rFonts w:ascii="Times New Roman" w:hAnsi="Times New Roman" w:cs="Times New Roman"/>
          <w:sz w:val="24"/>
          <w:szCs w:val="24"/>
          <w:lang w:val="en-US"/>
        </w:rPr>
        <w:t xml:space="preserve">generation is facing a tectonic shift in energy transition and industrial revolution catalyzed by accelerated digitization in a more electric world. Electricity is the most efficient and best vector for decarbonization; combined with circular economy approach, </w:t>
      </w:r>
      <w:r>
        <w:rPr>
          <w:rFonts w:ascii="Times New Roman" w:hAnsi="Times New Roman" w:cs="Times New Roman"/>
          <w:sz w:val="24"/>
          <w:szCs w:val="24"/>
          <w:lang w:val="en-US"/>
        </w:rPr>
        <w:t>the world</w:t>
      </w:r>
      <w:r w:rsidRPr="00DC1748">
        <w:rPr>
          <w:rFonts w:ascii="Times New Roman" w:hAnsi="Times New Roman" w:cs="Times New Roman"/>
          <w:sz w:val="24"/>
          <w:szCs w:val="24"/>
          <w:lang w:val="en-US"/>
        </w:rPr>
        <w:t xml:space="preserve"> will achieve climate-positive impact as part of the United Nations Sustainable Development Goals.</w:t>
      </w:r>
    </w:p>
    <w:p w14:paraId="06B8291F" w14:textId="77777777" w:rsidR="00275EA0" w:rsidRPr="00DC1748" w:rsidRDefault="00275EA0" w:rsidP="00275EA0">
      <w:pPr>
        <w:jc w:val="both"/>
        <w:rPr>
          <w:rFonts w:ascii="Times New Roman" w:hAnsi="Times New Roman" w:cs="Times New Roman"/>
          <w:sz w:val="24"/>
          <w:szCs w:val="24"/>
          <w:lang w:val="en-US"/>
        </w:rPr>
      </w:pPr>
      <w:r>
        <w:rPr>
          <w:rFonts w:ascii="Times New Roman" w:hAnsi="Times New Roman" w:cs="Times New Roman"/>
          <w:sz w:val="24"/>
          <w:szCs w:val="24"/>
          <w:lang w:val="en-US"/>
        </w:rPr>
        <w:t>Therefore, their</w:t>
      </w:r>
      <w:r w:rsidRPr="00DC1748">
        <w:rPr>
          <w:rFonts w:ascii="Times New Roman" w:hAnsi="Times New Roman" w:cs="Times New Roman"/>
          <w:sz w:val="24"/>
          <w:szCs w:val="24"/>
          <w:lang w:val="en-US"/>
        </w:rPr>
        <w:t xml:space="preserve"> mission is to be your digital partner for Sustainability and Efficiency.</w:t>
      </w:r>
    </w:p>
    <w:p w14:paraId="620E2EE6" w14:textId="77777777" w:rsidR="00275EA0" w:rsidRPr="00DC1748" w:rsidRDefault="00275EA0" w:rsidP="00275EA0">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drive digital transformation by integrating world-leading process and energy technologies to realize the full efficiency and sustainability opportunities for your business</w:t>
      </w:r>
      <w:r>
        <w:rPr>
          <w:rFonts w:ascii="Times New Roman" w:hAnsi="Times New Roman" w:cs="Times New Roman"/>
          <w:sz w:val="24"/>
          <w:szCs w:val="24"/>
          <w:lang w:val="en-US"/>
        </w:rPr>
        <w:t>. P</w:t>
      </w:r>
      <w:r w:rsidRPr="00DC1748">
        <w:rPr>
          <w:rFonts w:ascii="Times New Roman" w:hAnsi="Times New Roman" w:cs="Times New Roman"/>
          <w:sz w:val="24"/>
          <w:szCs w:val="24"/>
          <w:lang w:val="en-US"/>
        </w:rPr>
        <w:t xml:space="preserve">rovide end-point to cloud integration connecting products, controls, software and services. </w:t>
      </w:r>
      <w:r>
        <w:rPr>
          <w:rFonts w:ascii="Times New Roman" w:hAnsi="Times New Roman" w:cs="Times New Roman"/>
          <w:sz w:val="24"/>
          <w:szCs w:val="24"/>
          <w:lang w:val="en-US"/>
        </w:rPr>
        <w:t>E</w:t>
      </w:r>
      <w:r w:rsidRPr="00DC1748">
        <w:rPr>
          <w:rFonts w:ascii="Times New Roman" w:hAnsi="Times New Roman" w:cs="Times New Roman"/>
          <w:sz w:val="24"/>
          <w:szCs w:val="24"/>
          <w:lang w:val="en-US"/>
        </w:rPr>
        <w:t xml:space="preserve">nable lifecycle solutions from design and build to operate and maintain phases through a digital twin. </w:t>
      </w:r>
      <w:r>
        <w:rPr>
          <w:rFonts w:ascii="Times New Roman" w:hAnsi="Times New Roman" w:cs="Times New Roman"/>
          <w:sz w:val="24"/>
          <w:szCs w:val="24"/>
          <w:lang w:val="en-US"/>
        </w:rPr>
        <w:t>D</w:t>
      </w:r>
      <w:r w:rsidRPr="00DC1748">
        <w:rPr>
          <w:rFonts w:ascii="Times New Roman" w:hAnsi="Times New Roman" w:cs="Times New Roman"/>
          <w:sz w:val="24"/>
          <w:szCs w:val="24"/>
          <w:lang w:val="en-US"/>
        </w:rPr>
        <w:t xml:space="preserve">eliver capabilities to transform from site-to-site to an integrated company management. </w:t>
      </w:r>
      <w:r>
        <w:rPr>
          <w:rFonts w:ascii="Times New Roman" w:hAnsi="Times New Roman" w:cs="Times New Roman"/>
          <w:sz w:val="24"/>
          <w:szCs w:val="24"/>
          <w:lang w:val="en-US"/>
        </w:rPr>
        <w:t>Their</w:t>
      </w:r>
      <w:r w:rsidRPr="00DC1748">
        <w:rPr>
          <w:rFonts w:ascii="Times New Roman" w:hAnsi="Times New Roman" w:cs="Times New Roman"/>
          <w:sz w:val="24"/>
          <w:szCs w:val="24"/>
          <w:lang w:val="en-US"/>
        </w:rPr>
        <w:t xml:space="preserve"> integrated solutions are</w:t>
      </w:r>
      <w:r>
        <w:rPr>
          <w:rFonts w:ascii="Times New Roman" w:hAnsi="Times New Roman" w:cs="Times New Roman"/>
          <w:sz w:val="24"/>
          <w:szCs w:val="24"/>
          <w:lang w:val="en-US"/>
        </w:rPr>
        <w:t xml:space="preserve"> claimed to </w:t>
      </w:r>
      <w:r w:rsidRPr="00DC1748">
        <w:rPr>
          <w:rFonts w:ascii="Times New Roman" w:hAnsi="Times New Roman" w:cs="Times New Roman"/>
          <w:sz w:val="24"/>
          <w:szCs w:val="24"/>
          <w:lang w:val="en-US"/>
        </w:rPr>
        <w:t>bui</w:t>
      </w:r>
      <w:r>
        <w:rPr>
          <w:rFonts w:ascii="Times New Roman" w:hAnsi="Times New Roman" w:cs="Times New Roman"/>
          <w:sz w:val="24"/>
          <w:szCs w:val="24"/>
          <w:lang w:val="en-US"/>
        </w:rPr>
        <w:t>ld</w:t>
      </w:r>
      <w:r w:rsidRPr="00DC1748">
        <w:rPr>
          <w:rFonts w:ascii="Times New Roman" w:hAnsi="Times New Roman" w:cs="Times New Roman"/>
          <w:sz w:val="24"/>
          <w:szCs w:val="24"/>
          <w:lang w:val="en-US"/>
        </w:rPr>
        <w:t xml:space="preserve"> with safety, reliability and cybersecurity for homes, buildings, data centers, infrastructure and industries.</w:t>
      </w:r>
    </w:p>
    <w:p w14:paraId="552A26F0" w14:textId="77777777" w:rsidR="00275EA0" w:rsidRPr="00DC1748" w:rsidRDefault="00275EA0" w:rsidP="00275EA0">
      <w:pPr>
        <w:jc w:val="both"/>
        <w:rPr>
          <w:rFonts w:ascii="Times New Roman" w:hAnsi="Times New Roman" w:cs="Times New Roman"/>
          <w:sz w:val="24"/>
          <w:szCs w:val="24"/>
          <w:lang w:val="en-US"/>
        </w:rPr>
      </w:pP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advocate of open standards and partnership ecosystems to unleash the infinite possibilities of a global, innovative community that is passionate about </w:t>
      </w:r>
      <w:r>
        <w:rPr>
          <w:rFonts w:ascii="Times New Roman" w:hAnsi="Times New Roman" w:cs="Times New Roman"/>
          <w:sz w:val="24"/>
          <w:szCs w:val="24"/>
          <w:lang w:val="en-US"/>
        </w:rPr>
        <w:t>their</w:t>
      </w:r>
      <w:r w:rsidRPr="00DC1748">
        <w:rPr>
          <w:rFonts w:ascii="Times New Roman" w:hAnsi="Times New Roman" w:cs="Times New Roman"/>
          <w:sz w:val="24"/>
          <w:szCs w:val="24"/>
          <w:lang w:val="en-US"/>
        </w:rPr>
        <w:t xml:space="preserve"> shared Meaningful Purpose, Inclusive and Empowered values.</w:t>
      </w:r>
    </w:p>
    <w:p w14:paraId="4D24A8EB" w14:textId="77777777" w:rsidR="00275EA0" w:rsidRPr="009E04CD" w:rsidRDefault="00275EA0" w:rsidP="00275EA0">
      <w:pPr>
        <w:jc w:val="both"/>
        <w:rPr>
          <w:rFonts w:ascii="Times New Roman" w:hAnsi="Times New Roman" w:cs="Times New Roman"/>
          <w:b/>
          <w:bCs/>
          <w:sz w:val="24"/>
          <w:szCs w:val="24"/>
          <w:lang w:val="en-US"/>
        </w:rPr>
      </w:pPr>
      <w:r w:rsidRPr="009E04CD">
        <w:rPr>
          <w:rFonts w:ascii="Times New Roman" w:hAnsi="Times New Roman" w:cs="Times New Roman"/>
          <w:b/>
          <w:bCs/>
          <w:sz w:val="24"/>
          <w:szCs w:val="24"/>
          <w:lang w:val="en-US"/>
        </w:rPr>
        <w:t>History of the Company</w:t>
      </w:r>
    </w:p>
    <w:p w14:paraId="12711026" w14:textId="77777777" w:rsidR="00275EA0" w:rsidRPr="00DC1748" w:rsidRDefault="00275EA0" w:rsidP="00275EA0">
      <w:pPr>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DC1748">
        <w:rPr>
          <w:rFonts w:ascii="Times New Roman" w:hAnsi="Times New Roman" w:cs="Times New Roman"/>
          <w:sz w:val="24"/>
          <w:szCs w:val="24"/>
          <w:lang w:val="en-US"/>
        </w:rPr>
        <w:t xml:space="preserve"> company was born during the first Industrial Revolution. Nearly 180 years later, and through enduring dedication, expertise, and the combined strength of acquired businesses, </w:t>
      </w:r>
      <w:r>
        <w:rPr>
          <w:rFonts w:ascii="Times New Roman" w:hAnsi="Times New Roman" w:cs="Times New Roman"/>
          <w:sz w:val="24"/>
          <w:szCs w:val="24"/>
          <w:lang w:val="en-US"/>
        </w:rPr>
        <w:t>they</w:t>
      </w:r>
      <w:r w:rsidRPr="00DC1748">
        <w:rPr>
          <w:rFonts w:ascii="Times New Roman" w:hAnsi="Times New Roman" w:cs="Times New Roman"/>
          <w:sz w:val="24"/>
          <w:szCs w:val="24"/>
          <w:lang w:val="en-US"/>
        </w:rPr>
        <w:t xml:space="preserve"> continue to deliver innovation at every level.</w:t>
      </w:r>
    </w:p>
    <w:p w14:paraId="16852DF1" w14:textId="77777777" w:rsidR="00275EA0"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1836</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Brother Schneider acquire mines and forges at Le Creusot, France, Two years later they create Schneider &amp; Coe.</w:t>
      </w:r>
    </w:p>
    <w:p w14:paraId="0E402981" w14:textId="77777777" w:rsidR="00275EA0" w:rsidRPr="00DC1748" w:rsidRDefault="00275EA0" w:rsidP="00275EA0">
      <w:pPr>
        <w:jc w:val="both"/>
        <w:rPr>
          <w:rFonts w:ascii="Times New Roman" w:hAnsi="Times New Roman" w:cs="Times New Roman"/>
          <w:sz w:val="24"/>
          <w:szCs w:val="24"/>
          <w:lang w:val="en-US"/>
        </w:rPr>
      </w:pPr>
    </w:p>
    <w:p w14:paraId="4E85011F"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1891</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Having become an armaments specialists, the company launches itself into the emerging electricity market.</w:t>
      </w:r>
    </w:p>
    <w:p w14:paraId="5F88D222"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1919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The company expands into Germany and Eastern Europe via the European Industrial and Financial Union (EIFU).</w:t>
      </w:r>
    </w:p>
    <w:p w14:paraId="1EF25452"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1949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In-depth restricting led by Charles Schneider takes place after World War II.</w:t>
      </w:r>
    </w:p>
    <w:p w14:paraId="51998BD4"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1975</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The Schneider Group acquires an interest in Merlin Gerin, one of leaders in electrical distribution equipment.</w:t>
      </w:r>
    </w:p>
    <w:p w14:paraId="0A962D25"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1981-1997</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The company divests from steel and shipbuilding and focus mainly on electricity through strategic acquisitions.</w:t>
      </w:r>
    </w:p>
    <w:p w14:paraId="3E4E91D9"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lastRenderedPageBreak/>
        <w:t>1999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The Group develops installation, systems and control with the acquisition of Lexel and adopts its current name.</w:t>
      </w:r>
    </w:p>
    <w:p w14:paraId="673E0E84" w14:textId="77777777" w:rsidR="00275EA0" w:rsidRPr="00DC1748"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2000-2009</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Period of organic growth and acquisitions in new market segments: UPS, movement con</w:t>
      </w:r>
      <w:r>
        <w:rPr>
          <w:rFonts w:ascii="Times New Roman" w:hAnsi="Times New Roman" w:cs="Times New Roman"/>
          <w:sz w:val="24"/>
          <w:szCs w:val="24"/>
          <w:lang w:val="en-US"/>
        </w:rPr>
        <w:t>t</w:t>
      </w:r>
      <w:r w:rsidRPr="00DC1748">
        <w:rPr>
          <w:rFonts w:ascii="Times New Roman" w:hAnsi="Times New Roman" w:cs="Times New Roman"/>
          <w:sz w:val="24"/>
          <w:szCs w:val="24"/>
          <w:lang w:val="en-US"/>
        </w:rPr>
        <w:t>rol, building automation and security.</w:t>
      </w:r>
    </w:p>
    <w:p w14:paraId="52BFD23E" w14:textId="6C3B4B7B" w:rsidR="00275EA0" w:rsidRDefault="00275EA0" w:rsidP="00275EA0">
      <w:pPr>
        <w:jc w:val="both"/>
        <w:rPr>
          <w:rFonts w:ascii="Times New Roman" w:hAnsi="Times New Roman" w:cs="Times New Roman"/>
          <w:sz w:val="24"/>
          <w:szCs w:val="24"/>
          <w:lang w:val="en-US"/>
        </w:rPr>
      </w:pPr>
      <w:r w:rsidRPr="00DC1748">
        <w:rPr>
          <w:rFonts w:ascii="Times New Roman" w:hAnsi="Times New Roman" w:cs="Times New Roman"/>
          <w:sz w:val="24"/>
          <w:szCs w:val="24"/>
          <w:lang w:val="en-US"/>
        </w:rPr>
        <w:t>2010 – present</w:t>
      </w:r>
      <w:r>
        <w:rPr>
          <w:rFonts w:ascii="Times New Roman" w:hAnsi="Times New Roman" w:cs="Times New Roman"/>
          <w:sz w:val="24"/>
          <w:szCs w:val="24"/>
          <w:lang w:val="en-US"/>
        </w:rPr>
        <w:t xml:space="preserve">: </w:t>
      </w:r>
      <w:r w:rsidRPr="00DC1748">
        <w:rPr>
          <w:rFonts w:ascii="Times New Roman" w:hAnsi="Times New Roman" w:cs="Times New Roman"/>
          <w:sz w:val="24"/>
          <w:szCs w:val="24"/>
          <w:lang w:val="en-US"/>
        </w:rPr>
        <w:t>Schneider Electric further reinforces its position in software, critical power and smart grid applications.</w:t>
      </w:r>
    </w:p>
    <w:p w14:paraId="63FB3C0A" w14:textId="77777777" w:rsidR="00275EA0" w:rsidRPr="0068147D" w:rsidRDefault="00275EA0" w:rsidP="00275EA0">
      <w:pPr>
        <w:rPr>
          <w:rFonts w:ascii="Times New Roman" w:hAnsi="Times New Roman" w:cs="Times New Roman"/>
          <w:b/>
          <w:bCs/>
          <w:sz w:val="24"/>
          <w:szCs w:val="24"/>
          <w:lang w:val="en-US"/>
        </w:rPr>
      </w:pPr>
      <w:r w:rsidRPr="0068147D">
        <w:rPr>
          <w:rFonts w:ascii="Times New Roman" w:hAnsi="Times New Roman" w:cs="Times New Roman"/>
          <w:b/>
          <w:bCs/>
          <w:sz w:val="24"/>
          <w:szCs w:val="24"/>
          <w:lang w:val="en-US"/>
        </w:rPr>
        <w:t>Innovation management of Schneider Electric</w:t>
      </w:r>
    </w:p>
    <w:p w14:paraId="383B29F8" w14:textId="77777777" w:rsidR="00275EA0" w:rsidRPr="00090CCA" w:rsidRDefault="00275EA0" w:rsidP="00275EA0">
      <w:pPr>
        <w:rPr>
          <w:rFonts w:ascii="Times New Roman" w:hAnsi="Times New Roman" w:cs="Times New Roman"/>
          <w:sz w:val="24"/>
          <w:szCs w:val="24"/>
          <w:lang w:val="en-US"/>
        </w:rPr>
      </w:pPr>
      <w:r w:rsidRPr="00090CCA">
        <w:rPr>
          <w:rFonts w:ascii="Times New Roman" w:hAnsi="Times New Roman" w:cs="Times New Roman"/>
          <w:sz w:val="24"/>
          <w:szCs w:val="24"/>
          <w:lang w:val="en-US"/>
        </w:rPr>
        <w:t>While Schneider Electric has long focused on digital, recent pivots in two talent management areas strengthened the innovative mindset.</w:t>
      </w:r>
    </w:p>
    <w:p w14:paraId="50C5DCDE" w14:textId="77777777" w:rsidR="00275EA0" w:rsidRPr="00090CCA" w:rsidRDefault="00275EA0" w:rsidP="00275EA0">
      <w:pPr>
        <w:rPr>
          <w:rFonts w:ascii="Times New Roman" w:hAnsi="Times New Roman" w:cs="Times New Roman"/>
          <w:sz w:val="24"/>
          <w:szCs w:val="24"/>
          <w:lang w:val="en-US"/>
        </w:rPr>
      </w:pPr>
      <w:r w:rsidRPr="00090CCA">
        <w:rPr>
          <w:rFonts w:ascii="Times New Roman" w:hAnsi="Times New Roman" w:cs="Times New Roman"/>
          <w:sz w:val="24"/>
          <w:szCs w:val="24"/>
          <w:lang w:val="en-US"/>
        </w:rPr>
        <w:t xml:space="preserve">For years, Schneider Electric’s focus has been on digital. </w:t>
      </w:r>
    </w:p>
    <w:p w14:paraId="51B71F51" w14:textId="77777777" w:rsidR="00275EA0" w:rsidRPr="00090CCA" w:rsidRDefault="00275EA0" w:rsidP="00275EA0">
      <w:pPr>
        <w:rPr>
          <w:rFonts w:ascii="Times New Roman" w:hAnsi="Times New Roman" w:cs="Times New Roman"/>
          <w:sz w:val="24"/>
          <w:szCs w:val="24"/>
          <w:lang w:val="en-US"/>
        </w:rPr>
      </w:pPr>
      <w:r>
        <w:rPr>
          <w:rFonts w:ascii="Times New Roman" w:hAnsi="Times New Roman" w:cs="Times New Roman"/>
          <w:sz w:val="24"/>
          <w:szCs w:val="24"/>
          <w:lang w:val="en-US"/>
        </w:rPr>
        <w:t>Schneider believes that d</w:t>
      </w:r>
      <w:r w:rsidRPr="00090CCA">
        <w:rPr>
          <w:rFonts w:ascii="Times New Roman" w:hAnsi="Times New Roman" w:cs="Times New Roman"/>
          <w:sz w:val="24"/>
          <w:szCs w:val="24"/>
          <w:lang w:val="en-US"/>
        </w:rPr>
        <w:t>igital transformation is not only about great technology but about the great culture that is built on the core values, employee value proposition and leadership expectations. Digital capabilities have been and will continue to be a focus for us at Schneider Electric. But key to our successes with adapting student and employee experiences to digital platforms has been—and will be—our core values: empowerment and use your judgment.</w:t>
      </w:r>
    </w:p>
    <w:p w14:paraId="79394B20" w14:textId="77777777" w:rsidR="00275EA0" w:rsidRPr="00090CCA" w:rsidRDefault="00275EA0" w:rsidP="00275EA0">
      <w:pPr>
        <w:rPr>
          <w:rFonts w:ascii="Times New Roman" w:hAnsi="Times New Roman" w:cs="Times New Roman"/>
          <w:sz w:val="24"/>
          <w:szCs w:val="24"/>
          <w:lang w:val="en-US"/>
        </w:rPr>
      </w:pPr>
      <w:r w:rsidRPr="00090CCA">
        <w:rPr>
          <w:rFonts w:ascii="Times New Roman" w:hAnsi="Times New Roman" w:cs="Times New Roman"/>
          <w:sz w:val="24"/>
          <w:szCs w:val="24"/>
          <w:lang w:val="en-US"/>
        </w:rPr>
        <w:t>In an interview with CHRO Charise Le, she emphasized that empowerment and judgment are what helped Schneider Electric navigate the uncertainties of the pandemic to date.</w:t>
      </w:r>
    </w:p>
    <w:p w14:paraId="26040FA0" w14:textId="74C8EA32" w:rsidR="00275EA0" w:rsidRDefault="00275EA0" w:rsidP="00275EA0">
      <w:pPr>
        <w:rPr>
          <w:rFonts w:ascii="Times New Roman" w:hAnsi="Times New Roman" w:cs="Times New Roman"/>
          <w:sz w:val="24"/>
          <w:szCs w:val="24"/>
          <w:lang w:val="en-US"/>
        </w:rPr>
      </w:pPr>
      <w:r w:rsidRPr="00090CCA">
        <w:rPr>
          <w:rFonts w:ascii="Times New Roman" w:hAnsi="Times New Roman" w:cs="Times New Roman"/>
          <w:sz w:val="24"/>
          <w:szCs w:val="24"/>
          <w:lang w:val="en-US"/>
        </w:rPr>
        <w:t>Act fast, fail fast, simplify processes and learn from them. Each initiative brings its own challenges, but with empowerment and daring to disrupt, we’ve had great success so far. (Seidy &amp; Barbosa, 2021)</w:t>
      </w:r>
    </w:p>
    <w:p w14:paraId="5861040C" w14:textId="77777777" w:rsidR="00275EA0" w:rsidRPr="00564657" w:rsidRDefault="00275EA0" w:rsidP="00275EA0">
      <w:pPr>
        <w:jc w:val="both"/>
        <w:rPr>
          <w:rFonts w:ascii="Times New Roman" w:hAnsi="Times New Roman" w:cs="Times New Roman"/>
          <w:b/>
          <w:bCs/>
          <w:sz w:val="24"/>
          <w:szCs w:val="24"/>
        </w:rPr>
      </w:pPr>
      <w:r w:rsidRPr="00564657">
        <w:rPr>
          <w:rFonts w:ascii="Times New Roman" w:hAnsi="Times New Roman" w:cs="Times New Roman"/>
          <w:b/>
          <w:bCs/>
          <w:sz w:val="24"/>
          <w:szCs w:val="24"/>
        </w:rPr>
        <w:t>Schneider Electric's SWOT analysis</w:t>
      </w:r>
    </w:p>
    <w:p w14:paraId="1CE52C7C"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Schneider Electric SE (Schneider or 'the firm') is a global provider of integrated solutions for utilities and infrastructure, industries and machine manufacturers, non-residential buildings, data centers and networks, and residential sectors. The company's primary strengths are a diverse geographic footprint, rapid revenue growth, and a well-balanced product line. Increasing liabilities, on the other hand, could be reason for alarm. The company's growth prospects are projected to be enhanced by business acquisitions, strategic initiatives, and the global increase in demand for power. However, currency fluctuations, environmental laws, and severe rivalry all have a detrimental effect on the company's financial state.</w:t>
      </w:r>
    </w:p>
    <w:p w14:paraId="1EE848A5" w14:textId="77777777" w:rsidR="00275EA0" w:rsidRDefault="00275EA0" w:rsidP="00275EA0">
      <w:pPr>
        <w:jc w:val="both"/>
        <w:rPr>
          <w:rFonts w:ascii="Times New Roman" w:hAnsi="Times New Roman" w:cs="Times New Roman"/>
          <w:sz w:val="24"/>
          <w:szCs w:val="24"/>
        </w:rPr>
      </w:pPr>
      <w:r>
        <w:rPr>
          <w:rFonts w:ascii="Times New Roman" w:hAnsi="Times New Roman" w:cs="Times New Roman"/>
          <w:sz w:val="24"/>
          <w:szCs w:val="24"/>
        </w:rPr>
        <w:t xml:space="preserve">Strength </w:t>
      </w:r>
    </w:p>
    <w:p w14:paraId="5037B33D"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Well-balanced product portfolio </w:t>
      </w:r>
    </w:p>
    <w:p w14:paraId="03E40813" w14:textId="77777777" w:rsidR="00275EA0"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Electric's product portfolio is strategically well-balanced. Through its two business sectors, the company offers a diverse range of services. The company offers low voltage (LV) electrical distribution products and solutions, including busway and cable support, circuit breakers and switches, contactors and protection relays, electrical car charging, electrical protection and control, emergency lighting, motor starters and protection components, power monitoring and control, power quality and power factor correction, software, and switchboards and enclosures. </w:t>
      </w:r>
    </w:p>
    <w:p w14:paraId="5E167D5E" w14:textId="77777777" w:rsidR="00275EA0"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lastRenderedPageBreak/>
        <w:t xml:space="preserve">Additionally, it provides renewable energy conversion and transmission, as well as infrastructure for electric vehicle charging. The industry section offers equipment and services for automating and controlling machines, manufacturing plants, and industrial facilities. It encompasses both hardware components such as motion control, variable speed drives, motor starters and contactors, human machine interface (HMI) terminals, programmable logic controllers (PLC), push buttons and signaling, temperature and pressure sensors, and customized sensors, as well as software applications for operations management and supervisory control. </w:t>
      </w:r>
    </w:p>
    <w:p w14:paraId="1FD46F65"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Schneider Electric is also a leader in medium voltage (MV) and grid automation technologies and solutions, with a focus on infrastructure and electric utilities. It provides primary and secondary medium-voltage switchgear, transformers, protection for electrical networks, remote control, and MV/LV substations.</w:t>
      </w:r>
    </w:p>
    <w:p w14:paraId="33C22CEA"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A varied geographic presence that helps offset economic risks</w:t>
      </w:r>
    </w:p>
    <w:p w14:paraId="3B41E1D4"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The company operates in a variety of countries. Schneider operates in more than a hundred countries throughout Western Europe, North America, Asia, and the Rest of the World. The company's revenues are spread across all of the regions in which it operates. Asia Pacific accounted for 29% of overall sales in FY2019, followed by North America at 29%, Western Europe at 26%, and the Rest of the World at 16%. Schneider's presence in a wide variety of markets enables the company to better understand local demands and offer clients in each country with customized products and solutions. As a result, Schneider's global presence and evenly distributed revenue base ensure that the company does not rely on a single market for the majority of its revenue, thereby mitigating its business risk in a highly volatile industry.</w:t>
      </w:r>
    </w:p>
    <w:p w14:paraId="69814D2B"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Revenue growth that helps maintain financial stability </w:t>
      </w:r>
    </w:p>
    <w:p w14:paraId="207A4B95"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Schneider maintained a consistent sales growth rate throughout the fiscal year under review. The company earned sales of EUR27,158 million in FY2019, up from EUR25,720 million in FY2018, a 5.6 percent increase on an annual basis, and a 0.5 percent compound annual growth rate from 2015 to 2019. Annual sales increased by 6.8 percent and 1.8 percent, respectively, due to increases in the energy management and industrial automation areas. A strong financial performance instills trust in investors and helps the company to pursue expansion plans.</w:t>
      </w:r>
    </w:p>
    <w:p w14:paraId="0EB24842"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Weakness</w:t>
      </w:r>
    </w:p>
    <w:p w14:paraId="688AB722"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Increased liabilities may impair the company's capacity to fund daily operations.</w:t>
      </w:r>
    </w:p>
    <w:p w14:paraId="2CA0852B"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In the fiscal year under review, Cabela increased its liabilities. Current liabilities totaled EUR10,563 million in FY2019, up from EUR10,020 million in FY2018, a 5.4 percent increase over revenue. Such a considerable increase in liabilities could jeopardize the company's market reputation and create operational risks associated with borrowing capital for investment reasons.</w:t>
      </w:r>
    </w:p>
    <w:p w14:paraId="25219917"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Opportunity</w:t>
      </w:r>
    </w:p>
    <w:p w14:paraId="14FAD25D"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Acquiring Businesses</w:t>
      </w:r>
    </w:p>
    <w:p w14:paraId="7564E671"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Schneider's acquisitions are highly complementary to the company's current operations and give growth potential by enhancing the company's operational capability in terms of manufacturing capacity or distribution across channels and geographies. DC Systems B.V., a company specializing in DC power conversion, AC/DC microgrids, and DC solutions, was </w:t>
      </w:r>
      <w:r w:rsidRPr="00294AE9">
        <w:rPr>
          <w:rFonts w:ascii="Times New Roman" w:hAnsi="Times New Roman" w:cs="Times New Roman"/>
          <w:sz w:val="24"/>
          <w:szCs w:val="24"/>
        </w:rPr>
        <w:lastRenderedPageBreak/>
        <w:t>bought by the corporation in January 2021. The acquisition strengthens the company's electric portfolio and enables it to offer customers simple and resilient applications such as microgrid construction in problematic public grid conditions and public illumination applications. The company acquired control of ETAP Automation Inc, a provider of analytical engineering solutions, in November 2020. The acquisition enables the company to significantly expand its global digitalization services. Acquisitions of this nature are expected to bolster the company's operations and boost its returns.</w:t>
      </w:r>
    </w:p>
    <w:p w14:paraId="3AE960C8"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Initiatives Striking</w:t>
      </w:r>
    </w:p>
    <w:p w14:paraId="2632A981" w14:textId="77777777" w:rsidR="00275EA0"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Strategic relationships have remained a critical component of the company's growth strategy. Schneider Electric and STMicroelectronics announced a partnership in December 2020 with the goal of achieving carbon neutrality and co-developing energy-efficient technologies. Schneider Electric, Lenovo, Iceotope, and Avnet formed a cooperation in November 2020 to develop a chassis-level immersion-cooled high-performance computing micro data center. Schneider Electric and SolarEdge Technologies announced a partnership in October 2020 to accelerate household solar adoption through the use of a smart home energy solution. Schneider Electric and Faith Technologies and PACCAR announced a cooperation to support electric vehicle charging in September 2020. Schneider Electric and Huck Capital announced an August 2020 partnership to provide energy as a service to business buildings interested in converting to renewable energy. </w:t>
      </w:r>
    </w:p>
    <w:p w14:paraId="009D9355"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Schneider Electric and Anord Mardix announced a cooperation in July 2020 to jointly develop and commercialize critical power solutions for data centers. These alliances are expected to bolster the company's operations and boost its profitability. Prospects for a growth in electricity demand are favorable: Global. Global demand for electricity may present the organization with numerous expansion options. Global power demand is predicted to increase by nearly 90% by 2040, according to the International Energy Agency's 2019 World Energy Outlook. Urbanization, increased electrification, and economic and population expansion in emerging nations, particularly in Asia, Latin America, and parts of Africa, are all significant contributors to this growth.</w:t>
      </w:r>
    </w:p>
    <w:p w14:paraId="3829D2B6"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Threat</w:t>
      </w:r>
    </w:p>
    <w:p w14:paraId="378557C0"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Rivalry</w:t>
      </w:r>
    </w:p>
    <w:p w14:paraId="11843892" w14:textId="77777777" w:rsidR="00275EA0"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Schneider Electric is up against stiff competition in the markets in which it operates. The global marketplaces for the company's products are highly competitive in terms of pricing, product and service quality, time to develop and introduce new items, and customer service. Schneider competes against huge non-specialist manufacturers, global specialized manufacturers, medium-sized businesses, and tiny, family-owned businesses. In low-voltage and building automation, the business competes largely with ABB, Eaton, Legrand, and Siemens. Likewise, the company competes with ABB and Siemens in medium voltage distribution and grid automation. Siemens, Rockwell Automation, ABB, and Emerson are all competitors in discrete and process automation. </w:t>
      </w:r>
    </w:p>
    <w:p w14:paraId="187AE806"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 xml:space="preserve">Additionally, Schneider competes with Emerson and Eaton in the critical power and cooling markets for information technology and non-information technology applications. Chint Group, Weg, Larsen &amp; Toubro, and Delta are other regional and rising market rivals. Thus, increased </w:t>
      </w:r>
      <w:r w:rsidRPr="00294AE9">
        <w:rPr>
          <w:rFonts w:ascii="Times New Roman" w:hAnsi="Times New Roman" w:cs="Times New Roman"/>
          <w:sz w:val="24"/>
          <w:szCs w:val="24"/>
        </w:rPr>
        <w:lastRenderedPageBreak/>
        <w:t>competition may have an effect on a company's bargaining power, compelling it to decrease prices, so eroding its margins and market share.</w:t>
      </w:r>
    </w:p>
    <w:p w14:paraId="3E23DD63"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Foreign Exchange Rate Fluctuations</w:t>
      </w:r>
    </w:p>
    <w:p w14:paraId="00F0E314"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Schneider operates in more than a hundred countries in Europe, North America, and Asia. As a result, the business operates in multiple currencies. Due to the fact that a substantial amount of the company's transactions are in currencies other than the Euro, the company is subject to currency risk. There are around twenty currencies at risk, with the US dollar, Hong Kong dollar, British pound, and Russian ruble posing the most danger. Thus, if Schneider is unable to hedge these risks, currency exchange rate variations between the Euro and these currencies might have a material influence on the company's profits and skew year-over-year performance comparisons.</w:t>
      </w:r>
    </w:p>
    <w:p w14:paraId="34442E03" w14:textId="77777777" w:rsidR="00275EA0" w:rsidRPr="00294AE9"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Environmental regulations add to a business's operational expenses.</w:t>
      </w:r>
    </w:p>
    <w:p w14:paraId="36A60853" w14:textId="1A9A3853" w:rsidR="00275EA0" w:rsidRDefault="00275EA0" w:rsidP="00275EA0">
      <w:pPr>
        <w:jc w:val="both"/>
        <w:rPr>
          <w:rFonts w:ascii="Times New Roman" w:hAnsi="Times New Roman" w:cs="Times New Roman"/>
          <w:sz w:val="24"/>
          <w:szCs w:val="24"/>
        </w:rPr>
      </w:pPr>
      <w:r w:rsidRPr="00294AE9">
        <w:rPr>
          <w:rFonts w:ascii="Times New Roman" w:hAnsi="Times New Roman" w:cs="Times New Roman"/>
          <w:sz w:val="24"/>
          <w:szCs w:val="24"/>
        </w:rPr>
        <w:t>Schneider Electric's facilities and products are subject to broad and increasingly rigorous environmental rules and regulations in each of the countries where it operates. The corporation may face claims for environmental law and regulation violations. If the company violates applicable environmental laws and regulations, judicial or regulatory authorities may order the company to conduct investigations and/or implement costly clean-up measures to address current or past contamination at current or former facilities or off-site waste disposal facilities, as well as to scale back or temporarily or permanently close the facilities in accordance with applicable environmental laws and regulations. Such allegations could have a material adverse effect on the company's financial situation and reputation, notwithstanding the company's efforts and investments to comply with all applicable environmental laws and regulations.</w:t>
      </w:r>
      <w:r>
        <w:rPr>
          <w:rFonts w:ascii="Times New Roman" w:hAnsi="Times New Roman" w:cs="Times New Roman"/>
          <w:sz w:val="24"/>
          <w:szCs w:val="24"/>
        </w:rPr>
        <w:t xml:space="preserve"> (Market Line 2021.10)</w:t>
      </w:r>
    </w:p>
    <w:p w14:paraId="296F93FB" w14:textId="70045642" w:rsidR="00275EA0" w:rsidRDefault="00275EA0" w:rsidP="00275EA0">
      <w:pPr>
        <w:jc w:val="both"/>
        <w:rPr>
          <w:rFonts w:ascii="Times New Roman" w:hAnsi="Times New Roman" w:cs="Times New Roman"/>
          <w:sz w:val="24"/>
          <w:szCs w:val="24"/>
        </w:rPr>
      </w:pPr>
      <w:r>
        <w:rPr>
          <w:rFonts w:ascii="Times New Roman" w:hAnsi="Times New Roman" w:cs="Times New Roman"/>
          <w:sz w:val="24"/>
          <w:szCs w:val="24"/>
        </w:rPr>
        <w:t>Transformation leadership constitutes innovation management</w:t>
      </w:r>
    </w:p>
    <w:p w14:paraId="716E10B8" w14:textId="08FEDC71" w:rsidR="00275EA0" w:rsidRPr="00275EA0" w:rsidRDefault="00275EA0" w:rsidP="00275EA0">
      <w:pPr>
        <w:jc w:val="both"/>
        <w:rPr>
          <w:rFonts w:ascii="Times New Roman" w:hAnsi="Times New Roman" w:cs="Times New Roman"/>
          <w:sz w:val="24"/>
          <w:szCs w:val="24"/>
        </w:rPr>
      </w:pPr>
      <w:r>
        <w:rPr>
          <w:rFonts w:ascii="Times New Roman" w:hAnsi="Times New Roman" w:cs="Times New Roman"/>
          <w:sz w:val="24"/>
          <w:szCs w:val="24"/>
        </w:rPr>
        <w:t xml:space="preserve">Viewing the two Companies, we understood their Team are continuously encouraged to invite for new idea and to search for the suitable role of their market. Moreover, the leadership </w:t>
      </w:r>
      <w:r w:rsidRPr="00275EA0">
        <w:rPr>
          <w:rFonts w:ascii="Times New Roman" w:hAnsi="Times New Roman" w:cs="Times New Roman"/>
          <w:sz w:val="24"/>
          <w:szCs w:val="24"/>
        </w:rPr>
        <w:t>successfully mobilizes the ultimate achievement of their services and product with the human well-being, that the employees are not only workers but also one of the teammates to contributes to the wellness of humankind.</w:t>
      </w:r>
    </w:p>
    <w:p w14:paraId="2EA91A3D" w14:textId="35899F90" w:rsidR="00275EA0" w:rsidRPr="00275EA0" w:rsidRDefault="00275EA0" w:rsidP="00275EA0">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 xml:space="preserve">Transformational </w:t>
      </w:r>
      <w:r>
        <w:rPr>
          <w:rFonts w:ascii="Times New Roman" w:hAnsi="Times New Roman" w:cs="Times New Roman"/>
          <w:sz w:val="24"/>
          <w:szCs w:val="24"/>
          <w:lang w:val="en-US"/>
        </w:rPr>
        <w:t>l</w:t>
      </w:r>
      <w:r w:rsidRPr="00275EA0">
        <w:rPr>
          <w:rFonts w:ascii="Times New Roman" w:hAnsi="Times New Roman" w:cs="Times New Roman"/>
          <w:sz w:val="24"/>
          <w:szCs w:val="24"/>
          <w:lang w:val="en-US"/>
        </w:rPr>
        <w:t xml:space="preserve">eadership </w:t>
      </w:r>
      <w:r>
        <w:rPr>
          <w:rFonts w:ascii="Times New Roman" w:hAnsi="Times New Roman" w:cs="Times New Roman"/>
          <w:sz w:val="24"/>
          <w:szCs w:val="24"/>
          <w:lang w:val="en-US"/>
        </w:rPr>
        <w:t xml:space="preserve">in these two companies is so obvious which </w:t>
      </w:r>
      <w:r w:rsidRPr="00275EA0">
        <w:rPr>
          <w:rFonts w:ascii="Times New Roman" w:hAnsi="Times New Roman" w:cs="Times New Roman"/>
          <w:sz w:val="24"/>
          <w:szCs w:val="24"/>
          <w:lang w:val="en-US"/>
        </w:rPr>
        <w:t>is the process that a person engages with others and forms a connection that enhances motivation and team spirit in both the leader and the team members. This kind of leader is very attending to the needs and idea of team members and attempts to assist team members to achieve their maximum potential. (Burns 1978)</w:t>
      </w:r>
    </w:p>
    <w:p w14:paraId="28605613" w14:textId="77777777" w:rsidR="00275EA0" w:rsidRPr="00275EA0" w:rsidRDefault="00275EA0" w:rsidP="00275EA0">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 xml:space="preserve">Transformational Leadership is an approach that a leader motivates and inspires his team members to initiate or achieve a positive change in the enterprise and organizations. The leadership style can arouse group morale, leading to rapid innovation, improving conflict resolution, decreasing staff turnover, and fostering ownership within the team. </w:t>
      </w:r>
    </w:p>
    <w:p w14:paraId="12D2EE6C" w14:textId="77777777" w:rsidR="00275EA0" w:rsidRPr="00275EA0" w:rsidRDefault="00275EA0" w:rsidP="00275EA0">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t xml:space="preserve">It is a process where leaders and followers mutually escalate each other to higher levels of motivation and morality, initiating change and transforming people. It is also essentially tackled with emotions, values, ethics, standards, and long-term goals. It includes assessing followers' motives, finding ways to meet their needs, and treating them as total people. </w:t>
      </w:r>
    </w:p>
    <w:p w14:paraId="41115EB4" w14:textId="07106EFC" w:rsidR="00275EA0" w:rsidRDefault="00275EA0" w:rsidP="00275EA0">
      <w:pPr>
        <w:jc w:val="both"/>
        <w:rPr>
          <w:rFonts w:ascii="Times New Roman" w:hAnsi="Times New Roman" w:cs="Times New Roman"/>
          <w:sz w:val="24"/>
          <w:szCs w:val="24"/>
          <w:lang w:val="en-US"/>
        </w:rPr>
      </w:pPr>
      <w:r w:rsidRPr="00275EA0">
        <w:rPr>
          <w:rFonts w:ascii="Times New Roman" w:hAnsi="Times New Roman" w:cs="Times New Roman"/>
          <w:sz w:val="24"/>
          <w:szCs w:val="24"/>
          <w:lang w:val="en-US"/>
        </w:rPr>
        <w:lastRenderedPageBreak/>
        <w:t>Transformational Leadership has an extraordinary influence that motivates followers to achieve more than what is habitually expected. (Northouse 2016)</w:t>
      </w:r>
    </w:p>
    <w:p w14:paraId="3C792C26" w14:textId="77777777" w:rsidR="00840D19" w:rsidRPr="00CB6E8D" w:rsidRDefault="00840D19" w:rsidP="00840D19">
      <w:pPr>
        <w:jc w:val="both"/>
        <w:rPr>
          <w:rFonts w:ascii="Times New Roman" w:hAnsi="Times New Roman" w:cs="Times New Roman"/>
          <w:b/>
          <w:bCs/>
          <w:sz w:val="24"/>
          <w:szCs w:val="24"/>
          <w:lang w:val="en-US"/>
        </w:rPr>
      </w:pPr>
      <w:r w:rsidRPr="00CB6E8D">
        <w:rPr>
          <w:rFonts w:ascii="Times New Roman" w:hAnsi="Times New Roman" w:cs="Times New Roman"/>
          <w:b/>
          <w:bCs/>
          <w:sz w:val="24"/>
          <w:szCs w:val="24"/>
          <w:lang w:val="en-US"/>
        </w:rPr>
        <w:t>Compare and contrast</w:t>
      </w:r>
    </w:p>
    <w:p w14:paraId="0F9F91D6" w14:textId="77777777" w:rsidR="00840D19" w:rsidRPr="00C90820" w:rsidRDefault="00840D19" w:rsidP="00840D1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business development of Schneider is heavily rely on the staff commitment and innovation management. Recurring acquisitions also help the Company to expand and shift the business focus towards the need of the market. </w:t>
      </w:r>
    </w:p>
    <w:p w14:paraId="77AA8506" w14:textId="77777777" w:rsidR="00840D19" w:rsidRPr="00C90820" w:rsidRDefault="00840D19" w:rsidP="00840D19">
      <w:pPr>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C90820">
        <w:rPr>
          <w:rFonts w:ascii="Times New Roman" w:hAnsi="Times New Roman" w:cs="Times New Roman"/>
          <w:sz w:val="24"/>
          <w:szCs w:val="24"/>
          <w:lang w:val="en-US"/>
        </w:rPr>
        <w:t>he journey of Royal Philips Electronics on integrating sustainability in its businesses and processes to create value for its stakeholders, considering specific products from its consumer lifestyle division. It takes you from the origins of the company, as a frontrunner providing healthcare and schooling for employees, through eco-design initiatives, to integrating sustainability in the company's strategy. A strategy based on increasing the human development and decreasing the global ecological footprint. Different markets and stakeholders perceive sustainability differently, asking for a tailored approach according to local needs. Therefore, sustainability can be a driver for creativity and innovation, enabling customised solutions that address both functional and the emotional aspects. (Nestor and Miriam, 2012)</w:t>
      </w:r>
    </w:p>
    <w:p w14:paraId="63BE1F8E" w14:textId="2BA8BC92" w:rsidR="00840D19" w:rsidRDefault="00840D19" w:rsidP="00840D19">
      <w:pPr>
        <w:jc w:val="both"/>
        <w:rPr>
          <w:rFonts w:ascii="Times New Roman" w:hAnsi="Times New Roman" w:cs="Times New Roman"/>
          <w:sz w:val="24"/>
          <w:szCs w:val="24"/>
          <w:lang w:val="en-US"/>
        </w:rPr>
      </w:pPr>
      <w:r>
        <w:rPr>
          <w:rFonts w:ascii="Times New Roman" w:hAnsi="Times New Roman" w:cs="Times New Roman"/>
          <w:sz w:val="24"/>
          <w:szCs w:val="24"/>
          <w:lang w:val="en-US"/>
        </w:rPr>
        <w:t>Nevertheless,the innovation management, because of the transformational leadership, motivates the whole companies to be progressive, effective and efficient.</w:t>
      </w:r>
    </w:p>
    <w:p w14:paraId="0FCD657A" w14:textId="0052EB0E" w:rsidR="00840D19" w:rsidRDefault="00840D19" w:rsidP="00840D19">
      <w:pPr>
        <w:jc w:val="both"/>
        <w:rPr>
          <w:rFonts w:ascii="Times New Roman" w:hAnsi="Times New Roman" w:cs="Times New Roman"/>
          <w:sz w:val="24"/>
          <w:szCs w:val="24"/>
          <w:lang w:val="en-US"/>
        </w:rPr>
      </w:pPr>
      <w:r w:rsidRPr="00C90820">
        <w:rPr>
          <w:rFonts w:ascii="Times New Roman" w:hAnsi="Times New Roman" w:cs="Times New Roman"/>
          <w:sz w:val="24"/>
          <w:szCs w:val="24"/>
          <w:lang w:val="en-US"/>
        </w:rPr>
        <w:t xml:space="preserve">Jeanne Ross (2021) has described, “A digital offering is an information enriched solution that engages a customer in a seamless, personalized experience. These digital offerings are our new revenue streams; they make us a digital company. At Philips, it’s their information enriched solutions that take the data from things like their x-ray machines and electrocardiogram machines. At Schneider Electric, it’s their intelligent energy management solution that takes the data from their electrical equipment.” </w:t>
      </w:r>
    </w:p>
    <w:p w14:paraId="7F3D0DE9" w14:textId="48165DB7" w:rsidR="00E41C5E" w:rsidRDefault="00E41C5E" w:rsidP="00840D19">
      <w:pPr>
        <w:jc w:val="both"/>
        <w:rPr>
          <w:rFonts w:ascii="Times New Roman" w:hAnsi="Times New Roman" w:cs="Times New Roman"/>
          <w:b/>
          <w:bCs/>
          <w:sz w:val="24"/>
          <w:szCs w:val="24"/>
          <w:lang w:val="en-US"/>
        </w:rPr>
      </w:pPr>
      <w:r w:rsidRPr="00E41C5E">
        <w:rPr>
          <w:rFonts w:ascii="Times New Roman" w:hAnsi="Times New Roman" w:cs="Times New Roman"/>
          <w:b/>
          <w:bCs/>
          <w:sz w:val="24"/>
          <w:szCs w:val="24"/>
          <w:lang w:val="en-US"/>
        </w:rPr>
        <w:t>References</w:t>
      </w:r>
    </w:p>
    <w:p w14:paraId="642D97DD"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Andrew Saidy and Isabel Barbosa,2021Digital Transformation Blends Technology and Culture, SHRM Executive Network</w:t>
      </w:r>
    </w:p>
    <w:p w14:paraId="4427D8D2"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Burns, J. M. (1978). Leadership, New York: Harper &amp; Row.</w:t>
      </w:r>
    </w:p>
    <w:p w14:paraId="47B5BA78"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 xml:space="preserve">https://blog.se.com/life-at-schneider-electric/2019/11/01/artificial-intelligence-jobs-for-the-future/ </w:t>
      </w:r>
    </w:p>
    <w:p w14:paraId="21BF60B1"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https://blog.se.com/life-at-schneider-electric/2020/06/24/interview-with-charise-le-chro/</w:t>
      </w:r>
    </w:p>
    <w:p w14:paraId="45ED2AA3"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 xml:space="preserve">https://business.linkedin.com/talent-solutions/blog/internal-mobility/2020/schneider-electric-internal-mobility </w:t>
      </w:r>
    </w:p>
    <w:p w14:paraId="36897BDE"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https://smartwatermagazine.com/blogs/jean-pascal-tricoire/four-lessons-learned-about-pivoting-toward</w:t>
      </w:r>
      <w:r w:rsidRPr="00E41C5E">
        <w:rPr>
          <w:rFonts w:ascii="Times New Roman" w:hAnsi="Times New Roman" w:cs="Times New Roman"/>
          <w:sz w:val="24"/>
          <w:szCs w:val="24"/>
          <w:lang w:val="en-US"/>
        </w:rPr>
        <w:t xml:space="preserve">digital-transformation </w:t>
      </w:r>
    </w:p>
    <w:p w14:paraId="5361C685"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https://www.philips.com/a-w/about/our-history.html</w:t>
      </w:r>
    </w:p>
    <w:p w14:paraId="6909B21B"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https://www.se.com/us/en/about-us/company-profile/history/schneider-electric-history.jsp</w:t>
      </w:r>
    </w:p>
    <w:p w14:paraId="3402B530"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lastRenderedPageBreak/>
        <w:t>Jeanne Ross (2021). Handout of "Digital Transformation". MIT Centre for Information System Research.</w:t>
      </w:r>
    </w:p>
    <w:p w14:paraId="66EDC42F"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Market Line  (1/2021). Company Profile - Philips Healthcare, 12 Jan 2021</w:t>
      </w:r>
    </w:p>
    <w:p w14:paraId="4A8C1F6F"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Market Line  (10/2021). Company Profile - Schneider Electric, 14 Oct 2021</w:t>
      </w:r>
    </w:p>
    <w:p w14:paraId="7C9EAF6D"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Northouse P. G. (2016). Leadership, Theory and Practice. SAGE edge</w:t>
      </w:r>
    </w:p>
    <w:p w14:paraId="6EBCDB16"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PALMA, NESTOR CORONADO1VISSER, MIRJAM2 Sustainability creates business and brand value. Journal of Brand Strategy. Autumn2012, Vol. 1 Issue 3, p217-222.</w:t>
      </w:r>
    </w:p>
    <w:p w14:paraId="5E2DC9CF" w14:textId="77777777"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Quelch, John A. Rodriguez, Margaret L. Philips Healthcare: Marketing the HealthSuite Digital Platform. Harvard Business School Cases. May 01, 2015, p1. 13p.</w:t>
      </w:r>
    </w:p>
    <w:p w14:paraId="1D16231A" w14:textId="52B8CF5E" w:rsidR="00E41C5E" w:rsidRPr="00E41C5E" w:rsidRDefault="00E41C5E" w:rsidP="00E41C5E">
      <w:pPr>
        <w:jc w:val="both"/>
        <w:rPr>
          <w:rFonts w:ascii="Times New Roman" w:hAnsi="Times New Roman" w:cs="Times New Roman"/>
          <w:sz w:val="24"/>
          <w:szCs w:val="24"/>
          <w:lang w:val="en-US"/>
        </w:rPr>
      </w:pPr>
      <w:r w:rsidRPr="00E41C5E">
        <w:rPr>
          <w:rFonts w:ascii="Times New Roman" w:hAnsi="Times New Roman" w:cs="Times New Roman"/>
          <w:sz w:val="24"/>
          <w:szCs w:val="24"/>
          <w:lang w:val="en-US"/>
        </w:rPr>
        <w:t>"Reba L. (2012) Overcoming Global Compliance .Management Challenges RISK MANAGEMENT</w:t>
      </w:r>
      <w:r>
        <w:rPr>
          <w:rFonts w:ascii="Times New Roman" w:hAnsi="Times New Roman" w:cs="Times New Roman"/>
          <w:sz w:val="24"/>
          <w:szCs w:val="24"/>
          <w:lang w:val="en-US"/>
        </w:rPr>
        <w:t xml:space="preserve"> </w:t>
      </w:r>
      <w:r w:rsidRPr="00E41C5E">
        <w:rPr>
          <w:rFonts w:ascii="Times New Roman" w:hAnsi="Times New Roman" w:cs="Times New Roman"/>
          <w:sz w:val="24"/>
          <w:szCs w:val="24"/>
          <w:lang w:val="en-US"/>
        </w:rPr>
        <w:t>Journal of Health Care Compliance — September – October 2008</w:t>
      </w:r>
    </w:p>
    <w:p w14:paraId="55BAB975" w14:textId="77777777" w:rsidR="00840D19" w:rsidRPr="00E41C5E" w:rsidRDefault="00840D19" w:rsidP="00840D19">
      <w:pPr>
        <w:rPr>
          <w:lang w:val="en-US"/>
        </w:rPr>
      </w:pPr>
    </w:p>
    <w:p w14:paraId="1C7E67A1" w14:textId="385A5A2A" w:rsidR="00275EA0" w:rsidRPr="00E41C5E" w:rsidRDefault="00275EA0" w:rsidP="00275EA0">
      <w:pPr>
        <w:jc w:val="both"/>
        <w:rPr>
          <w:rFonts w:ascii="Times New Roman" w:hAnsi="Times New Roman" w:cs="Times New Roman"/>
          <w:sz w:val="24"/>
          <w:szCs w:val="24"/>
          <w:lang w:val="en-US"/>
        </w:rPr>
      </w:pPr>
    </w:p>
    <w:p w14:paraId="7D41CC74" w14:textId="77777777" w:rsidR="00275EA0" w:rsidRPr="00E41C5E" w:rsidRDefault="00275EA0" w:rsidP="00275EA0">
      <w:pPr>
        <w:jc w:val="both"/>
        <w:rPr>
          <w:rFonts w:ascii="Times New Roman" w:hAnsi="Times New Roman" w:cs="Times New Roman"/>
          <w:sz w:val="24"/>
          <w:szCs w:val="24"/>
          <w:lang w:val="en-US"/>
        </w:rPr>
      </w:pPr>
    </w:p>
    <w:p w14:paraId="345B8B88" w14:textId="77777777" w:rsidR="00275EA0" w:rsidRPr="00E41C5E" w:rsidRDefault="00275EA0" w:rsidP="00275EA0">
      <w:pPr>
        <w:jc w:val="both"/>
        <w:rPr>
          <w:rFonts w:ascii="Times New Roman" w:hAnsi="Times New Roman" w:cs="Times New Roman"/>
          <w:sz w:val="24"/>
          <w:szCs w:val="24"/>
        </w:rPr>
      </w:pPr>
    </w:p>
    <w:p w14:paraId="6E8CC6BB" w14:textId="29B0E72D" w:rsidR="00275EA0" w:rsidRPr="00E41C5E" w:rsidRDefault="00275EA0" w:rsidP="00275EA0">
      <w:pPr>
        <w:jc w:val="both"/>
        <w:rPr>
          <w:rFonts w:ascii="Times New Roman" w:hAnsi="Times New Roman" w:cs="Times New Roman"/>
          <w:sz w:val="24"/>
          <w:szCs w:val="24"/>
        </w:rPr>
      </w:pPr>
    </w:p>
    <w:p w14:paraId="02A181D8" w14:textId="77777777" w:rsidR="00275EA0" w:rsidRPr="00275EA0" w:rsidRDefault="00275EA0" w:rsidP="00275EA0">
      <w:pPr>
        <w:jc w:val="both"/>
        <w:rPr>
          <w:rFonts w:ascii="Times New Roman" w:hAnsi="Times New Roman" w:cs="Times New Roman"/>
          <w:sz w:val="24"/>
          <w:szCs w:val="24"/>
        </w:rPr>
      </w:pPr>
    </w:p>
    <w:p w14:paraId="0E25E9C1" w14:textId="77777777" w:rsidR="00275EA0" w:rsidRPr="00275EA0" w:rsidRDefault="00275EA0" w:rsidP="00275EA0">
      <w:pPr>
        <w:jc w:val="both"/>
        <w:rPr>
          <w:rFonts w:ascii="Times New Roman" w:hAnsi="Times New Roman" w:cs="Times New Roman"/>
          <w:sz w:val="24"/>
          <w:szCs w:val="24"/>
        </w:rPr>
      </w:pPr>
    </w:p>
    <w:p w14:paraId="5ACD889B" w14:textId="77777777" w:rsidR="00275EA0" w:rsidRPr="00275EA0" w:rsidRDefault="00275EA0" w:rsidP="00275EA0">
      <w:pPr>
        <w:rPr>
          <w:rFonts w:ascii="Times New Roman" w:hAnsi="Times New Roman" w:cs="Times New Roman"/>
          <w:sz w:val="24"/>
          <w:szCs w:val="24"/>
          <w:lang w:val="en-US"/>
        </w:rPr>
      </w:pPr>
    </w:p>
    <w:p w14:paraId="04D8307D" w14:textId="77777777" w:rsidR="00275EA0" w:rsidRPr="00275EA0" w:rsidRDefault="00275EA0" w:rsidP="00275EA0">
      <w:pPr>
        <w:rPr>
          <w:rFonts w:ascii="Times New Roman" w:hAnsi="Times New Roman" w:cs="Times New Roman"/>
          <w:sz w:val="24"/>
          <w:szCs w:val="24"/>
          <w:lang w:val="en-US"/>
        </w:rPr>
      </w:pPr>
    </w:p>
    <w:p w14:paraId="39CBA81E" w14:textId="54FD593E" w:rsidR="00275EA0" w:rsidRPr="00275EA0" w:rsidRDefault="00275EA0" w:rsidP="00275EA0">
      <w:pPr>
        <w:jc w:val="both"/>
        <w:rPr>
          <w:rFonts w:ascii="Times New Roman" w:hAnsi="Times New Roman" w:cs="Times New Roman"/>
          <w:sz w:val="24"/>
          <w:szCs w:val="24"/>
          <w:lang w:val="en-US"/>
        </w:rPr>
      </w:pPr>
    </w:p>
    <w:p w14:paraId="16559144" w14:textId="77777777" w:rsidR="00275EA0" w:rsidRPr="00275EA0" w:rsidRDefault="00275EA0" w:rsidP="00275EA0">
      <w:pPr>
        <w:jc w:val="both"/>
        <w:rPr>
          <w:rFonts w:ascii="Times New Roman" w:hAnsi="Times New Roman" w:cs="Times New Roman"/>
          <w:sz w:val="24"/>
          <w:szCs w:val="24"/>
          <w:lang w:val="en-US"/>
        </w:rPr>
      </w:pPr>
    </w:p>
    <w:p w14:paraId="23F16AC5" w14:textId="77777777" w:rsidR="00275EA0" w:rsidRPr="00275EA0" w:rsidRDefault="00275EA0" w:rsidP="00275EA0">
      <w:pPr>
        <w:jc w:val="both"/>
        <w:rPr>
          <w:rFonts w:ascii="Times New Roman" w:hAnsi="Times New Roman" w:cs="Times New Roman"/>
          <w:sz w:val="24"/>
          <w:szCs w:val="24"/>
          <w:lang w:val="en-US"/>
        </w:rPr>
      </w:pPr>
    </w:p>
    <w:p w14:paraId="7F99BDA9" w14:textId="77777777" w:rsidR="00275EA0" w:rsidRPr="00275EA0" w:rsidRDefault="00275EA0" w:rsidP="00275EA0">
      <w:pPr>
        <w:rPr>
          <w:rFonts w:ascii="Times New Roman" w:hAnsi="Times New Roman" w:cs="Times New Roman"/>
          <w:sz w:val="24"/>
          <w:szCs w:val="24"/>
          <w:lang w:val="en-US"/>
        </w:rPr>
      </w:pPr>
    </w:p>
    <w:p w14:paraId="480E0224" w14:textId="77777777" w:rsidR="00275EA0" w:rsidRPr="00275EA0" w:rsidRDefault="00275EA0" w:rsidP="00275EA0">
      <w:pPr>
        <w:rPr>
          <w:rFonts w:ascii="Times New Roman" w:hAnsi="Times New Roman" w:cs="Times New Roman"/>
          <w:sz w:val="24"/>
          <w:szCs w:val="24"/>
          <w:lang w:val="en-US"/>
        </w:rPr>
      </w:pPr>
    </w:p>
    <w:p w14:paraId="5C7501C2" w14:textId="77777777" w:rsidR="00275EA0" w:rsidRPr="00275EA0" w:rsidRDefault="00275EA0" w:rsidP="00275EA0">
      <w:pPr>
        <w:rPr>
          <w:rFonts w:ascii="Times New Roman" w:hAnsi="Times New Roman" w:cs="Times New Roman"/>
          <w:sz w:val="24"/>
          <w:szCs w:val="24"/>
          <w:lang w:val="en-US"/>
        </w:rPr>
      </w:pPr>
    </w:p>
    <w:p w14:paraId="0FD151C9" w14:textId="77777777" w:rsidR="00275EA0" w:rsidRPr="00275EA0" w:rsidRDefault="00275EA0" w:rsidP="00275EA0">
      <w:pPr>
        <w:rPr>
          <w:rFonts w:ascii="Times New Roman" w:hAnsi="Times New Roman" w:cs="Times New Roman"/>
          <w:sz w:val="24"/>
          <w:szCs w:val="24"/>
          <w:lang w:val="en-US"/>
        </w:rPr>
      </w:pPr>
    </w:p>
    <w:p w14:paraId="519CF866" w14:textId="0DF24B02" w:rsidR="007B22FA" w:rsidRPr="00275EA0" w:rsidRDefault="007B22FA" w:rsidP="007B22FA">
      <w:pPr>
        <w:jc w:val="both"/>
        <w:rPr>
          <w:rFonts w:ascii="Times New Roman" w:hAnsi="Times New Roman" w:cs="Times New Roman"/>
          <w:sz w:val="24"/>
          <w:szCs w:val="24"/>
          <w:lang w:val="en-US"/>
        </w:rPr>
      </w:pPr>
    </w:p>
    <w:p w14:paraId="2334390F" w14:textId="77777777" w:rsidR="007B22FA" w:rsidRPr="00275EA0" w:rsidRDefault="007B22FA" w:rsidP="007B22FA">
      <w:pPr>
        <w:jc w:val="both"/>
        <w:rPr>
          <w:rFonts w:ascii="Times New Roman" w:hAnsi="Times New Roman" w:cs="Times New Roman"/>
          <w:sz w:val="24"/>
          <w:szCs w:val="24"/>
          <w:lang w:val="en-US"/>
        </w:rPr>
      </w:pPr>
    </w:p>
    <w:p w14:paraId="5322E81C" w14:textId="77777777" w:rsidR="007B22FA" w:rsidRPr="00275EA0" w:rsidRDefault="007B22FA" w:rsidP="007B22FA">
      <w:pPr>
        <w:jc w:val="both"/>
        <w:rPr>
          <w:rFonts w:ascii="Times New Roman" w:hAnsi="Times New Roman" w:cs="Times New Roman"/>
          <w:sz w:val="24"/>
          <w:szCs w:val="24"/>
          <w:lang w:val="en-US"/>
        </w:rPr>
      </w:pPr>
    </w:p>
    <w:p w14:paraId="54E9096B" w14:textId="77777777" w:rsidR="007B22FA" w:rsidRPr="00275EA0" w:rsidRDefault="007B22FA" w:rsidP="007B22FA">
      <w:pPr>
        <w:rPr>
          <w:rFonts w:ascii="Times New Roman" w:hAnsi="Times New Roman" w:cs="Times New Roman"/>
          <w:sz w:val="24"/>
          <w:szCs w:val="24"/>
          <w:lang w:val="en-US"/>
        </w:rPr>
      </w:pPr>
    </w:p>
    <w:p w14:paraId="0B1B387F" w14:textId="77777777" w:rsidR="007B22FA" w:rsidRPr="00275EA0" w:rsidRDefault="007B22FA" w:rsidP="007B22FA">
      <w:pPr>
        <w:rPr>
          <w:rFonts w:ascii="Times New Roman" w:hAnsi="Times New Roman" w:cs="Times New Roman"/>
          <w:sz w:val="24"/>
          <w:szCs w:val="24"/>
          <w:lang w:val="en-US"/>
        </w:rPr>
      </w:pPr>
    </w:p>
    <w:p w14:paraId="2E5325D2" w14:textId="77777777" w:rsidR="007B22FA" w:rsidRPr="00275EA0" w:rsidRDefault="007B22FA" w:rsidP="007B22FA">
      <w:pPr>
        <w:rPr>
          <w:rFonts w:ascii="Times New Roman" w:hAnsi="Times New Roman" w:cs="Times New Roman"/>
          <w:sz w:val="24"/>
          <w:szCs w:val="24"/>
          <w:lang w:val="en-US"/>
        </w:rPr>
      </w:pPr>
    </w:p>
    <w:p w14:paraId="46DEC048" w14:textId="77777777" w:rsidR="007B22FA" w:rsidRPr="00275EA0" w:rsidRDefault="007B22FA" w:rsidP="007B22FA">
      <w:pPr>
        <w:rPr>
          <w:rFonts w:ascii="Times New Roman" w:hAnsi="Times New Roman" w:cs="Times New Roman"/>
          <w:sz w:val="24"/>
          <w:szCs w:val="24"/>
          <w:lang w:val="en-US"/>
        </w:rPr>
      </w:pPr>
    </w:p>
    <w:p w14:paraId="6A835F92" w14:textId="77777777" w:rsidR="007B22FA" w:rsidRPr="00275EA0" w:rsidRDefault="007B22FA" w:rsidP="007B22FA">
      <w:pPr>
        <w:rPr>
          <w:rFonts w:ascii="Times New Roman" w:hAnsi="Times New Roman" w:cs="Times New Roman"/>
          <w:sz w:val="24"/>
          <w:szCs w:val="24"/>
          <w:lang w:val="en-US"/>
        </w:rPr>
      </w:pPr>
    </w:p>
    <w:p w14:paraId="4CF666F0" w14:textId="77777777" w:rsidR="007B22FA" w:rsidRPr="00275EA0" w:rsidRDefault="007B22FA" w:rsidP="007B22FA">
      <w:pPr>
        <w:rPr>
          <w:rFonts w:ascii="Times New Roman" w:hAnsi="Times New Roman" w:cs="Times New Roman"/>
          <w:sz w:val="24"/>
          <w:szCs w:val="24"/>
          <w:lang w:val="en-US"/>
        </w:rPr>
      </w:pPr>
    </w:p>
    <w:p w14:paraId="23D7EB8B" w14:textId="77777777" w:rsidR="007B22FA" w:rsidRPr="00275EA0" w:rsidRDefault="007B22FA" w:rsidP="007B22FA">
      <w:pPr>
        <w:rPr>
          <w:rFonts w:ascii="Times New Roman" w:hAnsi="Times New Roman" w:cs="Times New Roman"/>
          <w:sz w:val="24"/>
          <w:szCs w:val="24"/>
          <w:lang w:val="en-US"/>
        </w:rPr>
      </w:pPr>
    </w:p>
    <w:p w14:paraId="54CF213C" w14:textId="293ADBC2" w:rsidR="007B22FA" w:rsidRPr="00275EA0" w:rsidRDefault="007B22FA">
      <w:pPr>
        <w:rPr>
          <w:rFonts w:ascii="Times New Roman" w:hAnsi="Times New Roman" w:cs="Times New Roman"/>
          <w:sz w:val="24"/>
          <w:szCs w:val="24"/>
          <w:lang w:val="en-US"/>
        </w:rPr>
      </w:pPr>
    </w:p>
    <w:p w14:paraId="520D6D9A" w14:textId="77777777" w:rsidR="007B22FA" w:rsidRPr="00275EA0" w:rsidRDefault="007B22FA">
      <w:pPr>
        <w:rPr>
          <w:rFonts w:ascii="Times New Roman" w:hAnsi="Times New Roman" w:cs="Times New Roman"/>
          <w:sz w:val="24"/>
          <w:szCs w:val="24"/>
          <w:lang w:val="en-US"/>
        </w:rPr>
      </w:pPr>
    </w:p>
    <w:p w14:paraId="4F2DE5B7" w14:textId="77777777" w:rsidR="007B22FA" w:rsidRPr="00275EA0" w:rsidRDefault="007B22FA">
      <w:pPr>
        <w:rPr>
          <w:rFonts w:ascii="Times New Roman" w:hAnsi="Times New Roman" w:cs="Times New Roman"/>
          <w:sz w:val="24"/>
          <w:szCs w:val="24"/>
          <w:lang w:val="en-US"/>
        </w:rPr>
      </w:pPr>
    </w:p>
    <w:sectPr w:rsidR="007B22FA" w:rsidRPr="00275E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0MrOwMDE3tDA3NTFS0lEKTi0uzszPAykwqgUAkeD+LSwAAAA="/>
  </w:docVars>
  <w:rsids>
    <w:rsidRoot w:val="00887154"/>
    <w:rsid w:val="00275EA0"/>
    <w:rsid w:val="00570C6E"/>
    <w:rsid w:val="007B22FA"/>
    <w:rsid w:val="00840D19"/>
    <w:rsid w:val="00887154"/>
    <w:rsid w:val="00BD12BB"/>
    <w:rsid w:val="00E41C5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F492A"/>
  <w15:chartTrackingRefBased/>
  <w15:docId w15:val="{BD03D380-4934-47B5-B6F3-3F1D5CFC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70C6E"/>
    <w:pPr>
      <w:keepNext/>
      <w:spacing w:after="0" w:line="240" w:lineRule="auto"/>
      <w:jc w:val="both"/>
      <w:outlineLvl w:val="1"/>
    </w:pPr>
    <w:rPr>
      <w:rFonts w:ascii="Times New Roman" w:eastAsia="PMingLiU" w:hAnsi="Times New Roman" w:cs="Times New Roman"/>
      <w:b/>
      <w:sz w:val="24"/>
      <w:szCs w:val="20"/>
      <w:lang w:val="en-GB" w:eastAsia="en-GB"/>
    </w:rPr>
  </w:style>
  <w:style w:type="paragraph" w:styleId="Heading4">
    <w:name w:val="heading 4"/>
    <w:basedOn w:val="Normal"/>
    <w:next w:val="Normal"/>
    <w:link w:val="Heading4Char"/>
    <w:qFormat/>
    <w:rsid w:val="00570C6E"/>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70C6E"/>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570C6E"/>
    <w:rPr>
      <w:rFonts w:ascii="Times New Roman" w:eastAsia="PMingLiU" w:hAnsi="Times New Roman" w:cs="Times New Roman"/>
      <w:sz w:val="40"/>
      <w:szCs w:val="20"/>
      <w:lang w:val="en-GB" w:eastAsia="en-GB"/>
    </w:rPr>
  </w:style>
  <w:style w:type="paragraph" w:styleId="Header">
    <w:name w:val="header"/>
    <w:basedOn w:val="Normal"/>
    <w:link w:val="HeaderChar"/>
    <w:rsid w:val="00570C6E"/>
    <w:pPr>
      <w:tabs>
        <w:tab w:val="center" w:pos="4153"/>
        <w:tab w:val="right" w:pos="8306"/>
      </w:tabs>
      <w:spacing w:after="0" w:line="240" w:lineRule="auto"/>
    </w:pPr>
    <w:rPr>
      <w:rFonts w:ascii="Times New Roman" w:eastAsia="PMingLiU" w:hAnsi="Times New Roman" w:cs="Times New Roman"/>
      <w:sz w:val="20"/>
      <w:szCs w:val="20"/>
      <w:lang w:val="en-GB" w:eastAsia="en-GB"/>
    </w:rPr>
  </w:style>
  <w:style w:type="character" w:customStyle="1" w:styleId="HeaderChar">
    <w:name w:val="Header Char"/>
    <w:basedOn w:val="DefaultParagraphFont"/>
    <w:link w:val="Header"/>
    <w:rsid w:val="00570C6E"/>
    <w:rPr>
      <w:rFonts w:ascii="Times New Roman" w:eastAsia="PMingLiU"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7145</Words>
  <Characters>40729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clive chan</dc:creator>
  <cp:keywords/>
  <dc:description/>
  <cp:lastModifiedBy>clive chan</cp:lastModifiedBy>
  <cp:revision>3</cp:revision>
  <dcterms:created xsi:type="dcterms:W3CDTF">2022-03-07T15:54:00Z</dcterms:created>
  <dcterms:modified xsi:type="dcterms:W3CDTF">2022-03-07T15:56:00Z</dcterms:modified>
</cp:coreProperties>
</file>