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722"/>
        <w:gridCol w:w="3647"/>
        <w:gridCol w:w="3647"/>
      </w:tblGrid>
      <w:tr w:rsidR="00137754" w14:paraId="02A7CBB1" w14:textId="77777777" w:rsidTr="00417414">
        <w:tc>
          <w:tcPr>
            <w:tcW w:w="1722" w:type="dxa"/>
          </w:tcPr>
          <w:p w14:paraId="7E0E2463" w14:textId="77777777" w:rsidR="00137754" w:rsidRDefault="00137754" w:rsidP="00417414">
            <w:pPr>
              <w:pStyle w:val="AssignBody"/>
            </w:pPr>
          </w:p>
        </w:tc>
        <w:tc>
          <w:tcPr>
            <w:tcW w:w="3647" w:type="dxa"/>
          </w:tcPr>
          <w:p w14:paraId="7F96E36C" w14:textId="77777777" w:rsidR="00137754" w:rsidRDefault="00137754" w:rsidP="00417414">
            <w:pPr>
              <w:pStyle w:val="AssignBody"/>
            </w:pPr>
            <w:proofErr w:type="spellStart"/>
            <w:r>
              <w:t>Targed</w:t>
            </w:r>
            <w:proofErr w:type="spellEnd"/>
            <w:r>
              <w:t>/target</w:t>
            </w:r>
          </w:p>
        </w:tc>
        <w:tc>
          <w:tcPr>
            <w:tcW w:w="3647" w:type="dxa"/>
          </w:tcPr>
          <w:p w14:paraId="5A9F9102" w14:textId="77777777" w:rsidR="00137754" w:rsidRDefault="00137754" w:rsidP="00417414">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 xml:space="preserve">Yr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68ACD6C" w14:textId="77777777" w:rsidR="00137754" w:rsidRDefault="00137754" w:rsidP="00417414">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05F77DF5" w14:textId="77777777" w:rsidR="00137754" w:rsidRDefault="00137754" w:rsidP="00417414">
            <w:pPr>
              <w:pStyle w:val="AssignBody"/>
            </w:pPr>
          </w:p>
        </w:tc>
      </w:tr>
      <w:tr w:rsidR="00137754" w14:paraId="58696D09" w14:textId="77777777" w:rsidTr="00417414">
        <w:tc>
          <w:tcPr>
            <w:tcW w:w="1722" w:type="dxa"/>
          </w:tcPr>
          <w:p w14:paraId="7A3DF4CD" w14:textId="77777777" w:rsidR="00137754" w:rsidRDefault="00137754" w:rsidP="00417414">
            <w:pPr>
              <w:pStyle w:val="AssignBody"/>
            </w:pPr>
            <w:proofErr w:type="spellStart"/>
            <w:r>
              <w:t>T</w:t>
            </w:r>
            <w:bookmarkStart w:id="0" w:name="cysill"/>
            <w:bookmarkEnd w:id="0"/>
            <w:r>
              <w:t>arged</w:t>
            </w:r>
            <w:proofErr w:type="spellEnd"/>
            <w:r>
              <w:t>/Target 1</w:t>
            </w:r>
          </w:p>
        </w:tc>
        <w:tc>
          <w:tcPr>
            <w:tcW w:w="3647" w:type="dxa"/>
          </w:tcPr>
          <w:p w14:paraId="69B790F9" w14:textId="77777777" w:rsidR="00137754" w:rsidRPr="00137754" w:rsidRDefault="00137754" w:rsidP="00137754">
            <w:pPr>
              <w:pStyle w:val="AssignBody"/>
            </w:pPr>
            <w:r w:rsidRPr="00137754">
              <w:t xml:space="preserve">Moving forward to Level 7 assignments, continue to read more widely and explore other possible strategies to support children with ADHD and their </w:t>
            </w:r>
            <w:proofErr w:type="spellStart"/>
            <w:r w:rsidRPr="00137754">
              <w:t>pros+cons</w:t>
            </w:r>
            <w:proofErr w:type="spellEnd"/>
            <w:r w:rsidRPr="00137754">
              <w:t xml:space="preserve"> (e.g. visual aids, fidget tools, or technologies etc.)</w:t>
            </w:r>
          </w:p>
          <w:p w14:paraId="35E562D3" w14:textId="77777777" w:rsidR="00137754" w:rsidRDefault="00137754" w:rsidP="00417414">
            <w:pPr>
              <w:pStyle w:val="AssignBody"/>
            </w:pPr>
          </w:p>
        </w:tc>
        <w:tc>
          <w:tcPr>
            <w:tcW w:w="3647" w:type="dxa"/>
          </w:tcPr>
          <w:p w14:paraId="3C0CF6EB" w14:textId="57B9B5AD" w:rsidR="00137754" w:rsidRDefault="00A4738E" w:rsidP="00417414">
            <w:pPr>
              <w:pStyle w:val="AssignBody"/>
            </w:pPr>
            <w:r>
              <w:t>Not applicable to this assignment.</w:t>
            </w:r>
          </w:p>
        </w:tc>
      </w:tr>
      <w:tr w:rsidR="00137754" w14:paraId="0BAE6E16" w14:textId="77777777" w:rsidTr="00417414">
        <w:tc>
          <w:tcPr>
            <w:tcW w:w="1722" w:type="dxa"/>
          </w:tcPr>
          <w:p w14:paraId="5F88E00A" w14:textId="77777777" w:rsidR="00137754" w:rsidRDefault="00137754" w:rsidP="00417414">
            <w:pPr>
              <w:pStyle w:val="AssignBody"/>
            </w:pPr>
            <w:proofErr w:type="spellStart"/>
            <w:r>
              <w:t>Targed</w:t>
            </w:r>
            <w:proofErr w:type="spellEnd"/>
            <w:r>
              <w:t>/Target 2</w:t>
            </w:r>
          </w:p>
        </w:tc>
        <w:tc>
          <w:tcPr>
            <w:tcW w:w="3647" w:type="dxa"/>
          </w:tcPr>
          <w:p w14:paraId="2C18D249" w14:textId="031C255B" w:rsidR="00A4738E" w:rsidRPr="00A4738E" w:rsidRDefault="00A4738E" w:rsidP="00A4738E">
            <w:pPr>
              <w:pStyle w:val="AssignBody"/>
            </w:pPr>
            <w:r w:rsidRPr="00A4738E">
              <w:t>Consider careful proofreading your future work to eliminate any spelling/referencing inaccuracies. For example, there were inaccuracies of direct quotations with/without page numbers. Please consult the latest Harvard Referencing handbook to ensure consistent accurate referencing via Intranet</w:t>
            </w:r>
            <w:r w:rsidRPr="00A4738E">
              <w:t xml:space="preserve"> </w:t>
            </w:r>
          </w:p>
          <w:p w14:paraId="2107BD72" w14:textId="77777777" w:rsidR="00137754" w:rsidRDefault="00137754" w:rsidP="00417414">
            <w:pPr>
              <w:pStyle w:val="AssignBody"/>
            </w:pPr>
          </w:p>
        </w:tc>
        <w:tc>
          <w:tcPr>
            <w:tcW w:w="3647" w:type="dxa"/>
          </w:tcPr>
          <w:p w14:paraId="7F8F724F" w14:textId="77777777" w:rsidR="00137754" w:rsidRDefault="00A4738E" w:rsidP="00417414">
            <w:pPr>
              <w:pStyle w:val="AssignBody"/>
            </w:pPr>
            <w:r>
              <w:t>I have read over my work to ensure that it flows and there aren’t any spelling mistakes.</w:t>
            </w:r>
          </w:p>
          <w:p w14:paraId="40FB81C6" w14:textId="120DB27E" w:rsidR="00A4738E" w:rsidRDefault="00A4738E" w:rsidP="00417414">
            <w:pPr>
              <w:pStyle w:val="AssignBody"/>
            </w:pPr>
            <w:r>
              <w:t>I read over the university referencing guide to ensure that my referencing is consistent and correct.</w:t>
            </w:r>
          </w:p>
        </w:tc>
      </w:tr>
      <w:tr w:rsidR="00137754" w14:paraId="6F6F3D3F" w14:textId="77777777" w:rsidTr="00417414">
        <w:tc>
          <w:tcPr>
            <w:tcW w:w="1722" w:type="dxa"/>
          </w:tcPr>
          <w:p w14:paraId="3DC1FDB6" w14:textId="77777777" w:rsidR="00137754" w:rsidRDefault="00137754" w:rsidP="00417414">
            <w:pPr>
              <w:pStyle w:val="AssignBody"/>
            </w:pPr>
            <w:proofErr w:type="spellStart"/>
            <w:r>
              <w:t>Targed</w:t>
            </w:r>
            <w:proofErr w:type="spellEnd"/>
            <w:r>
              <w:t>/Target 3</w:t>
            </w:r>
          </w:p>
        </w:tc>
        <w:tc>
          <w:tcPr>
            <w:tcW w:w="3647" w:type="dxa"/>
          </w:tcPr>
          <w:p w14:paraId="0754DE02" w14:textId="77777777" w:rsidR="00A4738E" w:rsidRPr="00A4738E" w:rsidRDefault="00A4738E" w:rsidP="00A4738E">
            <w:pPr>
              <w:pStyle w:val="AssignBody"/>
            </w:pPr>
            <w:r w:rsidRPr="00A4738E">
              <w:t>There were places indicating high similarity, which is not suitable for blogs or academic writing. To improve the originality and depth of analysis, it would be beneficial to paraphrase the quotes in your own words, to show your own understanding and enhance the flow, as well as reduce the risk of unintentional plagiarism.</w:t>
            </w:r>
          </w:p>
          <w:p w14:paraId="562F000A" w14:textId="77777777" w:rsidR="00137754" w:rsidRDefault="00137754" w:rsidP="00417414">
            <w:pPr>
              <w:pStyle w:val="AssignBody"/>
            </w:pPr>
          </w:p>
        </w:tc>
        <w:tc>
          <w:tcPr>
            <w:tcW w:w="3647" w:type="dxa"/>
          </w:tcPr>
          <w:p w14:paraId="64216010" w14:textId="43D23F76" w:rsidR="00137754" w:rsidRDefault="00A4738E" w:rsidP="00417414">
            <w:pPr>
              <w:pStyle w:val="AssignBody"/>
            </w:pPr>
            <w:r>
              <w:t>Wherever I could I paraphrased to improve the analysis of the source. There were some direct quotes that I felt were more appropriate to leave as a direct quote.</w:t>
            </w:r>
          </w:p>
        </w:tc>
      </w:tr>
    </w:tbl>
    <w:p w14:paraId="78955E72" w14:textId="77777777" w:rsidR="00A4738E" w:rsidRDefault="00A4738E" w:rsidP="00A4738E">
      <w:pPr>
        <w:spacing w:line="360" w:lineRule="auto"/>
        <w:rPr>
          <w:rFonts w:ascii="Arial" w:hAnsi="Arial" w:cs="Arial"/>
          <w:b/>
          <w:bCs/>
          <w:sz w:val="36"/>
          <w:szCs w:val="36"/>
          <w:u w:val="single"/>
        </w:rPr>
      </w:pPr>
    </w:p>
    <w:p w14:paraId="6C1DFCAC" w14:textId="179DB547" w:rsidR="008A1EF4" w:rsidRDefault="008A1EF4" w:rsidP="008A1EF4">
      <w:pPr>
        <w:spacing w:line="360" w:lineRule="auto"/>
        <w:rPr>
          <w:rFonts w:ascii="Arial" w:hAnsi="Arial" w:cs="Arial"/>
          <w:b/>
          <w:bCs/>
          <w:sz w:val="36"/>
          <w:szCs w:val="36"/>
          <w:u w:val="single"/>
        </w:rPr>
      </w:pPr>
    </w:p>
    <w:p w14:paraId="724B2E8F" w14:textId="77777777" w:rsidR="008A1EF4" w:rsidRPr="008A1EF4" w:rsidRDefault="008A1EF4" w:rsidP="008A1EF4">
      <w:pPr>
        <w:spacing w:line="360" w:lineRule="auto"/>
        <w:rPr>
          <w:rFonts w:ascii="Arial" w:hAnsi="Arial" w:cs="Arial"/>
          <w:sz w:val="14"/>
          <w:szCs w:val="14"/>
        </w:rPr>
      </w:pPr>
    </w:p>
    <w:p w14:paraId="4EC2A223" w14:textId="47487613" w:rsidR="008A1EF4" w:rsidRPr="008A1EF4" w:rsidRDefault="008A1EF4" w:rsidP="008A1EF4">
      <w:pPr>
        <w:spacing w:line="360" w:lineRule="auto"/>
        <w:rPr>
          <w:rFonts w:ascii="Arial" w:hAnsi="Arial" w:cs="Arial"/>
          <w:sz w:val="18"/>
          <w:szCs w:val="18"/>
          <w:u w:val="single"/>
        </w:rPr>
      </w:pPr>
      <w:r w:rsidRPr="008A1EF4">
        <w:rPr>
          <w:rFonts w:ascii="Arial" w:hAnsi="Arial" w:cs="Arial"/>
          <w:sz w:val="18"/>
          <w:szCs w:val="18"/>
          <w:u w:val="single"/>
        </w:rPr>
        <w:t>AI Declaration</w:t>
      </w:r>
    </w:p>
    <w:p w14:paraId="4229F347" w14:textId="549E0F6D" w:rsidR="008A1EF4" w:rsidRPr="008A1EF4" w:rsidRDefault="008A1EF4" w:rsidP="008A1EF4">
      <w:pPr>
        <w:spacing w:line="360" w:lineRule="auto"/>
        <w:rPr>
          <w:rFonts w:ascii="Arial" w:hAnsi="Arial" w:cs="Arial"/>
          <w:sz w:val="18"/>
          <w:szCs w:val="18"/>
        </w:rPr>
      </w:pPr>
      <w:r w:rsidRPr="008A1EF4">
        <w:rPr>
          <w:rFonts w:ascii="Arial" w:hAnsi="Arial" w:cs="Arial"/>
          <w:sz w:val="18"/>
          <w:szCs w:val="18"/>
        </w:rPr>
        <w:t xml:space="preserve">I acknowledge the use of </w:t>
      </w:r>
      <w:r w:rsidRPr="008A1EF4">
        <w:rPr>
          <w:rFonts w:ascii="Arial" w:hAnsi="Arial" w:cs="Arial"/>
          <w:sz w:val="18"/>
          <w:szCs w:val="18"/>
        </w:rPr>
        <w:t>Grammarly</w:t>
      </w:r>
      <w:r w:rsidRPr="008A1EF4">
        <w:rPr>
          <w:rFonts w:ascii="Arial" w:hAnsi="Arial" w:cs="Arial"/>
          <w:sz w:val="18"/>
          <w:szCs w:val="18"/>
        </w:rPr>
        <w:t xml:space="preserve"> (</w:t>
      </w:r>
      <w:hyperlink r:id="rId7" w:history="1">
        <w:r w:rsidRPr="008A1EF4">
          <w:rPr>
            <w:rStyle w:val="Hyperlink"/>
            <w:rFonts w:ascii="Arial" w:hAnsi="Arial" w:cs="Arial"/>
            <w:sz w:val="18"/>
            <w:szCs w:val="18"/>
          </w:rPr>
          <w:t>https://app.grammarly.com/</w:t>
        </w:r>
      </w:hyperlink>
      <w:r w:rsidRPr="008A1EF4">
        <w:rPr>
          <w:rFonts w:ascii="Arial" w:hAnsi="Arial" w:cs="Arial"/>
          <w:sz w:val="18"/>
          <w:szCs w:val="18"/>
        </w:rPr>
        <w:t xml:space="preserve">) </w:t>
      </w:r>
      <w:r w:rsidRPr="008A1EF4">
        <w:rPr>
          <w:rFonts w:ascii="Arial" w:hAnsi="Arial" w:cs="Arial"/>
          <w:sz w:val="18"/>
          <w:szCs w:val="18"/>
        </w:rPr>
        <w:t>on 2</w:t>
      </w:r>
      <w:r w:rsidRPr="008A1EF4">
        <w:rPr>
          <w:rFonts w:ascii="Arial" w:hAnsi="Arial" w:cs="Arial"/>
          <w:sz w:val="18"/>
          <w:szCs w:val="18"/>
        </w:rPr>
        <w:t>0 February</w:t>
      </w:r>
      <w:r w:rsidRPr="008A1EF4">
        <w:rPr>
          <w:rFonts w:ascii="Arial" w:hAnsi="Arial" w:cs="Arial"/>
          <w:sz w:val="18"/>
          <w:szCs w:val="18"/>
        </w:rPr>
        <w:t xml:space="preserve"> 202</w:t>
      </w:r>
      <w:r w:rsidRPr="008A1EF4">
        <w:rPr>
          <w:rFonts w:ascii="Arial" w:hAnsi="Arial" w:cs="Arial"/>
          <w:sz w:val="18"/>
          <w:szCs w:val="18"/>
        </w:rPr>
        <w:t>5</w:t>
      </w:r>
      <w:r w:rsidRPr="008A1EF4">
        <w:rPr>
          <w:rFonts w:ascii="Arial" w:hAnsi="Arial" w:cs="Arial"/>
          <w:sz w:val="18"/>
          <w:szCs w:val="18"/>
        </w:rPr>
        <w:t xml:space="preserve"> to </w:t>
      </w:r>
      <w:r w:rsidRPr="008A1EF4">
        <w:rPr>
          <w:rFonts w:ascii="Arial" w:hAnsi="Arial" w:cs="Arial"/>
          <w:sz w:val="18"/>
          <w:szCs w:val="18"/>
        </w:rPr>
        <w:t>check over my spelling and grammar</w:t>
      </w:r>
    </w:p>
    <w:p w14:paraId="258A03EF" w14:textId="33796315" w:rsidR="008A1EF4" w:rsidRPr="008A1EF4" w:rsidRDefault="008A1EF4" w:rsidP="008A1EF4">
      <w:pPr>
        <w:spacing w:line="360" w:lineRule="auto"/>
        <w:rPr>
          <w:rFonts w:ascii="Arial" w:hAnsi="Arial" w:cs="Arial"/>
          <w:sz w:val="18"/>
          <w:szCs w:val="18"/>
        </w:rPr>
      </w:pPr>
      <w:r w:rsidRPr="008A1EF4">
        <w:rPr>
          <w:rFonts w:ascii="Arial" w:hAnsi="Arial" w:cs="Arial"/>
          <w:sz w:val="18"/>
          <w:szCs w:val="18"/>
        </w:rPr>
        <w:t xml:space="preserve">1. </w:t>
      </w:r>
      <w:r w:rsidRPr="008A1EF4">
        <w:rPr>
          <w:rFonts w:ascii="Arial" w:hAnsi="Arial" w:cs="Arial"/>
          <w:sz w:val="18"/>
          <w:szCs w:val="18"/>
        </w:rPr>
        <w:t>Check over the text for spelling, grammar and flow.</w:t>
      </w:r>
    </w:p>
    <w:p w14:paraId="70DFBF2A" w14:textId="025190B9" w:rsidR="008A1EF4" w:rsidRPr="008A1EF4" w:rsidRDefault="008A1EF4" w:rsidP="008A1EF4">
      <w:pPr>
        <w:spacing w:line="360" w:lineRule="auto"/>
        <w:rPr>
          <w:rFonts w:ascii="Arial" w:hAnsi="Arial" w:cs="Arial"/>
          <w:sz w:val="18"/>
          <w:szCs w:val="18"/>
        </w:rPr>
      </w:pPr>
      <w:r w:rsidRPr="008A1EF4">
        <w:rPr>
          <w:rFonts w:ascii="Arial" w:hAnsi="Arial" w:cs="Arial"/>
          <w:sz w:val="18"/>
          <w:szCs w:val="18"/>
        </w:rPr>
        <w:t>I confirm that I have not presented any AI generated text as my own work. I confirm I</w:t>
      </w:r>
      <w:r w:rsidRPr="008A1EF4">
        <w:rPr>
          <w:rFonts w:ascii="Arial" w:hAnsi="Arial" w:cs="Arial"/>
          <w:sz w:val="18"/>
          <w:szCs w:val="18"/>
        </w:rPr>
        <w:t xml:space="preserve"> </w:t>
      </w:r>
      <w:r w:rsidRPr="008A1EF4">
        <w:rPr>
          <w:rFonts w:ascii="Arial" w:hAnsi="Arial" w:cs="Arial"/>
          <w:sz w:val="18"/>
          <w:szCs w:val="18"/>
        </w:rPr>
        <w:t>have copies of my drafts, notes, and other resources I used before, and after the use of</w:t>
      </w:r>
      <w:r w:rsidRPr="008A1EF4">
        <w:rPr>
          <w:rFonts w:ascii="Arial" w:hAnsi="Arial" w:cs="Arial"/>
          <w:sz w:val="18"/>
          <w:szCs w:val="18"/>
        </w:rPr>
        <w:t xml:space="preserve"> </w:t>
      </w:r>
      <w:r w:rsidRPr="008A1EF4">
        <w:rPr>
          <w:rFonts w:ascii="Arial" w:hAnsi="Arial" w:cs="Arial"/>
          <w:sz w:val="18"/>
          <w:szCs w:val="18"/>
        </w:rPr>
        <w:t>AI tools which I may be asked to provide in evidence.</w:t>
      </w:r>
    </w:p>
    <w:p w14:paraId="1E1E0030" w14:textId="72620CC3" w:rsidR="008A1EF4" w:rsidRPr="008A1EF4" w:rsidRDefault="008A1EF4" w:rsidP="008A1EF4">
      <w:pPr>
        <w:spacing w:line="360" w:lineRule="auto"/>
        <w:rPr>
          <w:rFonts w:ascii="Arial" w:hAnsi="Arial" w:cs="Arial"/>
          <w:sz w:val="18"/>
          <w:szCs w:val="18"/>
        </w:rPr>
      </w:pPr>
      <w:r w:rsidRPr="008A1EF4">
        <w:rPr>
          <w:rFonts w:ascii="Arial" w:hAnsi="Arial" w:cs="Arial"/>
          <w:sz w:val="18"/>
          <w:szCs w:val="18"/>
        </w:rPr>
        <w:t xml:space="preserve">I acknowledge the use of </w:t>
      </w:r>
      <w:r w:rsidRPr="008A1EF4">
        <w:rPr>
          <w:rFonts w:ascii="Arial" w:hAnsi="Arial" w:cs="Arial"/>
          <w:sz w:val="18"/>
          <w:szCs w:val="18"/>
        </w:rPr>
        <w:t xml:space="preserve">chat </w:t>
      </w:r>
      <w:proofErr w:type="spellStart"/>
      <w:r w:rsidRPr="008A1EF4">
        <w:rPr>
          <w:rFonts w:ascii="Arial" w:hAnsi="Arial" w:cs="Arial"/>
          <w:sz w:val="18"/>
          <w:szCs w:val="18"/>
        </w:rPr>
        <w:t>gpt</w:t>
      </w:r>
      <w:proofErr w:type="spellEnd"/>
      <w:r w:rsidRPr="008A1EF4">
        <w:rPr>
          <w:rFonts w:ascii="Arial" w:hAnsi="Arial" w:cs="Arial"/>
          <w:sz w:val="18"/>
          <w:szCs w:val="18"/>
        </w:rPr>
        <w:t xml:space="preserve"> (</w:t>
      </w:r>
      <w:hyperlink r:id="rId8" w:history="1">
        <w:r w:rsidRPr="008A1EF4">
          <w:rPr>
            <w:rStyle w:val="Hyperlink"/>
            <w:rFonts w:ascii="Arial" w:hAnsi="Arial" w:cs="Arial"/>
            <w:sz w:val="18"/>
            <w:szCs w:val="18"/>
          </w:rPr>
          <w:t>https://chatgpt.com</w:t>
        </w:r>
      </w:hyperlink>
      <w:r w:rsidRPr="008A1EF4">
        <w:rPr>
          <w:rFonts w:ascii="Arial" w:hAnsi="Arial" w:cs="Arial"/>
          <w:sz w:val="18"/>
          <w:szCs w:val="18"/>
        </w:rPr>
        <w:t xml:space="preserve">) </w:t>
      </w:r>
      <w:r w:rsidRPr="008A1EF4">
        <w:rPr>
          <w:rFonts w:ascii="Arial" w:hAnsi="Arial" w:cs="Arial"/>
          <w:sz w:val="18"/>
          <w:szCs w:val="18"/>
        </w:rPr>
        <w:t xml:space="preserve">on </w:t>
      </w:r>
      <w:r w:rsidRPr="008A1EF4">
        <w:rPr>
          <w:rFonts w:ascii="Arial" w:hAnsi="Arial" w:cs="Arial"/>
          <w:sz w:val="18"/>
          <w:szCs w:val="18"/>
        </w:rPr>
        <w:t xml:space="preserve">30 January </w:t>
      </w:r>
      <w:r w:rsidRPr="008A1EF4">
        <w:rPr>
          <w:rFonts w:ascii="Arial" w:hAnsi="Arial" w:cs="Arial"/>
          <w:sz w:val="18"/>
          <w:szCs w:val="18"/>
        </w:rPr>
        <w:t xml:space="preserve">2024 to </w:t>
      </w:r>
      <w:r w:rsidRPr="008A1EF4">
        <w:rPr>
          <w:rFonts w:ascii="Arial" w:hAnsi="Arial" w:cs="Arial"/>
          <w:sz w:val="18"/>
          <w:szCs w:val="18"/>
        </w:rPr>
        <w:t xml:space="preserve">gather key research ideas: </w:t>
      </w:r>
    </w:p>
    <w:p w14:paraId="3E3921C9" w14:textId="0F2F8AA3" w:rsidR="008A1EF4" w:rsidRPr="008A1EF4" w:rsidRDefault="008A1EF4" w:rsidP="008A1EF4">
      <w:pPr>
        <w:pStyle w:val="ListParagraph"/>
        <w:numPr>
          <w:ilvl w:val="0"/>
          <w:numId w:val="3"/>
        </w:numPr>
        <w:spacing w:line="360" w:lineRule="auto"/>
        <w:rPr>
          <w:rFonts w:ascii="Arial" w:hAnsi="Arial" w:cs="Arial"/>
          <w:sz w:val="18"/>
          <w:szCs w:val="18"/>
        </w:rPr>
      </w:pPr>
      <w:r w:rsidRPr="008A1EF4">
        <w:rPr>
          <w:rFonts w:ascii="Arial" w:hAnsi="Arial" w:cs="Arial"/>
          <w:sz w:val="18"/>
          <w:szCs w:val="18"/>
        </w:rPr>
        <w:t>F</w:t>
      </w:r>
      <w:r w:rsidRPr="008A1EF4">
        <w:rPr>
          <w:rFonts w:ascii="Arial" w:hAnsi="Arial" w:cs="Arial"/>
          <w:sz w:val="18"/>
          <w:szCs w:val="18"/>
        </w:rPr>
        <w:t>ind me some literature opposing the role of challenge in education</w:t>
      </w:r>
      <w:r w:rsidRPr="008A1EF4">
        <w:rPr>
          <w:rFonts w:ascii="Arial" w:hAnsi="Arial" w:cs="Arial"/>
          <w:sz w:val="18"/>
          <w:szCs w:val="18"/>
        </w:rPr>
        <w:t xml:space="preserve">. </w:t>
      </w:r>
    </w:p>
    <w:p w14:paraId="4E6C959F" w14:textId="4877E041" w:rsidR="00A4738E" w:rsidRPr="008A1EF4" w:rsidRDefault="008A1EF4" w:rsidP="008A1EF4">
      <w:pPr>
        <w:spacing w:line="360" w:lineRule="auto"/>
        <w:rPr>
          <w:rFonts w:ascii="Arial" w:hAnsi="Arial" w:cs="Arial"/>
          <w:sz w:val="18"/>
          <w:szCs w:val="18"/>
        </w:rPr>
      </w:pPr>
      <w:r w:rsidRPr="008A1EF4">
        <w:rPr>
          <w:rFonts w:ascii="Arial" w:hAnsi="Arial" w:cs="Arial"/>
          <w:sz w:val="18"/>
          <w:szCs w:val="18"/>
        </w:rPr>
        <w:t>I confirm that I have not presented any AI generated materials as my own work. I confirm</w:t>
      </w:r>
      <w:r w:rsidRPr="008A1EF4">
        <w:rPr>
          <w:rFonts w:ascii="Arial" w:hAnsi="Arial" w:cs="Arial"/>
          <w:sz w:val="18"/>
          <w:szCs w:val="18"/>
        </w:rPr>
        <w:t xml:space="preserve"> </w:t>
      </w:r>
      <w:r w:rsidRPr="008A1EF4">
        <w:rPr>
          <w:rFonts w:ascii="Arial" w:hAnsi="Arial" w:cs="Arial"/>
          <w:sz w:val="18"/>
          <w:szCs w:val="18"/>
        </w:rPr>
        <w:t>I have copies of my drafts, notes, and other resources I used before, and after the use of</w:t>
      </w:r>
      <w:r w:rsidRPr="008A1EF4">
        <w:rPr>
          <w:rFonts w:ascii="Arial" w:hAnsi="Arial" w:cs="Arial"/>
          <w:sz w:val="18"/>
          <w:szCs w:val="18"/>
        </w:rPr>
        <w:t xml:space="preserve"> </w:t>
      </w:r>
      <w:r w:rsidRPr="008A1EF4">
        <w:rPr>
          <w:rFonts w:ascii="Arial" w:hAnsi="Arial" w:cs="Arial"/>
          <w:sz w:val="18"/>
          <w:szCs w:val="18"/>
        </w:rPr>
        <w:t>AI tools which I may be asked to provide in evidence.</w:t>
      </w:r>
    </w:p>
    <w:p w14:paraId="295C8872" w14:textId="77777777" w:rsidR="00A4738E" w:rsidRDefault="00A4738E" w:rsidP="00A4738E">
      <w:pPr>
        <w:spacing w:line="360" w:lineRule="auto"/>
        <w:jc w:val="center"/>
        <w:rPr>
          <w:rFonts w:ascii="Arial" w:hAnsi="Arial" w:cs="Arial"/>
          <w:b/>
          <w:bCs/>
          <w:sz w:val="36"/>
          <w:szCs w:val="36"/>
          <w:u w:val="single"/>
        </w:rPr>
      </w:pPr>
    </w:p>
    <w:p w14:paraId="26E41CC8" w14:textId="77777777" w:rsidR="00A4738E" w:rsidRDefault="00A4738E" w:rsidP="00A4738E">
      <w:pPr>
        <w:spacing w:line="360" w:lineRule="auto"/>
        <w:jc w:val="center"/>
        <w:rPr>
          <w:rFonts w:ascii="Arial" w:hAnsi="Arial" w:cs="Arial"/>
          <w:b/>
          <w:bCs/>
          <w:sz w:val="36"/>
          <w:szCs w:val="36"/>
          <w:u w:val="single"/>
        </w:rPr>
      </w:pPr>
    </w:p>
    <w:p w14:paraId="26E2EAE0" w14:textId="77777777" w:rsidR="00A4738E" w:rsidRDefault="00A4738E" w:rsidP="00A4738E">
      <w:pPr>
        <w:spacing w:line="360" w:lineRule="auto"/>
        <w:jc w:val="center"/>
        <w:rPr>
          <w:rFonts w:ascii="Arial" w:hAnsi="Arial" w:cs="Arial"/>
          <w:b/>
          <w:bCs/>
          <w:sz w:val="36"/>
          <w:szCs w:val="36"/>
          <w:u w:val="single"/>
        </w:rPr>
      </w:pPr>
    </w:p>
    <w:p w14:paraId="025E1890" w14:textId="77777777" w:rsidR="00A4738E" w:rsidRDefault="00A4738E" w:rsidP="00A4738E">
      <w:pPr>
        <w:spacing w:line="360" w:lineRule="auto"/>
        <w:jc w:val="center"/>
        <w:rPr>
          <w:rFonts w:ascii="Arial" w:hAnsi="Arial" w:cs="Arial"/>
          <w:b/>
          <w:bCs/>
          <w:sz w:val="36"/>
          <w:szCs w:val="36"/>
          <w:u w:val="single"/>
        </w:rPr>
      </w:pPr>
    </w:p>
    <w:p w14:paraId="49E9CCBC" w14:textId="77777777" w:rsidR="00A4738E" w:rsidRDefault="00A4738E" w:rsidP="00A4738E">
      <w:pPr>
        <w:spacing w:line="360" w:lineRule="auto"/>
        <w:jc w:val="center"/>
        <w:rPr>
          <w:rFonts w:ascii="Arial" w:hAnsi="Arial" w:cs="Arial"/>
          <w:b/>
          <w:bCs/>
          <w:sz w:val="36"/>
          <w:szCs w:val="36"/>
          <w:u w:val="single"/>
        </w:rPr>
      </w:pPr>
    </w:p>
    <w:p w14:paraId="6B0CC7BA" w14:textId="77777777" w:rsidR="00A4738E" w:rsidRDefault="00A4738E" w:rsidP="00A4738E">
      <w:pPr>
        <w:spacing w:line="360" w:lineRule="auto"/>
        <w:jc w:val="center"/>
        <w:rPr>
          <w:rFonts w:ascii="Arial" w:hAnsi="Arial" w:cs="Arial"/>
          <w:b/>
          <w:bCs/>
          <w:sz w:val="36"/>
          <w:szCs w:val="36"/>
          <w:u w:val="single"/>
        </w:rPr>
      </w:pPr>
    </w:p>
    <w:p w14:paraId="7A7634B2" w14:textId="77777777" w:rsidR="00A4738E" w:rsidRDefault="00A4738E" w:rsidP="00A4738E">
      <w:pPr>
        <w:spacing w:line="360" w:lineRule="auto"/>
        <w:jc w:val="center"/>
        <w:rPr>
          <w:rFonts w:ascii="Arial" w:hAnsi="Arial" w:cs="Arial"/>
          <w:b/>
          <w:bCs/>
          <w:sz w:val="36"/>
          <w:szCs w:val="36"/>
          <w:u w:val="single"/>
        </w:rPr>
      </w:pPr>
    </w:p>
    <w:p w14:paraId="148BB83A" w14:textId="77777777" w:rsidR="00A4738E" w:rsidRDefault="00A4738E" w:rsidP="00A4738E">
      <w:pPr>
        <w:spacing w:line="360" w:lineRule="auto"/>
        <w:jc w:val="center"/>
        <w:rPr>
          <w:rFonts w:ascii="Arial" w:hAnsi="Arial" w:cs="Arial"/>
          <w:b/>
          <w:bCs/>
          <w:sz w:val="36"/>
          <w:szCs w:val="36"/>
          <w:u w:val="single"/>
        </w:rPr>
      </w:pPr>
    </w:p>
    <w:p w14:paraId="30E5A60A" w14:textId="77777777" w:rsidR="00A4738E" w:rsidRDefault="00A4738E" w:rsidP="00A4738E">
      <w:pPr>
        <w:spacing w:line="360" w:lineRule="auto"/>
        <w:jc w:val="center"/>
        <w:rPr>
          <w:rFonts w:ascii="Arial" w:hAnsi="Arial" w:cs="Arial"/>
          <w:b/>
          <w:bCs/>
          <w:sz w:val="36"/>
          <w:szCs w:val="36"/>
          <w:u w:val="single"/>
        </w:rPr>
      </w:pPr>
    </w:p>
    <w:p w14:paraId="58439754" w14:textId="77777777" w:rsidR="00A4738E" w:rsidRDefault="00A4738E" w:rsidP="00A4738E">
      <w:pPr>
        <w:spacing w:line="360" w:lineRule="auto"/>
        <w:jc w:val="center"/>
        <w:rPr>
          <w:rFonts w:ascii="Arial" w:hAnsi="Arial" w:cs="Arial"/>
          <w:b/>
          <w:bCs/>
          <w:sz w:val="36"/>
          <w:szCs w:val="36"/>
          <w:u w:val="single"/>
        </w:rPr>
      </w:pPr>
    </w:p>
    <w:p w14:paraId="39AED93C" w14:textId="77D742B4" w:rsidR="009617C6" w:rsidRDefault="00000000" w:rsidP="008A1EF4">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 xml:space="preserve">Assessment Component 2: Written Assignment </w:t>
      </w:r>
      <w:proofErr w:type="gramStart"/>
      <w:r>
        <w:rPr>
          <w:rFonts w:ascii="Arial" w:hAnsi="Arial" w:cs="Arial"/>
          <w:b/>
          <w:bCs/>
          <w:sz w:val="36"/>
          <w:szCs w:val="36"/>
          <w:u w:val="single"/>
        </w:rPr>
        <w:t>A</w:t>
      </w:r>
      <w:proofErr w:type="gramEnd"/>
      <w:r>
        <w:rPr>
          <w:rFonts w:ascii="Arial" w:hAnsi="Arial" w:cs="Arial"/>
          <w:b/>
          <w:bCs/>
          <w:sz w:val="36"/>
          <w:szCs w:val="36"/>
          <w:u w:val="single"/>
        </w:rPr>
        <w:t xml:space="preserve"> Critical Evaluation of the Development of a Strategic Target in a School Development Plan: Actions, Impact, and Evidence-Based Reflections</w:t>
      </w:r>
    </w:p>
    <w:p w14:paraId="779B5976" w14:textId="04F72874" w:rsidR="009617C6" w:rsidRDefault="009617C6" w:rsidP="00A4738E">
      <w:pPr>
        <w:spacing w:line="360" w:lineRule="auto"/>
        <w:rPr>
          <w:rFonts w:ascii="Arial" w:hAnsi="Arial" w:cs="Arial"/>
          <w:b/>
          <w:bCs/>
          <w:sz w:val="36"/>
          <w:szCs w:val="36"/>
          <w:u w:val="single"/>
        </w:rPr>
      </w:pPr>
    </w:p>
    <w:p w14:paraId="1DC3FCA7" w14:textId="77777777" w:rsidR="009617C6" w:rsidRDefault="00000000">
      <w:pPr>
        <w:spacing w:line="360" w:lineRule="auto"/>
        <w:rPr>
          <w:rFonts w:ascii="Arial" w:hAnsi="Arial" w:cs="Arial"/>
          <w:b/>
          <w:bCs/>
          <w:sz w:val="28"/>
          <w:szCs w:val="28"/>
        </w:rPr>
      </w:pPr>
      <w:r>
        <w:rPr>
          <w:rFonts w:ascii="Arial" w:hAnsi="Arial" w:cs="Arial"/>
          <w:b/>
          <w:bCs/>
          <w:sz w:val="28"/>
          <w:szCs w:val="28"/>
        </w:rPr>
        <w:t>Introduction</w:t>
      </w:r>
    </w:p>
    <w:p w14:paraId="02C06505" w14:textId="3C00DDD2" w:rsidR="009617C6" w:rsidRDefault="00000000">
      <w:pPr>
        <w:spacing w:line="360" w:lineRule="auto"/>
      </w:pPr>
      <w:r>
        <w:rPr>
          <w:sz w:val="22"/>
          <w:szCs w:val="22"/>
        </w:rPr>
        <w:t>In this assignment one target of a School Development Plan (SDP) will be critically evaluated. For the purpose of keeping the school anonymous in line with BERA 2024, the school will be referred to as ‘school A’ throughout this assignment (BERA, 2024). In this assignment the strategic strategy from the SDP that will be evaluated is to ‘</w:t>
      </w:r>
      <w:r>
        <w:rPr>
          <w:b/>
          <w:bCs/>
          <w:sz w:val="22"/>
          <w:szCs w:val="22"/>
        </w:rPr>
        <w:t>Improve the level of challenge in lessons across key stage 3</w:t>
      </w:r>
      <w:r>
        <w:rPr>
          <w:sz w:val="22"/>
          <w:szCs w:val="22"/>
        </w:rPr>
        <w:t>’. This is significant within the school to ensure that all learners in key stage 3 feel they are challenged to ensure great standards of teaching and learning. School A is a bilingual secondary school in a town in Wales. There are around 1300 students currently enrolled in the school from year 7 up to year 13 with 19.7% of pupils entitled to free school meals. As  well as this, 37.5% of learners are identified as having additional learning needs and 2.6% of pupils having English as an additional language (Estyn, 2022).One of the main challenges that faces school A along with many other schools is bridging the gap</w:t>
      </w:r>
      <w:r w:rsidR="00270DB8">
        <w:rPr>
          <w:sz w:val="22"/>
          <w:szCs w:val="22"/>
        </w:rPr>
        <w:t xml:space="preserve"> in attainment</w:t>
      </w:r>
      <w:r>
        <w:rPr>
          <w:sz w:val="22"/>
          <w:szCs w:val="22"/>
        </w:rPr>
        <w:t xml:space="preserve"> between children who qualify for free school meals and those who do not. This assignment will focus on the target from the SDP of school A, linking it to relevant literature in the literature review, developing the target and discussing how it was incorporated into practice in the classroom, reflecting on the implementation of developing this target in practice and finally a conclusion summarising the key findings of this research.</w:t>
      </w:r>
    </w:p>
    <w:p w14:paraId="29F015D5" w14:textId="77777777" w:rsidR="009617C6" w:rsidRDefault="00000000">
      <w:pPr>
        <w:spacing w:line="360" w:lineRule="auto"/>
        <w:rPr>
          <w:b/>
          <w:bCs/>
          <w:sz w:val="28"/>
          <w:szCs w:val="28"/>
        </w:rPr>
      </w:pPr>
      <w:r>
        <w:rPr>
          <w:b/>
          <w:bCs/>
          <w:sz w:val="28"/>
          <w:szCs w:val="28"/>
        </w:rPr>
        <w:t>Literature Review</w:t>
      </w:r>
    </w:p>
    <w:p w14:paraId="7A825BE0" w14:textId="77777777" w:rsidR="009617C6" w:rsidRDefault="00000000">
      <w:pPr>
        <w:spacing w:line="360" w:lineRule="auto"/>
        <w:rPr>
          <w:rFonts w:ascii="Arial" w:hAnsi="Arial" w:cs="Arial"/>
          <w:sz w:val="22"/>
          <w:szCs w:val="22"/>
        </w:rPr>
      </w:pPr>
      <w:r>
        <w:rPr>
          <w:rFonts w:ascii="Arial" w:hAnsi="Arial" w:cs="Arial"/>
          <w:sz w:val="22"/>
          <w:szCs w:val="22"/>
        </w:rPr>
        <w:t xml:space="preserve">As stated by the Welsh Government, a School Development Plan (SDP) is a strategic plan made by the school that sets out what actions a school will take to ensure that learner outcomes are improved (Welsh Government, 2014). As well as setting out the priorities for that individual school, an SDP should also address how the school is going to improve on the three national policies in Wales which are ‘raising the standards of education in relation to literacy, raising the standards of education in relation to numeracy and reducing the impact of poverty on educational attainment’ (Welsh Government, 2014).  In 2023 Jeremy </w:t>
      </w:r>
      <w:r>
        <w:rPr>
          <w:rFonts w:ascii="Arial" w:hAnsi="Arial" w:cs="Arial"/>
          <w:sz w:val="22"/>
          <w:szCs w:val="22"/>
        </w:rPr>
        <w:lastRenderedPageBreak/>
        <w:t>Miles, the Minister for Education and Welsh Language published ‘Our National Mission’. This report outlined a national mission of tackling the impact of poverty on attainment and ambition and ensuring that all learners are supported and prepared for their working life (Welsh Government, 2023). The national policies outlined in this report will have an impact on a schools SDP as it is the responsibility of every school to address the current gap in attainment between those in poverty and those who are not.</w:t>
      </w:r>
    </w:p>
    <w:p w14:paraId="760BACDD" w14:textId="1816617E" w:rsidR="009617C6" w:rsidRDefault="00000000">
      <w:pPr>
        <w:spacing w:line="360" w:lineRule="auto"/>
        <w:rPr>
          <w:rFonts w:ascii="Arial" w:hAnsi="Arial" w:cs="Arial"/>
          <w:sz w:val="22"/>
          <w:szCs w:val="22"/>
        </w:rPr>
      </w:pPr>
      <w:r>
        <w:rPr>
          <w:rFonts w:ascii="Arial" w:hAnsi="Arial" w:cs="Arial"/>
          <w:sz w:val="22"/>
          <w:szCs w:val="22"/>
        </w:rPr>
        <w:t>SDPs are often the result of an honest process of reflection and evaluation within schools and departments. Cambridge Assessment Internal Education say that evaluation is key to help gain an understanding of how effective a school is</w:t>
      </w:r>
      <w:r w:rsidR="00270DB8">
        <w:rPr>
          <w:rFonts w:ascii="Arial" w:hAnsi="Arial" w:cs="Arial"/>
          <w:sz w:val="22"/>
          <w:szCs w:val="22"/>
        </w:rPr>
        <w:t>.</w:t>
      </w:r>
      <w:r>
        <w:rPr>
          <w:rFonts w:ascii="Arial" w:hAnsi="Arial" w:cs="Arial"/>
          <w:sz w:val="22"/>
          <w:szCs w:val="22"/>
        </w:rPr>
        <w:t xml:space="preserve"> They also state that there are three key questions that schools must ask themselves at the start of every evaluation, they are ‘how well are we doing?, How do we know? And </w:t>
      </w:r>
      <w:r w:rsidR="00270DB8">
        <w:rPr>
          <w:rFonts w:ascii="Arial" w:hAnsi="Arial" w:cs="Arial"/>
          <w:sz w:val="22"/>
          <w:szCs w:val="22"/>
        </w:rPr>
        <w:t>h</w:t>
      </w:r>
      <w:r>
        <w:rPr>
          <w:rFonts w:ascii="Arial" w:hAnsi="Arial" w:cs="Arial"/>
          <w:sz w:val="22"/>
          <w:szCs w:val="22"/>
        </w:rPr>
        <w:t>ow can we get better?’ (Cambridge Assessment Internal Education, 2021). The answers to these questions</w:t>
      </w:r>
      <w:r w:rsidR="00270DB8">
        <w:rPr>
          <w:rFonts w:ascii="Arial" w:hAnsi="Arial" w:cs="Arial"/>
          <w:sz w:val="22"/>
          <w:szCs w:val="22"/>
        </w:rPr>
        <w:t>,</w:t>
      </w:r>
      <w:r>
        <w:rPr>
          <w:rFonts w:ascii="Arial" w:hAnsi="Arial" w:cs="Arial"/>
          <w:sz w:val="22"/>
          <w:szCs w:val="22"/>
        </w:rPr>
        <w:t xml:space="preserve"> after an honest review will lead to an effective SDP being produced. Gibson and Purdy (2012) say that reflection is a three-stage linear process. The first step is to look at what you are reflecting on, the second step is to gather an understanding from what you have looked at and then finally you learn from what you have found and understood (Gibson and Purdy, 2012). Contrary to this, many people would argue that reflection in non-linear and is in fact a continuous cycle. In 1988, Gibbs posed the idea that reflection was non-linear and instead said that reflection is a continuous cycle involving 6 steps: an action plan, description, feeing, evaluation, analysis and conclusion (The University of Edinburgh, 2024). Although this idea was put forward over 30 years ago, it is still relevant in the modern day. This reflective cycle can be seen below in figure 1.  </w:t>
      </w:r>
      <w:r w:rsidR="00270DB8">
        <w:rPr>
          <w:rFonts w:ascii="Arial" w:hAnsi="Arial" w:cs="Arial"/>
          <w:sz w:val="22"/>
          <w:szCs w:val="22"/>
        </w:rPr>
        <w:t>The</w:t>
      </w:r>
      <w:r>
        <w:rPr>
          <w:rFonts w:ascii="Arial" w:hAnsi="Arial" w:cs="Arial"/>
          <w:sz w:val="22"/>
          <w:szCs w:val="22"/>
        </w:rPr>
        <w:t xml:space="preserve"> </w:t>
      </w:r>
      <w:r w:rsidR="00270DB8">
        <w:rPr>
          <w:rFonts w:ascii="Arial" w:hAnsi="Arial" w:cs="Arial"/>
          <w:sz w:val="22"/>
          <w:szCs w:val="22"/>
        </w:rPr>
        <w:t>reflective cycle posed by Gibbs</w:t>
      </w:r>
      <w:r>
        <w:rPr>
          <w:rFonts w:ascii="Arial" w:hAnsi="Arial" w:cs="Arial"/>
          <w:sz w:val="22"/>
          <w:szCs w:val="22"/>
        </w:rPr>
        <w:t xml:space="preserve"> never comes to an end, instead the findings of one reflection would feed into your next action plan, or SDP in this case. This is the approach many schools take when they are developing their SDP.</w:t>
      </w:r>
    </w:p>
    <w:p w14:paraId="38F38A4E" w14:textId="77777777" w:rsidR="009617C6" w:rsidRDefault="00000000">
      <w:pPr>
        <w:spacing w:line="360" w:lineRule="auto"/>
      </w:pPr>
      <w:r>
        <w:rPr>
          <w:rFonts w:ascii="Arial" w:hAnsi="Arial" w:cs="Arial"/>
          <w:noProof/>
          <w:sz w:val="22"/>
          <w:szCs w:val="22"/>
        </w:rPr>
        <w:lastRenderedPageBreak/>
        <w:drawing>
          <wp:anchor distT="0" distB="0" distL="114300" distR="114300" simplePos="0" relativeHeight="251658240" behindDoc="0" locked="0" layoutInCell="1" allowOverlap="1" wp14:anchorId="7A10422D" wp14:editId="5CC79EB3">
            <wp:simplePos x="0" y="0"/>
            <wp:positionH relativeFrom="margin">
              <wp:align>center</wp:align>
            </wp:positionH>
            <wp:positionV relativeFrom="paragraph">
              <wp:posOffset>0</wp:posOffset>
            </wp:positionV>
            <wp:extent cx="4236716" cy="4236716"/>
            <wp:effectExtent l="0" t="0" r="0" b="0"/>
            <wp:wrapSquare wrapText="bothSides"/>
            <wp:docPr id="301627730" name="Picture 1" descr="A circular diagram showing the 6 stages of Gibbs' Reflective cyc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236716" cy="4236716"/>
                    </a:xfrm>
                    <a:prstGeom prst="rect">
                      <a:avLst/>
                    </a:prstGeom>
                    <a:noFill/>
                    <a:ln>
                      <a:noFill/>
                      <a:prstDash/>
                    </a:ln>
                  </pic:spPr>
                </pic:pic>
              </a:graphicData>
            </a:graphic>
          </wp:anchor>
        </w:drawing>
      </w:r>
    </w:p>
    <w:p w14:paraId="720D9B17" w14:textId="77777777" w:rsidR="009617C6" w:rsidRDefault="009617C6">
      <w:pPr>
        <w:spacing w:line="360" w:lineRule="auto"/>
        <w:rPr>
          <w:rFonts w:ascii="Arial" w:hAnsi="Arial" w:cs="Arial"/>
          <w:sz w:val="22"/>
          <w:szCs w:val="22"/>
        </w:rPr>
      </w:pPr>
    </w:p>
    <w:p w14:paraId="0F03A982" w14:textId="77777777" w:rsidR="009617C6" w:rsidRDefault="009617C6">
      <w:pPr>
        <w:spacing w:line="360" w:lineRule="auto"/>
        <w:rPr>
          <w:rFonts w:ascii="Arial" w:hAnsi="Arial" w:cs="Arial"/>
          <w:sz w:val="22"/>
          <w:szCs w:val="22"/>
        </w:rPr>
      </w:pPr>
    </w:p>
    <w:p w14:paraId="1A8AA64A" w14:textId="77777777" w:rsidR="009617C6" w:rsidRDefault="009617C6">
      <w:pPr>
        <w:spacing w:line="360" w:lineRule="auto"/>
        <w:rPr>
          <w:rFonts w:ascii="Arial" w:hAnsi="Arial" w:cs="Arial"/>
          <w:sz w:val="22"/>
          <w:szCs w:val="22"/>
        </w:rPr>
      </w:pPr>
    </w:p>
    <w:p w14:paraId="541A11FD" w14:textId="77777777" w:rsidR="009617C6" w:rsidRDefault="009617C6">
      <w:pPr>
        <w:spacing w:line="360" w:lineRule="auto"/>
        <w:rPr>
          <w:rFonts w:ascii="Arial" w:hAnsi="Arial" w:cs="Arial"/>
          <w:sz w:val="22"/>
          <w:szCs w:val="22"/>
        </w:rPr>
      </w:pPr>
    </w:p>
    <w:p w14:paraId="0730FE17" w14:textId="77777777" w:rsidR="009617C6" w:rsidRDefault="009617C6">
      <w:pPr>
        <w:spacing w:line="360" w:lineRule="auto"/>
        <w:rPr>
          <w:rFonts w:ascii="Arial" w:hAnsi="Arial" w:cs="Arial"/>
          <w:sz w:val="22"/>
          <w:szCs w:val="22"/>
        </w:rPr>
      </w:pPr>
    </w:p>
    <w:p w14:paraId="7D907066" w14:textId="77777777" w:rsidR="009617C6" w:rsidRDefault="009617C6">
      <w:pPr>
        <w:spacing w:line="360" w:lineRule="auto"/>
        <w:rPr>
          <w:rFonts w:ascii="Arial" w:hAnsi="Arial" w:cs="Arial"/>
          <w:sz w:val="22"/>
          <w:szCs w:val="22"/>
        </w:rPr>
      </w:pPr>
    </w:p>
    <w:p w14:paraId="2934F42A" w14:textId="77777777" w:rsidR="009617C6" w:rsidRDefault="009617C6">
      <w:pPr>
        <w:spacing w:line="360" w:lineRule="auto"/>
        <w:rPr>
          <w:rFonts w:ascii="Arial" w:hAnsi="Arial" w:cs="Arial"/>
          <w:sz w:val="22"/>
          <w:szCs w:val="22"/>
        </w:rPr>
      </w:pPr>
    </w:p>
    <w:p w14:paraId="6F87B384" w14:textId="77777777" w:rsidR="009617C6" w:rsidRDefault="009617C6">
      <w:pPr>
        <w:spacing w:line="360" w:lineRule="auto"/>
        <w:rPr>
          <w:rFonts w:ascii="Arial" w:hAnsi="Arial" w:cs="Arial"/>
          <w:sz w:val="22"/>
          <w:szCs w:val="22"/>
        </w:rPr>
      </w:pPr>
    </w:p>
    <w:p w14:paraId="43FEBB00" w14:textId="77777777" w:rsidR="009617C6" w:rsidRDefault="009617C6">
      <w:pPr>
        <w:spacing w:line="360" w:lineRule="auto"/>
        <w:rPr>
          <w:rFonts w:ascii="Arial" w:hAnsi="Arial" w:cs="Arial"/>
          <w:sz w:val="22"/>
          <w:szCs w:val="22"/>
        </w:rPr>
      </w:pPr>
    </w:p>
    <w:p w14:paraId="1E58C625" w14:textId="77777777" w:rsidR="009617C6" w:rsidRDefault="009617C6">
      <w:pPr>
        <w:spacing w:line="360" w:lineRule="auto"/>
        <w:rPr>
          <w:rFonts w:ascii="Arial" w:hAnsi="Arial" w:cs="Arial"/>
          <w:sz w:val="22"/>
          <w:szCs w:val="22"/>
        </w:rPr>
      </w:pPr>
    </w:p>
    <w:p w14:paraId="4EB6366F" w14:textId="77777777" w:rsidR="009617C6" w:rsidRDefault="009617C6">
      <w:pPr>
        <w:spacing w:line="360" w:lineRule="auto"/>
        <w:rPr>
          <w:rFonts w:ascii="Arial" w:hAnsi="Arial" w:cs="Arial"/>
          <w:sz w:val="22"/>
          <w:szCs w:val="22"/>
        </w:rPr>
      </w:pPr>
    </w:p>
    <w:p w14:paraId="3F53149E" w14:textId="77777777" w:rsidR="009617C6" w:rsidRDefault="009617C6">
      <w:pPr>
        <w:spacing w:line="360" w:lineRule="auto"/>
        <w:rPr>
          <w:rFonts w:ascii="Arial" w:hAnsi="Arial" w:cs="Arial"/>
          <w:sz w:val="22"/>
          <w:szCs w:val="22"/>
        </w:rPr>
      </w:pPr>
    </w:p>
    <w:p w14:paraId="714AD87F" w14:textId="77777777" w:rsidR="009617C6" w:rsidRDefault="009617C6">
      <w:pPr>
        <w:spacing w:line="360" w:lineRule="auto"/>
        <w:rPr>
          <w:rFonts w:ascii="Arial" w:hAnsi="Arial" w:cs="Arial"/>
          <w:sz w:val="22"/>
          <w:szCs w:val="22"/>
        </w:rPr>
      </w:pPr>
    </w:p>
    <w:p w14:paraId="5F607DF1" w14:textId="77777777" w:rsidR="009617C6" w:rsidRDefault="00000000">
      <w:pPr>
        <w:spacing w:line="360" w:lineRule="auto"/>
        <w:rPr>
          <w:rFonts w:ascii="Arial" w:hAnsi="Arial" w:cs="Arial"/>
          <w:sz w:val="22"/>
          <w:szCs w:val="22"/>
        </w:rPr>
      </w:pPr>
      <w:r>
        <w:rPr>
          <w:rFonts w:ascii="Arial" w:hAnsi="Arial" w:cs="Arial"/>
          <w:sz w:val="22"/>
          <w:szCs w:val="22"/>
        </w:rPr>
        <w:t>Figure 1 – Reflective cycle adapted from the work of Gibbs 1988 (The University of Edinburgh, 2024).</w:t>
      </w:r>
    </w:p>
    <w:p w14:paraId="13CC5F7E" w14:textId="30A77C4F" w:rsidR="009617C6" w:rsidRDefault="00000000">
      <w:pPr>
        <w:spacing w:line="360" w:lineRule="auto"/>
        <w:rPr>
          <w:rFonts w:ascii="Arial" w:hAnsi="Arial" w:cs="Arial"/>
          <w:sz w:val="22"/>
          <w:szCs w:val="22"/>
        </w:rPr>
      </w:pPr>
      <w:r>
        <w:rPr>
          <w:rFonts w:ascii="Arial" w:hAnsi="Arial" w:cs="Arial"/>
          <w:sz w:val="22"/>
          <w:szCs w:val="22"/>
        </w:rPr>
        <w:t>As mentioned in the introduction to this assignment, the specific target from the SDP being researched is to improve the level of challenge in lessons across key stage 3.  To quote Allison and Tharby, “challenge in education is the provision of difficult work that causes students to think deeply and engage in healthy struggle” (Allsion and Tharby, 2015, p. 14). The fourth objective of Our National Mission is ‘high-quality teaching and leadership’ (Welsh Government, 2023), and challenge is a key aspect of high-quality teaching. As Burns wrote, a classroom that embodies challenge is rooted in high-quality curriculum design (Burns, 2023).  Educators and policy makers often speak about wanting to equip students and best prepare them for life once they leave the education system, this is not possible without the implementation of challenge within our curriculum. It can often be difficult to ensure that our learners are challenged sufficiently in lessons without overloading them and sending them into cognitive overload. Figure two shows a diagram of the three zones: comfort, struggle and panic and what each of them includes. To get the most out of our learners we want them to be in that struggle zone.</w:t>
      </w:r>
    </w:p>
    <w:p w14:paraId="22782F8E" w14:textId="77777777" w:rsidR="009617C6" w:rsidRDefault="00000000">
      <w:pPr>
        <w:spacing w:line="360" w:lineRule="auto"/>
        <w:jc w:val="center"/>
      </w:pPr>
      <w:r>
        <w:rPr>
          <w:rFonts w:ascii="Arial" w:hAnsi="Arial" w:cs="Arial"/>
          <w:noProof/>
          <w:sz w:val="22"/>
          <w:szCs w:val="22"/>
        </w:rPr>
        <w:lastRenderedPageBreak/>
        <w:drawing>
          <wp:inline distT="0" distB="0" distL="0" distR="0" wp14:anchorId="712017A9" wp14:editId="7738980A">
            <wp:extent cx="3953426" cy="3924851"/>
            <wp:effectExtent l="0" t="0" r="8974" b="0"/>
            <wp:docPr id="1098066036" name="Picture 1" descr="A diagram of a diagram of a different way&#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953426" cy="3924851"/>
                    </a:xfrm>
                    <a:prstGeom prst="rect">
                      <a:avLst/>
                    </a:prstGeom>
                    <a:noFill/>
                    <a:ln>
                      <a:noFill/>
                      <a:prstDash/>
                    </a:ln>
                  </pic:spPr>
                </pic:pic>
              </a:graphicData>
            </a:graphic>
          </wp:inline>
        </w:drawing>
      </w:r>
    </w:p>
    <w:p w14:paraId="77C518B3" w14:textId="77777777" w:rsidR="009617C6" w:rsidRDefault="00000000">
      <w:pPr>
        <w:spacing w:line="360" w:lineRule="auto"/>
        <w:rPr>
          <w:rFonts w:ascii="Arial" w:hAnsi="Arial" w:cs="Arial"/>
          <w:sz w:val="22"/>
          <w:szCs w:val="22"/>
        </w:rPr>
      </w:pPr>
      <w:r>
        <w:rPr>
          <w:rFonts w:ascii="Arial" w:hAnsi="Arial" w:cs="Arial"/>
          <w:sz w:val="22"/>
          <w:szCs w:val="22"/>
        </w:rPr>
        <w:t>Figure 2 – The three zones of learning (Allison and Tharby, 2014, p. 16).</w:t>
      </w:r>
    </w:p>
    <w:p w14:paraId="5F517B1E" w14:textId="77777777" w:rsidR="009617C6" w:rsidRDefault="00000000">
      <w:pPr>
        <w:spacing w:line="360" w:lineRule="auto"/>
        <w:rPr>
          <w:rFonts w:ascii="Arial" w:hAnsi="Arial" w:cs="Arial"/>
          <w:sz w:val="22"/>
          <w:szCs w:val="22"/>
        </w:rPr>
      </w:pPr>
      <w:r>
        <w:rPr>
          <w:rFonts w:ascii="Arial" w:hAnsi="Arial" w:cs="Arial"/>
          <w:sz w:val="22"/>
          <w:szCs w:val="22"/>
        </w:rPr>
        <w:t xml:space="preserve">When in this struggle zone learners are being appropriately challenged without overloading them with information. These are the conditions where it is believed that optimal learning will occur. This theory was first developed by </w:t>
      </w:r>
      <w:proofErr w:type="spellStart"/>
      <w:r>
        <w:rPr>
          <w:rFonts w:ascii="Arial" w:hAnsi="Arial" w:cs="Arial"/>
          <w:sz w:val="22"/>
          <w:szCs w:val="22"/>
        </w:rPr>
        <w:t>Vigotsky</w:t>
      </w:r>
      <w:proofErr w:type="spellEnd"/>
      <w:r>
        <w:rPr>
          <w:rFonts w:ascii="Arial" w:hAnsi="Arial" w:cs="Arial"/>
          <w:sz w:val="22"/>
          <w:szCs w:val="22"/>
        </w:rPr>
        <w:t xml:space="preserve"> with the zone of proximal development in 1978 and has been accepted and adapted by many academics in similar ways to the one previously mentioned by Allison and Tharby. However, some have argued that challenge actually has adverse effects on learners. Curtis has stated that due to the effort that challenge requires it can have many damaging effects on students’ emotions, self-esteem and behaviour. It is said that when this happens cognitive energy is used to stabilise the effects that challenge has had on these students instead of being used to learn (Curtis, 2015, p. 11). </w:t>
      </w:r>
    </w:p>
    <w:p w14:paraId="53ED23E9" w14:textId="77777777" w:rsidR="009617C6" w:rsidRDefault="00000000">
      <w:pPr>
        <w:spacing w:line="360" w:lineRule="auto"/>
        <w:rPr>
          <w:rFonts w:ascii="Arial" w:hAnsi="Arial" w:cs="Arial"/>
          <w:b/>
          <w:bCs/>
          <w:sz w:val="32"/>
          <w:szCs w:val="32"/>
        </w:rPr>
      </w:pPr>
      <w:r>
        <w:rPr>
          <w:rFonts w:ascii="Arial" w:hAnsi="Arial" w:cs="Arial"/>
          <w:b/>
          <w:bCs/>
          <w:sz w:val="32"/>
          <w:szCs w:val="32"/>
        </w:rPr>
        <w:t>Developing an Action Point</w:t>
      </w:r>
    </w:p>
    <w:p w14:paraId="4B877EB5" w14:textId="2209144F" w:rsidR="009617C6" w:rsidRDefault="00000000">
      <w:pPr>
        <w:spacing w:line="360" w:lineRule="auto"/>
        <w:rPr>
          <w:rFonts w:ascii="Arial" w:hAnsi="Arial" w:cs="Arial"/>
          <w:sz w:val="22"/>
          <w:szCs w:val="22"/>
        </w:rPr>
      </w:pPr>
      <w:r>
        <w:rPr>
          <w:rFonts w:ascii="Arial" w:hAnsi="Arial" w:cs="Arial"/>
          <w:sz w:val="22"/>
          <w:szCs w:val="22"/>
        </w:rPr>
        <w:t xml:space="preserve">As mentioned throughout this assignment, the specific target from the SDP being investigated is to improve the level of challenge in lessons across key stage 3. School A encourages pupils to reach their full potential, be ambitious and achieve the best qualifications possible among many other things. Those three things go hand in hand with challenging yourself during your education. School A also states that they try and foster a </w:t>
      </w:r>
      <w:r>
        <w:rPr>
          <w:rFonts w:ascii="Arial" w:hAnsi="Arial" w:cs="Arial"/>
          <w:sz w:val="22"/>
          <w:szCs w:val="22"/>
        </w:rPr>
        <w:lastRenderedPageBreak/>
        <w:t xml:space="preserve">quality and demanding learning environment in all subject areas. </w:t>
      </w:r>
      <w:r w:rsidR="00270DB8">
        <w:rPr>
          <w:rFonts w:ascii="Arial" w:hAnsi="Arial" w:cs="Arial"/>
          <w:sz w:val="22"/>
          <w:szCs w:val="22"/>
        </w:rPr>
        <w:t>Again,</w:t>
      </w:r>
      <w:r>
        <w:rPr>
          <w:rFonts w:ascii="Arial" w:hAnsi="Arial" w:cs="Arial"/>
          <w:sz w:val="22"/>
          <w:szCs w:val="22"/>
        </w:rPr>
        <w:t xml:space="preserve"> a demanding learning environment goes hand in hand with the implantation of challenge within lessons.</w:t>
      </w:r>
    </w:p>
    <w:p w14:paraId="2814B029" w14:textId="2AAD16A2" w:rsidR="009617C6" w:rsidRDefault="00000000">
      <w:pPr>
        <w:spacing w:line="360" w:lineRule="auto"/>
        <w:rPr>
          <w:rFonts w:ascii="Arial" w:hAnsi="Arial" w:cs="Arial"/>
          <w:sz w:val="22"/>
          <w:szCs w:val="22"/>
        </w:rPr>
      </w:pPr>
      <w:r>
        <w:rPr>
          <w:rFonts w:ascii="Arial" w:hAnsi="Arial" w:cs="Arial"/>
          <w:sz w:val="22"/>
          <w:szCs w:val="22"/>
        </w:rPr>
        <w:t xml:space="preserve">This target was identified after a series of quality assurance exercises carried out by school A. These exercises included a learning walk by the senior leadership team and middle leaders where they would observe lessons to assess the quality of teaching and learning within the school. There was also a book scrutiny where the quality of the work produced in a lesson was assessed again by senior and middle leaders. Arguably the most important part of the process of identifying targets is through carrying out a pupil panel. This allowed a randomly selected group of students of mixed ability to voice their opinion on their education and one of the key questions is ‘do you feel challenged in lessons?’ After these three quality assurance exercises, this target was reached. Although a learning walk can give teachers a good idea of what is going on in that lesson, it is only a snapshot of what a lesson in the subject is like </w:t>
      </w:r>
      <w:r w:rsidR="00137754">
        <w:rPr>
          <w:rFonts w:ascii="Arial" w:hAnsi="Arial" w:cs="Arial"/>
          <w:sz w:val="22"/>
          <w:szCs w:val="22"/>
        </w:rPr>
        <w:t>meaning there</w:t>
      </w:r>
      <w:r>
        <w:rPr>
          <w:rFonts w:ascii="Arial" w:hAnsi="Arial" w:cs="Arial"/>
          <w:sz w:val="22"/>
          <w:szCs w:val="22"/>
        </w:rPr>
        <w:t xml:space="preserve"> are many </w:t>
      </w:r>
      <w:r w:rsidR="00270DB8">
        <w:rPr>
          <w:rFonts w:ascii="Arial" w:hAnsi="Arial" w:cs="Arial"/>
          <w:sz w:val="22"/>
          <w:szCs w:val="22"/>
        </w:rPr>
        <w:t>drawbacks around learning walks</w:t>
      </w:r>
      <w:r w:rsidR="00137754">
        <w:rPr>
          <w:rFonts w:ascii="Arial" w:hAnsi="Arial" w:cs="Arial"/>
          <w:sz w:val="22"/>
          <w:szCs w:val="22"/>
        </w:rPr>
        <w:t xml:space="preserve">. One of these is that there may have been factors that </w:t>
      </w:r>
      <w:r>
        <w:rPr>
          <w:rFonts w:ascii="Arial" w:hAnsi="Arial" w:cs="Arial"/>
          <w:sz w:val="22"/>
          <w:szCs w:val="22"/>
        </w:rPr>
        <w:t xml:space="preserve">affected the lesson that was </w:t>
      </w:r>
      <w:r w:rsidR="00270DB8">
        <w:rPr>
          <w:rFonts w:ascii="Arial" w:hAnsi="Arial" w:cs="Arial"/>
          <w:sz w:val="22"/>
          <w:szCs w:val="22"/>
        </w:rPr>
        <w:t>observed,</w:t>
      </w:r>
      <w:r>
        <w:rPr>
          <w:rFonts w:ascii="Arial" w:hAnsi="Arial" w:cs="Arial"/>
          <w:sz w:val="22"/>
          <w:szCs w:val="22"/>
        </w:rPr>
        <w:t xml:space="preserve"> and it is not </w:t>
      </w:r>
      <w:r w:rsidR="00270DB8">
        <w:rPr>
          <w:rFonts w:ascii="Arial" w:hAnsi="Arial" w:cs="Arial"/>
          <w:sz w:val="22"/>
          <w:szCs w:val="22"/>
        </w:rPr>
        <w:t>always a true</w:t>
      </w:r>
      <w:r>
        <w:rPr>
          <w:rFonts w:ascii="Arial" w:hAnsi="Arial" w:cs="Arial"/>
          <w:sz w:val="22"/>
          <w:szCs w:val="22"/>
        </w:rPr>
        <w:t xml:space="preserve"> reflection of what lessons in that subject are consistently like.</w:t>
      </w:r>
      <w:r w:rsidR="00270DB8">
        <w:rPr>
          <w:rFonts w:ascii="Arial" w:hAnsi="Arial" w:cs="Arial"/>
          <w:sz w:val="22"/>
          <w:szCs w:val="22"/>
        </w:rPr>
        <w:t xml:space="preserve"> </w:t>
      </w:r>
    </w:p>
    <w:p w14:paraId="3CB6D688" w14:textId="71D89EB9" w:rsidR="009617C6" w:rsidRDefault="00000000">
      <w:pPr>
        <w:spacing w:line="360" w:lineRule="auto"/>
        <w:rPr>
          <w:rFonts w:ascii="Arial" w:hAnsi="Arial" w:cs="Arial"/>
          <w:sz w:val="22"/>
          <w:szCs w:val="22"/>
        </w:rPr>
      </w:pPr>
      <w:r>
        <w:rPr>
          <w:rFonts w:ascii="Arial" w:hAnsi="Arial" w:cs="Arial"/>
          <w:sz w:val="22"/>
          <w:szCs w:val="22"/>
        </w:rPr>
        <w:t>Th</w:t>
      </w:r>
      <w:r w:rsidR="00137754">
        <w:rPr>
          <w:rFonts w:ascii="Arial" w:hAnsi="Arial" w:cs="Arial"/>
          <w:sz w:val="22"/>
          <w:szCs w:val="22"/>
        </w:rPr>
        <w:t>e target from the SDP was incorporated into lessons in three main ways</w:t>
      </w:r>
      <w:r>
        <w:rPr>
          <w:rFonts w:ascii="Arial" w:hAnsi="Arial" w:cs="Arial"/>
          <w:sz w:val="22"/>
          <w:szCs w:val="22"/>
        </w:rPr>
        <w:t xml:space="preserve">. The first was the use of challenge cards as seen in figure 3. These challenge cards were used as extension tasks for high attaining learners who had finished their task and were then pushed to answer a different, more challenging question on the topic. The questions are based </w:t>
      </w:r>
      <w:r w:rsidR="00137754">
        <w:rPr>
          <w:rFonts w:ascii="Arial" w:hAnsi="Arial" w:cs="Arial"/>
          <w:sz w:val="22"/>
          <w:szCs w:val="22"/>
        </w:rPr>
        <w:t>on</w:t>
      </w:r>
      <w:r>
        <w:rPr>
          <w:rFonts w:ascii="Arial" w:hAnsi="Arial" w:cs="Arial"/>
          <w:sz w:val="22"/>
          <w:szCs w:val="22"/>
        </w:rPr>
        <w:t xml:space="preserve"> the higher end of Bloom’s taxonomy of questions. This strategy did not require a large resource allocation as it is not time consuming, and the only resource is a small amount of printing. This means that this strategy is fairly easy to implement into lessons.</w:t>
      </w:r>
    </w:p>
    <w:p w14:paraId="4D50FDBE" w14:textId="77777777" w:rsidR="009617C6" w:rsidRDefault="00000000">
      <w:pPr>
        <w:spacing w:line="360" w:lineRule="auto"/>
      </w:pPr>
      <w:r>
        <w:rPr>
          <w:rFonts w:ascii="Arial" w:hAnsi="Arial" w:cs="Arial"/>
          <w:noProof/>
          <w:sz w:val="22"/>
          <w:szCs w:val="22"/>
        </w:rPr>
        <w:lastRenderedPageBreak/>
        <w:drawing>
          <wp:inline distT="0" distB="0" distL="0" distR="0" wp14:anchorId="512DBC55" wp14:editId="629ED6BA">
            <wp:extent cx="5731514" cy="3538856"/>
            <wp:effectExtent l="0" t="0" r="2536" b="4444"/>
            <wp:docPr id="1940898238" name="Picture 3" descr="A close-up of a pap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3538856"/>
                    </a:xfrm>
                    <a:prstGeom prst="rect">
                      <a:avLst/>
                    </a:prstGeom>
                    <a:noFill/>
                    <a:ln>
                      <a:noFill/>
                      <a:prstDash/>
                    </a:ln>
                  </pic:spPr>
                </pic:pic>
              </a:graphicData>
            </a:graphic>
          </wp:inline>
        </w:drawing>
      </w:r>
    </w:p>
    <w:p w14:paraId="37232FCD" w14:textId="77777777" w:rsidR="009617C6" w:rsidRDefault="00000000">
      <w:pPr>
        <w:spacing w:line="360" w:lineRule="auto"/>
        <w:rPr>
          <w:rFonts w:ascii="Arial" w:hAnsi="Arial" w:cs="Arial"/>
          <w:sz w:val="22"/>
          <w:szCs w:val="22"/>
        </w:rPr>
      </w:pPr>
      <w:r>
        <w:rPr>
          <w:rFonts w:ascii="Arial" w:hAnsi="Arial" w:cs="Arial"/>
          <w:sz w:val="22"/>
          <w:szCs w:val="22"/>
        </w:rPr>
        <w:t>Figure 3 – Challenge card used in a key stage 3 lesson as an extension task.</w:t>
      </w:r>
    </w:p>
    <w:p w14:paraId="5BED93C7" w14:textId="77777777" w:rsidR="009617C6" w:rsidRDefault="00000000">
      <w:pPr>
        <w:spacing w:line="360" w:lineRule="auto"/>
        <w:rPr>
          <w:rFonts w:ascii="Arial" w:hAnsi="Arial" w:cs="Arial"/>
          <w:sz w:val="22"/>
          <w:szCs w:val="22"/>
        </w:rPr>
      </w:pPr>
      <w:r>
        <w:rPr>
          <w:rFonts w:ascii="Arial" w:hAnsi="Arial" w:cs="Arial"/>
          <w:sz w:val="22"/>
          <w:szCs w:val="22"/>
        </w:rPr>
        <w:t>The second strategy that was implemented was setting tasks using a RAG (red, amber, green) traffic light system. The task would be colour coded with red being what every learner was expected to do and green being the challenge and what high attainers should aim for. This allowed for students to lead their own learning and attempt the task that best suited where they felt their learning was at. This required very little resources and was quick to implement within lessons.</w:t>
      </w:r>
    </w:p>
    <w:p w14:paraId="444B1DFF" w14:textId="77777777" w:rsidR="009617C6" w:rsidRDefault="00000000">
      <w:pPr>
        <w:spacing w:line="360" w:lineRule="auto"/>
        <w:rPr>
          <w:rFonts w:ascii="Arial" w:hAnsi="Arial" w:cs="Arial"/>
          <w:sz w:val="22"/>
          <w:szCs w:val="22"/>
        </w:rPr>
      </w:pPr>
      <w:r>
        <w:rPr>
          <w:rFonts w:ascii="Arial" w:hAnsi="Arial" w:cs="Arial"/>
          <w:sz w:val="22"/>
          <w:szCs w:val="22"/>
        </w:rPr>
        <w:t xml:space="preserve">The third strategy was challenging learners with their feedback in books. Figure 4 shows an example where a year 8 student was challenged to include GCSE geography vocabulary in their improvements for their work. The main resource for this strategy is time when marking books. </w:t>
      </w:r>
    </w:p>
    <w:p w14:paraId="10CA9E46" w14:textId="77777777" w:rsidR="009617C6" w:rsidRDefault="00000000">
      <w:pPr>
        <w:spacing w:line="360" w:lineRule="auto"/>
      </w:pPr>
      <w:r>
        <w:rPr>
          <w:rFonts w:ascii="Arial" w:hAnsi="Arial" w:cs="Arial"/>
          <w:noProof/>
          <w:sz w:val="22"/>
          <w:szCs w:val="22"/>
        </w:rPr>
        <w:lastRenderedPageBreak/>
        <mc:AlternateContent>
          <mc:Choice Requires="wps">
            <w:drawing>
              <wp:anchor distT="0" distB="0" distL="114300" distR="114300" simplePos="0" relativeHeight="251659264" behindDoc="0" locked="0" layoutInCell="1" allowOverlap="1" wp14:anchorId="02A09336" wp14:editId="653C38D6">
                <wp:simplePos x="0" y="0"/>
                <wp:positionH relativeFrom="column">
                  <wp:posOffset>3505196</wp:posOffset>
                </wp:positionH>
                <wp:positionV relativeFrom="paragraph">
                  <wp:posOffset>607061</wp:posOffset>
                </wp:positionV>
                <wp:extent cx="731520" cy="228600"/>
                <wp:effectExtent l="0" t="0" r="11430" b="19050"/>
                <wp:wrapNone/>
                <wp:docPr id="2028094732" name="Rectangle 2"/>
                <wp:cNvGraphicFramePr/>
                <a:graphic xmlns:a="http://schemas.openxmlformats.org/drawingml/2006/main">
                  <a:graphicData uri="http://schemas.microsoft.com/office/word/2010/wordprocessingShape">
                    <wps:wsp>
                      <wps:cNvSpPr/>
                      <wps:spPr>
                        <a:xfrm>
                          <a:off x="0" y="0"/>
                          <a:ext cx="731520" cy="228600"/>
                        </a:xfrm>
                        <a:prstGeom prst="rect">
                          <a:avLst/>
                        </a:prstGeom>
                        <a:solidFill>
                          <a:srgbClr val="156082"/>
                        </a:solidFill>
                        <a:ln w="12701" cap="flat">
                          <a:solidFill>
                            <a:srgbClr val="042433"/>
                          </a:solidFill>
                          <a:prstDash val="solid"/>
                          <a:miter/>
                        </a:ln>
                      </wps:spPr>
                      <wps:bodyPr lIns="0" tIns="0" rIns="0" bIns="0"/>
                    </wps:wsp>
                  </a:graphicData>
                </a:graphic>
              </wp:anchor>
            </w:drawing>
          </mc:Choice>
          <mc:Fallback>
            <w:pict>
              <v:rect w14:anchorId="20717F53" id="Rectangle 2" o:spid="_x0000_s1026" style="position:absolute;margin-left:276pt;margin-top:47.8pt;width:57.6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" fillcolor="#156082" strokecolor="#042433" strokeweight=".35281mm">
                <v:textbox inset="0,0,0,0"/>
              </v:rect>
            </w:pict>
          </mc:Fallback>
        </mc:AlternateContent>
      </w:r>
      <w:r>
        <w:rPr>
          <w:rFonts w:ascii="Arial" w:hAnsi="Arial" w:cs="Arial"/>
          <w:noProof/>
          <w:sz w:val="22"/>
          <w:szCs w:val="22"/>
        </w:rPr>
        <w:drawing>
          <wp:inline distT="0" distB="0" distL="0" distR="0" wp14:anchorId="525D48C1" wp14:editId="5FBCEAE1">
            <wp:extent cx="5731514" cy="2546347"/>
            <wp:effectExtent l="0" t="0" r="2536" b="6353"/>
            <wp:docPr id="363628997" name="Picture 2" descr="A paper with writing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t="47636"/>
                    <a:stretch>
                      <a:fillRect/>
                    </a:stretch>
                  </pic:blipFill>
                  <pic:spPr>
                    <a:xfrm>
                      <a:off x="0" y="0"/>
                      <a:ext cx="5731514" cy="2546347"/>
                    </a:xfrm>
                    <a:prstGeom prst="rect">
                      <a:avLst/>
                    </a:prstGeom>
                    <a:noFill/>
                    <a:ln>
                      <a:noFill/>
                      <a:prstDash/>
                    </a:ln>
                  </pic:spPr>
                </pic:pic>
              </a:graphicData>
            </a:graphic>
          </wp:inline>
        </w:drawing>
      </w:r>
    </w:p>
    <w:p w14:paraId="4826A6B7" w14:textId="77777777" w:rsidR="009617C6" w:rsidRDefault="00000000">
      <w:pPr>
        <w:spacing w:line="360" w:lineRule="auto"/>
        <w:rPr>
          <w:rFonts w:ascii="Arial" w:hAnsi="Arial" w:cs="Arial"/>
          <w:sz w:val="22"/>
          <w:szCs w:val="22"/>
        </w:rPr>
      </w:pPr>
      <w:r>
        <w:rPr>
          <w:rFonts w:ascii="Arial" w:hAnsi="Arial" w:cs="Arial"/>
          <w:sz w:val="22"/>
          <w:szCs w:val="22"/>
        </w:rPr>
        <w:t>Figure 4 – Feedback given to a student to challenge themselves to include GCSE vocabulary.</w:t>
      </w:r>
    </w:p>
    <w:p w14:paraId="0DD698AB" w14:textId="77777777" w:rsidR="009617C6" w:rsidRDefault="00000000">
      <w:pPr>
        <w:spacing w:line="360" w:lineRule="auto"/>
        <w:rPr>
          <w:rFonts w:ascii="Arial" w:hAnsi="Arial" w:cs="Arial"/>
          <w:sz w:val="22"/>
          <w:szCs w:val="22"/>
        </w:rPr>
      </w:pPr>
      <w:r>
        <w:rPr>
          <w:rFonts w:ascii="Arial" w:hAnsi="Arial" w:cs="Arial"/>
          <w:sz w:val="22"/>
          <w:szCs w:val="22"/>
        </w:rPr>
        <w:t xml:space="preserve">The progress of the target was constantly tracked with staff sharing good practice in weekly departmental meetings. In the SDP there are three main points where the progress of the target is tracked, these were at the end of every school term where they would be RAG rated based in how on track the department was to achieve the target. These points when the progress of the target was assessed line up with when the quality assurance exercises take place so staff and more importantly students could feedback as to whether they believed the level of challenge in lessons had increased. </w:t>
      </w:r>
    </w:p>
    <w:p w14:paraId="7CAB97F5" w14:textId="4FABCB04" w:rsidR="009617C6" w:rsidRDefault="00000000">
      <w:pPr>
        <w:spacing w:line="360" w:lineRule="auto"/>
      </w:pPr>
      <w:r>
        <w:rPr>
          <w:rFonts w:ascii="Arial" w:hAnsi="Arial" w:cs="Arial"/>
          <w:sz w:val="22"/>
          <w:szCs w:val="22"/>
        </w:rPr>
        <w:t xml:space="preserve">There are many benefits to using extension tasks such as challenge cards that are featured in figure 3. Dobie (2017) listed some of the benefits of extensions such as the increased chance that the information is transferred to long term memory and also helps increase the motivation and confidence within learners (Dobie, 2017). </w:t>
      </w:r>
      <w:r w:rsidR="00137754">
        <w:rPr>
          <w:rFonts w:ascii="Arial" w:hAnsi="Arial" w:cs="Arial"/>
          <w:sz w:val="22"/>
          <w:szCs w:val="22"/>
        </w:rPr>
        <w:t>However,</w:t>
      </w:r>
      <w:r>
        <w:rPr>
          <w:rFonts w:ascii="Arial" w:hAnsi="Arial" w:cs="Arial"/>
          <w:sz w:val="22"/>
          <w:szCs w:val="22"/>
        </w:rPr>
        <w:t xml:space="preserve"> these extension tasks often only challenge our more able learners as they are given once a task is finished. </w:t>
      </w:r>
      <w:r w:rsidR="00137754">
        <w:rPr>
          <w:rFonts w:ascii="Arial" w:hAnsi="Arial" w:cs="Arial"/>
          <w:sz w:val="22"/>
          <w:szCs w:val="22"/>
        </w:rPr>
        <w:t>Due to this</w:t>
      </w:r>
      <w:r>
        <w:rPr>
          <w:rFonts w:ascii="Arial" w:hAnsi="Arial" w:cs="Arial"/>
          <w:sz w:val="22"/>
          <w:szCs w:val="22"/>
        </w:rPr>
        <w:t xml:space="preserve"> a head of department has argued that challenge should not just be for out more able learners, it should be provided for all (Enser, 2017). He argues that the way to do this is to set clear expectations for excellence during lessons and explain what excellence in lessons may look like. This will make students challenge themselves to create the best work possible instead of the challenge coming in the form of an extension task once you are done. </w:t>
      </w:r>
    </w:p>
    <w:p w14:paraId="5DF188EA" w14:textId="77777777" w:rsidR="009617C6" w:rsidRDefault="00000000">
      <w:pPr>
        <w:spacing w:line="360" w:lineRule="auto"/>
        <w:rPr>
          <w:rFonts w:ascii="Arial" w:hAnsi="Arial" w:cs="Arial"/>
          <w:b/>
          <w:bCs/>
          <w:sz w:val="28"/>
          <w:szCs w:val="28"/>
        </w:rPr>
      </w:pPr>
      <w:r>
        <w:rPr>
          <w:rFonts w:ascii="Arial" w:hAnsi="Arial" w:cs="Arial"/>
          <w:b/>
          <w:bCs/>
          <w:sz w:val="28"/>
          <w:szCs w:val="28"/>
        </w:rPr>
        <w:t>Reflection on Practice</w:t>
      </w:r>
    </w:p>
    <w:p w14:paraId="161E5D0A" w14:textId="77777777" w:rsidR="009617C6" w:rsidRDefault="00000000">
      <w:pPr>
        <w:spacing w:line="360" w:lineRule="auto"/>
        <w:rPr>
          <w:rFonts w:ascii="Arial" w:hAnsi="Arial" w:cs="Arial"/>
          <w:sz w:val="22"/>
          <w:szCs w:val="22"/>
        </w:rPr>
      </w:pPr>
      <w:r>
        <w:rPr>
          <w:rFonts w:ascii="Arial" w:hAnsi="Arial" w:cs="Arial"/>
          <w:sz w:val="22"/>
          <w:szCs w:val="22"/>
        </w:rPr>
        <w:t xml:space="preserve">All three of the strategies mentioned had both their strong points and weak points when they were implemented in the classroom. The challenge cards that were discussed first had a great impact on high attainers. They were able to stretch their learning and challenge </w:t>
      </w:r>
      <w:r>
        <w:rPr>
          <w:rFonts w:ascii="Arial" w:hAnsi="Arial" w:cs="Arial"/>
          <w:sz w:val="22"/>
          <w:szCs w:val="22"/>
        </w:rPr>
        <w:lastRenderedPageBreak/>
        <w:t>themselves to really think about what they had covered. As discussed earlier, this also helps learners to commit more to their long-term memory which also frees us some of the working memory. The main disadvantage of this strategy was that it did not challenge the whole class. Only those who had finished their work would be given a challenge card, therefore in some cases only a small percentage of the class is challenged.</w:t>
      </w:r>
    </w:p>
    <w:p w14:paraId="25E40EEB" w14:textId="77777777" w:rsidR="009617C6" w:rsidRDefault="00000000">
      <w:pPr>
        <w:spacing w:line="360" w:lineRule="auto"/>
        <w:rPr>
          <w:rFonts w:ascii="Arial" w:hAnsi="Arial" w:cs="Arial"/>
          <w:sz w:val="22"/>
          <w:szCs w:val="22"/>
        </w:rPr>
      </w:pPr>
      <w:r>
        <w:rPr>
          <w:rFonts w:ascii="Arial" w:hAnsi="Arial" w:cs="Arial"/>
          <w:sz w:val="22"/>
          <w:szCs w:val="22"/>
        </w:rPr>
        <w:t>The second strategy of RAG coding work was the one I found most successful in practice. The main advantage of this strategy was that it differentiated the work and allowed students to pick tasks that they believed were at the correct level. Many learners saw this as a chance to challenge themselves and saw it as competition within the classroom so would go for the more challenging task. Research has shown that when there is healthy competition, children are likely to do more than is required (</w:t>
      </w:r>
      <w:proofErr w:type="spellStart"/>
      <w:r>
        <w:rPr>
          <w:rFonts w:ascii="Arial" w:hAnsi="Arial" w:cs="Arial"/>
          <w:sz w:val="22"/>
          <w:szCs w:val="22"/>
        </w:rPr>
        <w:t>Ineos</w:t>
      </w:r>
      <w:proofErr w:type="spellEnd"/>
      <w:r>
        <w:rPr>
          <w:rFonts w:ascii="Arial" w:hAnsi="Arial" w:cs="Arial"/>
          <w:sz w:val="22"/>
          <w:szCs w:val="22"/>
        </w:rPr>
        <w:t>, 2017). The main disadvantage of this strategy was that some students chose the easier tasks when they were capable of doing the more challenging ones. This would then require the teacher to prompt the students to challenge themselves and do a harder task.</w:t>
      </w:r>
    </w:p>
    <w:p w14:paraId="391D0F62" w14:textId="6B6EC5C5" w:rsidR="009617C6" w:rsidRDefault="00000000">
      <w:pPr>
        <w:spacing w:line="360" w:lineRule="auto"/>
        <w:rPr>
          <w:rFonts w:ascii="Arial" w:hAnsi="Arial" w:cs="Arial"/>
          <w:sz w:val="22"/>
          <w:szCs w:val="22"/>
        </w:rPr>
      </w:pPr>
      <w:r>
        <w:rPr>
          <w:rFonts w:ascii="Arial" w:hAnsi="Arial" w:cs="Arial"/>
          <w:sz w:val="22"/>
          <w:szCs w:val="22"/>
        </w:rPr>
        <w:t>The final strategy of targeted marking had the main advantage that it advanced the learning of those students that were most able. As with the first strategy this stretched their learning and in the case of figure 4, a year 8 student was able to add GCSE vocabulary into their answer. The main disadvantage of this was that the challenge came after the task and only once the piece of work had been marked. Similarly, only the high attainers in the class are challenged not every learner.</w:t>
      </w:r>
    </w:p>
    <w:p w14:paraId="2AE3FD6B" w14:textId="77777777" w:rsidR="009617C6" w:rsidRDefault="00000000">
      <w:pPr>
        <w:spacing w:line="360" w:lineRule="auto"/>
        <w:rPr>
          <w:rFonts w:ascii="Arial" w:hAnsi="Arial" w:cs="Arial"/>
          <w:sz w:val="22"/>
          <w:szCs w:val="22"/>
        </w:rPr>
      </w:pPr>
      <w:r>
        <w:rPr>
          <w:rFonts w:ascii="Arial" w:hAnsi="Arial" w:cs="Arial"/>
          <w:sz w:val="22"/>
          <w:szCs w:val="22"/>
        </w:rPr>
        <w:t>If this research was carried out again, I would try and incorporate more tasks where the challenge is set out before the task as a pose to being an extension task once the work is completed. This would ensure that every learner is challenged regardless of their academic ability.</w:t>
      </w:r>
    </w:p>
    <w:p w14:paraId="077DAB0C" w14:textId="77777777" w:rsidR="009617C6" w:rsidRDefault="00000000">
      <w:pPr>
        <w:spacing w:line="360" w:lineRule="auto"/>
        <w:rPr>
          <w:rFonts w:ascii="Arial" w:hAnsi="Arial" w:cs="Arial"/>
          <w:b/>
          <w:bCs/>
          <w:sz w:val="28"/>
          <w:szCs w:val="28"/>
        </w:rPr>
      </w:pPr>
      <w:r>
        <w:rPr>
          <w:rFonts w:ascii="Arial" w:hAnsi="Arial" w:cs="Arial"/>
          <w:b/>
          <w:bCs/>
          <w:sz w:val="28"/>
          <w:szCs w:val="28"/>
        </w:rPr>
        <w:t>Conclusion</w:t>
      </w:r>
    </w:p>
    <w:p w14:paraId="7B178F2C" w14:textId="77777777" w:rsidR="009617C6" w:rsidRDefault="00000000">
      <w:pPr>
        <w:spacing w:line="360" w:lineRule="auto"/>
        <w:rPr>
          <w:rFonts w:ascii="Arial" w:hAnsi="Arial" w:cs="Arial"/>
          <w:sz w:val="22"/>
          <w:szCs w:val="22"/>
        </w:rPr>
      </w:pPr>
      <w:r>
        <w:rPr>
          <w:rFonts w:ascii="Arial" w:hAnsi="Arial" w:cs="Arial"/>
          <w:sz w:val="22"/>
          <w:szCs w:val="22"/>
        </w:rPr>
        <w:t>This assignment critically evaluated a key target from School A’s SDP, which was  improving the level of challenge in Key Stage 3 lessons. By linking this target to relevant literature, implementing strategies in the classroom, and reflecting on their effectiveness, it has become evident that challenge plays a crucial role in high-quality teaching and learning that was highlighted in government as well as school level policies.</w:t>
      </w:r>
    </w:p>
    <w:p w14:paraId="51DC8471" w14:textId="77777777" w:rsidR="009617C6" w:rsidRDefault="00000000">
      <w:pPr>
        <w:spacing w:line="360" w:lineRule="auto"/>
        <w:rPr>
          <w:rFonts w:ascii="Arial" w:hAnsi="Arial" w:cs="Arial"/>
          <w:sz w:val="22"/>
          <w:szCs w:val="22"/>
        </w:rPr>
      </w:pPr>
      <w:r>
        <w:rPr>
          <w:rFonts w:ascii="Arial" w:hAnsi="Arial" w:cs="Arial"/>
          <w:sz w:val="22"/>
          <w:szCs w:val="22"/>
        </w:rPr>
        <w:t>It is clear to see that self-evaluation and reflection plays a key role in ensuring that high quality teaching and learning is occurring in our schools. This process of an honest review by all stakeholders in our schools ensures that the quality of lessons improves wherever necessary.</w:t>
      </w:r>
    </w:p>
    <w:p w14:paraId="13D1CDD4" w14:textId="77777777" w:rsidR="009617C6" w:rsidRDefault="00000000">
      <w:pPr>
        <w:spacing w:line="360" w:lineRule="auto"/>
        <w:rPr>
          <w:rFonts w:ascii="Arial" w:hAnsi="Arial" w:cs="Arial"/>
          <w:sz w:val="22"/>
          <w:szCs w:val="22"/>
        </w:rPr>
      </w:pPr>
      <w:r>
        <w:rPr>
          <w:rFonts w:ascii="Arial" w:hAnsi="Arial" w:cs="Arial"/>
          <w:sz w:val="22"/>
          <w:szCs w:val="22"/>
        </w:rPr>
        <w:lastRenderedPageBreak/>
        <w:t>Research suggests that challenge should be embedded in all lessons to push students beyond their comfort zones while avoiding cognitive overload (Allison &amp; Tharby, 2015, p. 16). The three strategies trialled in practice were challenge cards, RAG-coded tasks, and targeted marking, each of these had their strengths and weaknesses. Challenge cards effectively stretched high attainers but did not provide challenge for all learners. The RAG system allowed students to take ownership of their learning, although some opted for less challenging tasks. Meanwhile, targeted marking encouraged the use of higher-level vocabulary and deeper thinking but only impacted students after the lesson had taken place.</w:t>
      </w:r>
    </w:p>
    <w:p w14:paraId="72D1EB45" w14:textId="77777777" w:rsidR="009617C6" w:rsidRDefault="00000000">
      <w:pPr>
        <w:spacing w:line="360" w:lineRule="auto"/>
        <w:rPr>
          <w:rFonts w:ascii="Arial" w:hAnsi="Arial" w:cs="Arial"/>
          <w:sz w:val="22"/>
          <w:szCs w:val="22"/>
        </w:rPr>
      </w:pPr>
      <w:r>
        <w:rPr>
          <w:rFonts w:ascii="Arial" w:hAnsi="Arial" w:cs="Arial"/>
          <w:sz w:val="22"/>
          <w:szCs w:val="22"/>
        </w:rPr>
        <w:t>Reflecting on these strategies, it is clear that challenge should not be reserved only for high attainers or introduced as an afterthought. Instead, it should be embedded throughout lessons to ensure all students engage with thought-provoking content. Moving forward, School A could refine its approach by incorporating challenge into tasks for all learners rather than relying on extension activities that only really challenge those who have finished the task</w:t>
      </w:r>
    </w:p>
    <w:p w14:paraId="7A3BAB2D" w14:textId="77777777" w:rsidR="009617C6" w:rsidRDefault="00000000">
      <w:pPr>
        <w:spacing w:line="360" w:lineRule="auto"/>
        <w:rPr>
          <w:rFonts w:ascii="Arial" w:hAnsi="Arial" w:cs="Arial"/>
          <w:sz w:val="22"/>
          <w:szCs w:val="22"/>
        </w:rPr>
      </w:pPr>
      <w:r>
        <w:rPr>
          <w:rFonts w:ascii="Arial" w:hAnsi="Arial" w:cs="Arial"/>
          <w:sz w:val="22"/>
          <w:szCs w:val="22"/>
        </w:rPr>
        <w:t>Ultimately, by consistently embedding challenge in lessons, schools can foster a culture of high expectations, resilience, and ambition, helping to bridge attainment gaps and prepare students for academic and personal success in later life.</w:t>
      </w:r>
    </w:p>
    <w:p w14:paraId="5E22D9F4" w14:textId="77777777" w:rsidR="009617C6" w:rsidRDefault="009617C6"/>
    <w:p w14:paraId="19D004B7" w14:textId="77777777" w:rsidR="00D064AB" w:rsidRDefault="00D064AB"/>
    <w:p w14:paraId="432412F7" w14:textId="77777777" w:rsidR="00D064AB" w:rsidRDefault="00D064AB"/>
    <w:p w14:paraId="2A791467" w14:textId="77777777" w:rsidR="00D064AB" w:rsidRDefault="00D064AB"/>
    <w:p w14:paraId="4BBDE00D" w14:textId="77777777" w:rsidR="00D064AB" w:rsidRDefault="00D064AB"/>
    <w:p w14:paraId="6861F76F" w14:textId="77777777" w:rsidR="00D064AB" w:rsidRDefault="00D064AB"/>
    <w:p w14:paraId="69205947" w14:textId="77777777" w:rsidR="00D064AB" w:rsidRDefault="00D064AB"/>
    <w:p w14:paraId="45615F7A" w14:textId="77777777" w:rsidR="00D064AB" w:rsidRDefault="00D064AB"/>
    <w:p w14:paraId="514FCFB7" w14:textId="77777777" w:rsidR="00D064AB" w:rsidRDefault="00D064AB"/>
    <w:p w14:paraId="2633C0A1" w14:textId="77777777" w:rsidR="00D064AB" w:rsidRDefault="00D064AB"/>
    <w:p w14:paraId="64AD60BA" w14:textId="77777777" w:rsidR="00D064AB" w:rsidRDefault="00D064AB"/>
    <w:p w14:paraId="305E22D1" w14:textId="77777777" w:rsidR="00D064AB" w:rsidRDefault="00D064AB"/>
    <w:p w14:paraId="5F8942A6" w14:textId="77777777" w:rsidR="00D064AB" w:rsidRDefault="00D064AB"/>
    <w:p w14:paraId="639694F2" w14:textId="77777777" w:rsidR="00D064AB" w:rsidRDefault="00D064AB"/>
    <w:p w14:paraId="660DAAB3" w14:textId="77777777" w:rsidR="00D064AB" w:rsidRPr="00D064AB" w:rsidRDefault="00D064AB" w:rsidP="00D064AB">
      <w:pPr>
        <w:rPr>
          <w:b/>
          <w:bCs/>
          <w:sz w:val="20"/>
          <w:szCs w:val="20"/>
        </w:rPr>
      </w:pPr>
      <w:r w:rsidRPr="00D064AB">
        <w:rPr>
          <w:b/>
          <w:bCs/>
          <w:sz w:val="20"/>
          <w:szCs w:val="20"/>
        </w:rPr>
        <w:lastRenderedPageBreak/>
        <w:t>Reference list</w:t>
      </w:r>
    </w:p>
    <w:p w14:paraId="355A8831" w14:textId="77777777" w:rsidR="00D064AB" w:rsidRPr="00D064AB" w:rsidRDefault="00D064AB" w:rsidP="00D064AB">
      <w:pPr>
        <w:rPr>
          <w:sz w:val="20"/>
          <w:szCs w:val="20"/>
        </w:rPr>
      </w:pPr>
      <w:r w:rsidRPr="00D064AB">
        <w:rPr>
          <w:sz w:val="20"/>
          <w:szCs w:val="20"/>
        </w:rPr>
        <w:t xml:space="preserve">BERA (2024). </w:t>
      </w:r>
      <w:r w:rsidRPr="00D064AB">
        <w:rPr>
          <w:i/>
          <w:iCs/>
          <w:sz w:val="20"/>
          <w:szCs w:val="20"/>
        </w:rPr>
        <w:t>Ethical Guidelines for Educational Research, fifth edition (2024)</w:t>
      </w:r>
      <w:r w:rsidRPr="00D064AB">
        <w:rPr>
          <w:sz w:val="20"/>
          <w:szCs w:val="20"/>
        </w:rPr>
        <w:t>. [online] www.bera.ac.uk. Available at: https://www.bera.ac.uk/publication/ethical-guidelines-for-educational-research-fifth-edition-2024-online [Accessed 29 Jan. 2025].</w:t>
      </w:r>
    </w:p>
    <w:p w14:paraId="6D27A09B" w14:textId="77777777" w:rsidR="00D064AB" w:rsidRPr="00D064AB" w:rsidRDefault="00D064AB" w:rsidP="00D064AB">
      <w:pPr>
        <w:rPr>
          <w:sz w:val="20"/>
          <w:szCs w:val="20"/>
        </w:rPr>
      </w:pPr>
      <w:r w:rsidRPr="00D064AB">
        <w:rPr>
          <w:sz w:val="20"/>
          <w:szCs w:val="20"/>
        </w:rPr>
        <w:t xml:space="preserve">Burns, R. (2023). </w:t>
      </w:r>
      <w:r w:rsidRPr="00D064AB">
        <w:rPr>
          <w:i/>
          <w:iCs/>
          <w:sz w:val="20"/>
          <w:szCs w:val="20"/>
        </w:rPr>
        <w:t>Challenge in the primary classroom: Getting the delivery right</w:t>
      </w:r>
      <w:r w:rsidRPr="00D064AB">
        <w:rPr>
          <w:sz w:val="20"/>
          <w:szCs w:val="20"/>
        </w:rPr>
        <w:t>. [online] Headteacher Update. Available at: https://www.headteacher-update.com/content/best-practice/challenge-in-the-primary-classroom-getting-the-delivery-right/.</w:t>
      </w:r>
    </w:p>
    <w:p w14:paraId="24494E3A" w14:textId="77777777" w:rsidR="00D064AB" w:rsidRPr="00D064AB" w:rsidRDefault="00D064AB" w:rsidP="00D064AB">
      <w:pPr>
        <w:rPr>
          <w:sz w:val="20"/>
          <w:szCs w:val="20"/>
        </w:rPr>
      </w:pPr>
      <w:r w:rsidRPr="00D064AB">
        <w:rPr>
          <w:sz w:val="20"/>
          <w:szCs w:val="20"/>
        </w:rPr>
        <w:t xml:space="preserve">Cambridge Assessment Internal Education (2021). </w:t>
      </w:r>
      <w:r w:rsidRPr="00D064AB">
        <w:rPr>
          <w:i/>
          <w:iCs/>
          <w:sz w:val="20"/>
          <w:szCs w:val="20"/>
        </w:rPr>
        <w:t>What does school evaluation mean?</w:t>
      </w:r>
      <w:r w:rsidRPr="00D064AB">
        <w:rPr>
          <w:sz w:val="20"/>
          <w:szCs w:val="20"/>
        </w:rPr>
        <w:t xml:space="preserve"> [online] Available at: https://www.cambridgeinternational.org/Images/637044-education-brief-school-evaluation.pdf.</w:t>
      </w:r>
    </w:p>
    <w:p w14:paraId="2B4ABA8C" w14:textId="77777777" w:rsidR="00D064AB" w:rsidRPr="00D064AB" w:rsidRDefault="00D064AB" w:rsidP="00D064AB">
      <w:pPr>
        <w:rPr>
          <w:sz w:val="20"/>
          <w:szCs w:val="20"/>
        </w:rPr>
      </w:pPr>
      <w:r w:rsidRPr="00D064AB">
        <w:rPr>
          <w:sz w:val="20"/>
          <w:szCs w:val="20"/>
        </w:rPr>
        <w:t xml:space="preserve">Curtis, F. (2015). Challenge: Always a good thing? </w:t>
      </w:r>
      <w:r w:rsidRPr="00D064AB">
        <w:rPr>
          <w:i/>
          <w:iCs/>
          <w:sz w:val="20"/>
          <w:szCs w:val="20"/>
        </w:rPr>
        <w:t>Challenge: Always a good thing?</w:t>
      </w:r>
      <w:r w:rsidRPr="00D064AB">
        <w:rPr>
          <w:sz w:val="20"/>
          <w:szCs w:val="20"/>
        </w:rPr>
        <w:t>, [online] 35(2), p.11. Available at: https://bsrlm.org.uk/wp-content/uploads/2016/02/BSRLM-IP-35-2-02.pdf.</w:t>
      </w:r>
    </w:p>
    <w:p w14:paraId="6CE35E87" w14:textId="77777777" w:rsidR="00D064AB" w:rsidRPr="00D064AB" w:rsidRDefault="00D064AB" w:rsidP="00D064AB">
      <w:pPr>
        <w:rPr>
          <w:sz w:val="20"/>
          <w:szCs w:val="20"/>
        </w:rPr>
      </w:pPr>
      <w:r w:rsidRPr="00D064AB">
        <w:rPr>
          <w:sz w:val="20"/>
          <w:szCs w:val="20"/>
        </w:rPr>
        <w:t xml:space="preserve">Estyn (2022). </w:t>
      </w:r>
      <w:r w:rsidRPr="00D064AB">
        <w:rPr>
          <w:i/>
          <w:iCs/>
          <w:sz w:val="20"/>
          <w:szCs w:val="20"/>
        </w:rPr>
        <w:t xml:space="preserve">A report on </w:t>
      </w:r>
      <w:r w:rsidRPr="00D064AB">
        <w:rPr>
          <w:i/>
          <w:iCs/>
          <w:sz w:val="20"/>
          <w:szCs w:val="20"/>
          <w:highlight w:val="black"/>
        </w:rPr>
        <w:t>Queen Elizabeth High</w:t>
      </w:r>
      <w:r w:rsidRPr="00D064AB">
        <w:rPr>
          <w:sz w:val="20"/>
          <w:szCs w:val="20"/>
        </w:rPr>
        <w:t>. [online] Available at: https://estyn.gov.wales/system/files/2022-11/Inspection%20report%</w:t>
      </w:r>
      <w:r w:rsidRPr="00D064AB">
        <w:rPr>
          <w:sz w:val="20"/>
          <w:szCs w:val="20"/>
          <w:highlight w:val="black"/>
        </w:rPr>
        <w:t>20Queen%20Elizabeth%20High</w:t>
      </w:r>
      <w:r w:rsidRPr="00D064AB">
        <w:rPr>
          <w:sz w:val="20"/>
          <w:szCs w:val="20"/>
        </w:rPr>
        <w:t>%202022_1.pdf [Accessed 30 Jan. 2025].</w:t>
      </w:r>
    </w:p>
    <w:p w14:paraId="69AE60CB" w14:textId="77777777" w:rsidR="00D064AB" w:rsidRPr="00D064AB" w:rsidRDefault="00D064AB" w:rsidP="00D064AB">
      <w:pPr>
        <w:rPr>
          <w:sz w:val="20"/>
          <w:szCs w:val="20"/>
        </w:rPr>
      </w:pPr>
      <w:r w:rsidRPr="00D064AB">
        <w:rPr>
          <w:sz w:val="20"/>
          <w:szCs w:val="20"/>
        </w:rPr>
        <w:t xml:space="preserve">Gibson, K. and Purdy, N. (2012). Reflect-Select-Defend: A Model for Student Teacher Reflection. </w:t>
      </w:r>
      <w:r w:rsidRPr="00D064AB">
        <w:rPr>
          <w:i/>
          <w:iCs/>
          <w:sz w:val="20"/>
          <w:szCs w:val="20"/>
        </w:rPr>
        <w:t>Critical and Reflective Practice in Education</w:t>
      </w:r>
      <w:r w:rsidRPr="00D064AB">
        <w:rPr>
          <w:sz w:val="20"/>
          <w:szCs w:val="20"/>
        </w:rPr>
        <w:t>, [online] 3, p.2012. Available at: https://www.stran.ac.uk/wp-content/uploads/2019/11/Gibson-Purdy-CRPE-vol-3.pdf.</w:t>
      </w:r>
    </w:p>
    <w:p w14:paraId="61C44068" w14:textId="77777777" w:rsidR="00D064AB" w:rsidRPr="00D064AB" w:rsidRDefault="00D064AB" w:rsidP="00D064AB">
      <w:pPr>
        <w:rPr>
          <w:sz w:val="20"/>
          <w:szCs w:val="20"/>
        </w:rPr>
      </w:pPr>
      <w:proofErr w:type="spellStart"/>
      <w:r w:rsidRPr="00D064AB">
        <w:rPr>
          <w:sz w:val="20"/>
          <w:szCs w:val="20"/>
        </w:rPr>
        <w:t>Ineos</w:t>
      </w:r>
      <w:proofErr w:type="spellEnd"/>
      <w:r w:rsidRPr="00D064AB">
        <w:rPr>
          <w:sz w:val="20"/>
          <w:szCs w:val="20"/>
        </w:rPr>
        <w:t xml:space="preserve"> (2017). </w:t>
      </w:r>
      <w:r w:rsidRPr="00D064AB">
        <w:rPr>
          <w:i/>
          <w:iCs/>
          <w:sz w:val="20"/>
          <w:szCs w:val="20"/>
        </w:rPr>
        <w:t>INCH Magazine</w:t>
      </w:r>
      <w:r w:rsidRPr="00D064AB">
        <w:rPr>
          <w:sz w:val="20"/>
          <w:szCs w:val="20"/>
        </w:rPr>
        <w:t>. [online] Ineos.com. Available at: https://www.ineos.com/inch-magazine/articles/issue-5/debate/.</w:t>
      </w:r>
    </w:p>
    <w:p w14:paraId="40E7CEDE" w14:textId="77777777" w:rsidR="00D064AB" w:rsidRPr="00D064AB" w:rsidRDefault="00D064AB" w:rsidP="00D064AB">
      <w:pPr>
        <w:rPr>
          <w:sz w:val="20"/>
          <w:szCs w:val="20"/>
        </w:rPr>
      </w:pPr>
      <w:proofErr w:type="spellStart"/>
      <w:r w:rsidRPr="00D064AB">
        <w:rPr>
          <w:sz w:val="20"/>
          <w:szCs w:val="20"/>
        </w:rPr>
        <w:t>Lemov</w:t>
      </w:r>
      <w:proofErr w:type="spellEnd"/>
      <w:r w:rsidRPr="00D064AB">
        <w:rPr>
          <w:sz w:val="20"/>
          <w:szCs w:val="20"/>
        </w:rPr>
        <w:t xml:space="preserve">, D., Allison, S. and Tharby, A. (2015). </w:t>
      </w:r>
      <w:r w:rsidRPr="00D064AB">
        <w:rPr>
          <w:i/>
          <w:iCs/>
          <w:sz w:val="20"/>
          <w:szCs w:val="20"/>
        </w:rPr>
        <w:t>Making every lesson count Six principles to support great teaching and learning</w:t>
      </w:r>
      <w:r w:rsidRPr="00D064AB">
        <w:rPr>
          <w:sz w:val="20"/>
          <w:szCs w:val="20"/>
        </w:rPr>
        <w:t>. [online] pp.14–16. Available at: https://www.crownhouse.co.uk/assets/look-inside/making-every-lesson-count.pdf.</w:t>
      </w:r>
    </w:p>
    <w:p w14:paraId="17F7E282" w14:textId="77777777" w:rsidR="00D064AB" w:rsidRPr="00D064AB" w:rsidRDefault="00D064AB" w:rsidP="00D064AB">
      <w:pPr>
        <w:rPr>
          <w:sz w:val="20"/>
          <w:szCs w:val="20"/>
        </w:rPr>
      </w:pPr>
      <w:r w:rsidRPr="00D064AB">
        <w:rPr>
          <w:sz w:val="20"/>
          <w:szCs w:val="20"/>
        </w:rPr>
        <w:t xml:space="preserve">Robert Dobie (2017). </w:t>
      </w:r>
      <w:r w:rsidRPr="00D064AB">
        <w:rPr>
          <w:i/>
          <w:iCs/>
          <w:sz w:val="20"/>
          <w:szCs w:val="20"/>
        </w:rPr>
        <w:t>5 great reasons to extend activities</w:t>
      </w:r>
      <w:r w:rsidRPr="00D064AB">
        <w:rPr>
          <w:sz w:val="20"/>
          <w:szCs w:val="20"/>
        </w:rPr>
        <w:t>. [online] World of Better Learning | Cambridge University Press. Available at: https://www.cambridge.org/elt/blog/2017/10/10/5-great-reasons-to-extend-activities/.</w:t>
      </w:r>
    </w:p>
    <w:p w14:paraId="1BB9501F" w14:textId="77777777" w:rsidR="00D064AB" w:rsidRPr="00D064AB" w:rsidRDefault="00D064AB" w:rsidP="00D064AB">
      <w:pPr>
        <w:rPr>
          <w:sz w:val="20"/>
          <w:szCs w:val="20"/>
        </w:rPr>
      </w:pPr>
      <w:r w:rsidRPr="00D064AB">
        <w:rPr>
          <w:sz w:val="20"/>
          <w:szCs w:val="20"/>
        </w:rPr>
        <w:t xml:space="preserve">The University of Edinburgh (2024). </w:t>
      </w:r>
      <w:r w:rsidRPr="00D064AB">
        <w:rPr>
          <w:i/>
          <w:iCs/>
          <w:sz w:val="20"/>
          <w:szCs w:val="20"/>
        </w:rPr>
        <w:t>Gibbs’ Reflective Cycle</w:t>
      </w:r>
      <w:r w:rsidRPr="00D064AB">
        <w:rPr>
          <w:sz w:val="20"/>
          <w:szCs w:val="20"/>
        </w:rPr>
        <w:t>. [online] The University of Edinburgh. Available at: https://reflection.ed.ac.uk/reflectors-toolkit/reflecting-on-experience/gibbs-reflective-cycle.</w:t>
      </w:r>
    </w:p>
    <w:p w14:paraId="2F438643" w14:textId="77777777" w:rsidR="00D064AB" w:rsidRPr="00D064AB" w:rsidRDefault="00D064AB" w:rsidP="00D064AB">
      <w:pPr>
        <w:rPr>
          <w:sz w:val="20"/>
          <w:szCs w:val="20"/>
        </w:rPr>
      </w:pPr>
      <w:r w:rsidRPr="00D064AB">
        <w:rPr>
          <w:sz w:val="20"/>
          <w:szCs w:val="20"/>
        </w:rPr>
        <w:t xml:space="preserve">Welsh Government (2014). </w:t>
      </w:r>
      <w:r w:rsidRPr="00D064AB">
        <w:rPr>
          <w:i/>
          <w:iCs/>
          <w:sz w:val="20"/>
          <w:szCs w:val="20"/>
        </w:rPr>
        <w:t>School development plans Guidance</w:t>
      </w:r>
      <w:r w:rsidRPr="00D064AB">
        <w:rPr>
          <w:sz w:val="20"/>
          <w:szCs w:val="20"/>
        </w:rPr>
        <w:t>. [online] Available at: https://www.gov.wales/sites/default/files/publications/2018-03/school-development-plans.pdf.</w:t>
      </w:r>
    </w:p>
    <w:p w14:paraId="4C827961" w14:textId="77777777" w:rsidR="00D064AB" w:rsidRPr="00D064AB" w:rsidRDefault="00D064AB" w:rsidP="00D064AB">
      <w:pPr>
        <w:rPr>
          <w:sz w:val="20"/>
          <w:szCs w:val="20"/>
        </w:rPr>
      </w:pPr>
      <w:r w:rsidRPr="00D064AB">
        <w:rPr>
          <w:sz w:val="20"/>
          <w:szCs w:val="20"/>
        </w:rPr>
        <w:t xml:space="preserve">Welsh Government (2023). </w:t>
      </w:r>
      <w:r w:rsidRPr="00D064AB">
        <w:rPr>
          <w:i/>
          <w:iCs/>
          <w:sz w:val="20"/>
          <w:szCs w:val="20"/>
        </w:rPr>
        <w:t xml:space="preserve">Our </w:t>
      </w:r>
      <w:proofErr w:type="gramStart"/>
      <w:r w:rsidRPr="00D064AB">
        <w:rPr>
          <w:i/>
          <w:iCs/>
          <w:sz w:val="20"/>
          <w:szCs w:val="20"/>
        </w:rPr>
        <w:t>National</w:t>
      </w:r>
      <w:proofErr w:type="gramEnd"/>
      <w:r w:rsidRPr="00D064AB">
        <w:rPr>
          <w:i/>
          <w:iCs/>
          <w:sz w:val="20"/>
          <w:szCs w:val="20"/>
        </w:rPr>
        <w:t xml:space="preserve"> mission: High Standards and Aspirations for All</w:t>
      </w:r>
      <w:r w:rsidRPr="00D064AB">
        <w:rPr>
          <w:sz w:val="20"/>
          <w:szCs w:val="20"/>
        </w:rPr>
        <w:t>. [online] Available at: https://www.gov.wales/sites/default/files/pdf-versions/2023/3/2/1679399634/our-national-mission-high-standards-and-aspirations-all.pdf.</w:t>
      </w:r>
    </w:p>
    <w:p w14:paraId="0ED33A88" w14:textId="77777777" w:rsidR="00D064AB" w:rsidRDefault="00D064AB"/>
    <w:sectPr w:rsidR="00D064AB">
      <w:head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D5EFB" w14:textId="77777777" w:rsidR="008F7044" w:rsidRDefault="008F7044">
      <w:pPr>
        <w:spacing w:after="0" w:line="240" w:lineRule="auto"/>
      </w:pPr>
      <w:r>
        <w:separator/>
      </w:r>
    </w:p>
  </w:endnote>
  <w:endnote w:type="continuationSeparator" w:id="0">
    <w:p w14:paraId="41CB6E07" w14:textId="77777777" w:rsidR="008F7044" w:rsidRDefault="008F7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1838E" w14:textId="77777777" w:rsidR="008F7044" w:rsidRDefault="008F7044">
      <w:pPr>
        <w:spacing w:after="0" w:line="240" w:lineRule="auto"/>
      </w:pPr>
      <w:r>
        <w:rPr>
          <w:color w:val="000000"/>
        </w:rPr>
        <w:separator/>
      </w:r>
    </w:p>
  </w:footnote>
  <w:footnote w:type="continuationSeparator" w:id="0">
    <w:p w14:paraId="79AB12ED" w14:textId="77777777" w:rsidR="008F7044" w:rsidRDefault="008F7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AE8B4" w14:textId="4D5AAB2C" w:rsidR="00A4738E" w:rsidRDefault="00A4738E">
    <w:pPr>
      <w:pStyle w:val="Header"/>
    </w:pPr>
    <w:r>
      <w:t>ECAD 7050                                                                                                                                              2405275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C3F7B"/>
    <w:multiLevelType w:val="hybridMultilevel"/>
    <w:tmpl w:val="8AEA94AC"/>
    <w:lvl w:ilvl="0" w:tplc="DB78059C">
      <w:start w:val="1"/>
      <w:numFmt w:val="decimal"/>
      <w:lvlText w:val="%1."/>
      <w:lvlJc w:val="left"/>
      <w:pPr>
        <w:ind w:left="2748" w:hanging="23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63DDE"/>
    <w:multiLevelType w:val="hybridMultilevel"/>
    <w:tmpl w:val="F48C6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A49EE"/>
    <w:multiLevelType w:val="multilevel"/>
    <w:tmpl w:val="DE18E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4995151">
    <w:abstractNumId w:val="2"/>
  </w:num>
  <w:num w:numId="2" w16cid:durableId="1156191419">
    <w:abstractNumId w:val="0"/>
  </w:num>
  <w:num w:numId="3" w16cid:durableId="449670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617C6"/>
    <w:rsid w:val="00137754"/>
    <w:rsid w:val="00270DB8"/>
    <w:rsid w:val="006A149C"/>
    <w:rsid w:val="008A1EF4"/>
    <w:rsid w:val="008F7044"/>
    <w:rsid w:val="009617C6"/>
    <w:rsid w:val="00A4738E"/>
    <w:rsid w:val="00D064AB"/>
    <w:rsid w:val="00EF7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912D7"/>
  <w15:docId w15:val="{8B4672BF-8E74-4380-BCFC-D16185E57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AssignBody">
    <w:name w:val="AssignBody"/>
    <w:basedOn w:val="Normal"/>
    <w:link w:val="AssignBodyChar"/>
    <w:qFormat/>
    <w:rsid w:val="00137754"/>
    <w:pPr>
      <w:suppressAutoHyphens w:val="0"/>
      <w:autoSpaceDN/>
      <w:spacing w:after="0" w:line="360" w:lineRule="auto"/>
    </w:pPr>
    <w:rPr>
      <w:rFonts w:ascii="Arial" w:eastAsiaTheme="minorHAnsi" w:hAnsi="Arial" w:cstheme="minorBidi"/>
      <w:kern w:val="0"/>
      <w:sz w:val="22"/>
      <w:szCs w:val="22"/>
    </w:rPr>
  </w:style>
  <w:style w:type="character" w:customStyle="1" w:styleId="AssignBodyChar">
    <w:name w:val="AssignBody Char"/>
    <w:basedOn w:val="DefaultParagraphFont"/>
    <w:link w:val="AssignBody"/>
    <w:rsid w:val="00137754"/>
    <w:rPr>
      <w:rFonts w:ascii="Arial" w:eastAsiaTheme="minorHAnsi" w:hAnsi="Arial" w:cstheme="minorBidi"/>
      <w:kern w:val="0"/>
      <w:sz w:val="22"/>
      <w:szCs w:val="22"/>
    </w:rPr>
  </w:style>
  <w:style w:type="table" w:styleId="TableGrid">
    <w:name w:val="Table Grid"/>
    <w:basedOn w:val="TableNormal"/>
    <w:uiPriority w:val="39"/>
    <w:rsid w:val="00137754"/>
    <w:pPr>
      <w:autoSpaceDN/>
      <w:spacing w:after="0" w:line="240" w:lineRule="auto"/>
    </w:pPr>
    <w:rPr>
      <w:rFonts w:asciiTheme="minorHAnsi" w:eastAsiaTheme="minorHAnsi" w:hAnsiTheme="minorHAnsi" w:cstheme="minorBidi"/>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37754"/>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basedOn w:val="DefaultParagraphFont"/>
    <w:uiPriority w:val="99"/>
    <w:unhideWhenUsed/>
    <w:rsid w:val="00A4738E"/>
    <w:rPr>
      <w:color w:val="467886" w:themeColor="hyperlink"/>
      <w:u w:val="single"/>
    </w:rPr>
  </w:style>
  <w:style w:type="character" w:styleId="UnresolvedMention">
    <w:name w:val="Unresolved Mention"/>
    <w:basedOn w:val="DefaultParagraphFont"/>
    <w:uiPriority w:val="99"/>
    <w:semiHidden/>
    <w:unhideWhenUsed/>
    <w:rsid w:val="00A4738E"/>
    <w:rPr>
      <w:color w:val="605E5C"/>
      <w:shd w:val="clear" w:color="auto" w:fill="E1DFDD"/>
    </w:rPr>
  </w:style>
  <w:style w:type="paragraph" w:styleId="Header">
    <w:name w:val="header"/>
    <w:basedOn w:val="Normal"/>
    <w:link w:val="HeaderChar"/>
    <w:uiPriority w:val="99"/>
    <w:unhideWhenUsed/>
    <w:rsid w:val="00A47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38E"/>
  </w:style>
  <w:style w:type="paragraph" w:styleId="Footer">
    <w:name w:val="footer"/>
    <w:basedOn w:val="Normal"/>
    <w:link w:val="FooterChar"/>
    <w:uiPriority w:val="99"/>
    <w:unhideWhenUsed/>
    <w:rsid w:val="00A47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309273">
      <w:bodyDiv w:val="1"/>
      <w:marLeft w:val="0"/>
      <w:marRight w:val="0"/>
      <w:marTop w:val="0"/>
      <w:marBottom w:val="0"/>
      <w:divBdr>
        <w:top w:val="none" w:sz="0" w:space="0" w:color="auto"/>
        <w:left w:val="none" w:sz="0" w:space="0" w:color="auto"/>
        <w:bottom w:val="none" w:sz="0" w:space="0" w:color="auto"/>
        <w:right w:val="none" w:sz="0" w:space="0" w:color="auto"/>
      </w:divBdr>
      <w:divsChild>
        <w:div w:id="861822109">
          <w:marLeft w:val="0"/>
          <w:marRight w:val="0"/>
          <w:marTop w:val="0"/>
          <w:marBottom w:val="0"/>
          <w:divBdr>
            <w:top w:val="none" w:sz="0" w:space="0" w:color="auto"/>
            <w:left w:val="none" w:sz="0" w:space="0" w:color="auto"/>
            <w:bottom w:val="none" w:sz="0" w:space="0" w:color="auto"/>
            <w:right w:val="none" w:sz="0" w:space="0" w:color="auto"/>
          </w:divBdr>
        </w:div>
      </w:divsChild>
    </w:div>
    <w:div w:id="718283793">
      <w:bodyDiv w:val="1"/>
      <w:marLeft w:val="0"/>
      <w:marRight w:val="0"/>
      <w:marTop w:val="0"/>
      <w:marBottom w:val="0"/>
      <w:divBdr>
        <w:top w:val="none" w:sz="0" w:space="0" w:color="auto"/>
        <w:left w:val="none" w:sz="0" w:space="0" w:color="auto"/>
        <w:bottom w:val="none" w:sz="0" w:space="0" w:color="auto"/>
        <w:right w:val="none" w:sz="0" w:space="0" w:color="auto"/>
      </w:divBdr>
    </w:div>
    <w:div w:id="801729623">
      <w:bodyDiv w:val="1"/>
      <w:marLeft w:val="0"/>
      <w:marRight w:val="0"/>
      <w:marTop w:val="0"/>
      <w:marBottom w:val="0"/>
      <w:divBdr>
        <w:top w:val="none" w:sz="0" w:space="0" w:color="auto"/>
        <w:left w:val="none" w:sz="0" w:space="0" w:color="auto"/>
        <w:bottom w:val="none" w:sz="0" w:space="0" w:color="auto"/>
        <w:right w:val="none" w:sz="0" w:space="0" w:color="auto"/>
      </w:divBdr>
    </w:div>
    <w:div w:id="890266627">
      <w:bodyDiv w:val="1"/>
      <w:marLeft w:val="0"/>
      <w:marRight w:val="0"/>
      <w:marTop w:val="0"/>
      <w:marBottom w:val="0"/>
      <w:divBdr>
        <w:top w:val="none" w:sz="0" w:space="0" w:color="auto"/>
        <w:left w:val="none" w:sz="0" w:space="0" w:color="auto"/>
        <w:bottom w:val="none" w:sz="0" w:space="0" w:color="auto"/>
        <w:right w:val="none" w:sz="0" w:space="0" w:color="auto"/>
      </w:divBdr>
    </w:div>
    <w:div w:id="894706600">
      <w:bodyDiv w:val="1"/>
      <w:marLeft w:val="0"/>
      <w:marRight w:val="0"/>
      <w:marTop w:val="0"/>
      <w:marBottom w:val="0"/>
      <w:divBdr>
        <w:top w:val="none" w:sz="0" w:space="0" w:color="auto"/>
        <w:left w:val="none" w:sz="0" w:space="0" w:color="auto"/>
        <w:bottom w:val="none" w:sz="0" w:space="0" w:color="auto"/>
        <w:right w:val="none" w:sz="0" w:space="0" w:color="auto"/>
      </w:divBdr>
      <w:divsChild>
        <w:div w:id="1864588626">
          <w:marLeft w:val="0"/>
          <w:marRight w:val="0"/>
          <w:marTop w:val="0"/>
          <w:marBottom w:val="0"/>
          <w:divBdr>
            <w:top w:val="none" w:sz="0" w:space="0" w:color="auto"/>
            <w:left w:val="none" w:sz="0" w:space="0" w:color="auto"/>
            <w:bottom w:val="none" w:sz="0" w:space="0" w:color="auto"/>
            <w:right w:val="none" w:sz="0" w:space="0" w:color="auto"/>
          </w:divBdr>
        </w:div>
      </w:divsChild>
    </w:div>
    <w:div w:id="1455632984">
      <w:bodyDiv w:val="1"/>
      <w:marLeft w:val="0"/>
      <w:marRight w:val="0"/>
      <w:marTop w:val="0"/>
      <w:marBottom w:val="0"/>
      <w:divBdr>
        <w:top w:val="none" w:sz="0" w:space="0" w:color="auto"/>
        <w:left w:val="none" w:sz="0" w:space="0" w:color="auto"/>
        <w:bottom w:val="none" w:sz="0" w:space="0" w:color="auto"/>
        <w:right w:val="none" w:sz="0" w:space="0" w:color="auto"/>
      </w:divBdr>
      <w:divsChild>
        <w:div w:id="211117295">
          <w:marLeft w:val="0"/>
          <w:marRight w:val="0"/>
          <w:marTop w:val="0"/>
          <w:marBottom w:val="0"/>
          <w:divBdr>
            <w:top w:val="none" w:sz="0" w:space="0" w:color="auto"/>
            <w:left w:val="none" w:sz="0" w:space="0" w:color="auto"/>
            <w:bottom w:val="none" w:sz="0" w:space="0" w:color="auto"/>
            <w:right w:val="none" w:sz="0" w:space="0" w:color="auto"/>
          </w:divBdr>
        </w:div>
      </w:divsChild>
    </w:div>
    <w:div w:id="1961300509">
      <w:bodyDiv w:val="1"/>
      <w:marLeft w:val="0"/>
      <w:marRight w:val="0"/>
      <w:marTop w:val="0"/>
      <w:marBottom w:val="0"/>
      <w:divBdr>
        <w:top w:val="none" w:sz="0" w:space="0" w:color="auto"/>
        <w:left w:val="none" w:sz="0" w:space="0" w:color="auto"/>
        <w:bottom w:val="none" w:sz="0" w:space="0" w:color="auto"/>
        <w:right w:val="none" w:sz="0" w:space="0" w:color="auto"/>
      </w:divBdr>
    </w:div>
    <w:div w:id="2015574952">
      <w:bodyDiv w:val="1"/>
      <w:marLeft w:val="0"/>
      <w:marRight w:val="0"/>
      <w:marTop w:val="0"/>
      <w:marBottom w:val="0"/>
      <w:divBdr>
        <w:top w:val="none" w:sz="0" w:space="0" w:color="auto"/>
        <w:left w:val="none" w:sz="0" w:space="0" w:color="auto"/>
        <w:bottom w:val="none" w:sz="0" w:space="0" w:color="auto"/>
        <w:right w:val="none" w:sz="0" w:space="0" w:color="auto"/>
      </w:divBdr>
      <w:divsChild>
        <w:div w:id="17924809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app.grammarly.com/"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3100</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Lewis (2405275)</dc:creator>
  <dc:description/>
  <cp:lastModifiedBy>Llyr Lewis (2405275)</cp:lastModifiedBy>
  <cp:revision>2</cp:revision>
  <dcterms:created xsi:type="dcterms:W3CDTF">2025-03-02T20:30:00Z</dcterms:created>
  <dcterms:modified xsi:type="dcterms:W3CDTF">2025-03-02T20:30:00Z</dcterms:modified>
</cp:coreProperties>
</file>