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693E0" w14:textId="77777777" w:rsidR="009C1D91" w:rsidRDefault="009C1D91">
      <w:pPr>
        <w:spacing w:after="0" w:line="360" w:lineRule="auto"/>
      </w:pPr>
    </w:p>
    <w:p w14:paraId="4603C387" w14:textId="77777777" w:rsidR="009C1D91" w:rsidRDefault="00000000">
      <w:pPr>
        <w:jc w:val="center"/>
      </w:pPr>
      <w:r>
        <w:rPr>
          <w:noProof/>
        </w:rPr>
        <w:drawing>
          <wp:inline distT="0" distB="0" distL="0" distR="0" wp14:anchorId="69E65FC4" wp14:editId="45F4D119">
            <wp:extent cx="3381375" cy="13525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3381375" cy="1352550"/>
                    </a:xfrm>
                    <a:prstGeom prst="rect">
                      <a:avLst/>
                    </a:prstGeom>
                    <a:ln/>
                  </pic:spPr>
                </pic:pic>
              </a:graphicData>
            </a:graphic>
          </wp:inline>
        </w:drawing>
      </w:r>
    </w:p>
    <w:p w14:paraId="1970F301" w14:textId="77777777" w:rsidR="009C1D91" w:rsidRDefault="009C1D91">
      <w:pPr>
        <w:jc w:val="center"/>
      </w:pPr>
    </w:p>
    <w:p w14:paraId="1D27227D" w14:textId="77777777" w:rsidR="009C1D91" w:rsidRDefault="009C1D91"/>
    <w:p w14:paraId="0162E6F0" w14:textId="654AF8A2" w:rsidR="009C1D91" w:rsidRDefault="00000000">
      <w:pPr>
        <w:jc w:val="center"/>
        <w:rPr>
          <w:b/>
          <w:bCs/>
          <w:sz w:val="28"/>
          <w:szCs w:val="28"/>
        </w:rPr>
      </w:pPr>
      <w:r>
        <w:rPr>
          <w:b/>
          <w:bCs/>
          <w:sz w:val="28"/>
          <w:szCs w:val="28"/>
        </w:rPr>
        <w:t xml:space="preserve">Student Name: </w:t>
      </w:r>
      <w:r w:rsidR="00C651F1" w:rsidRPr="00C651F1">
        <w:rPr>
          <w:b/>
          <w:bCs/>
          <w:sz w:val="28"/>
          <w:szCs w:val="28"/>
        </w:rPr>
        <w:t>Dhavalkumar Manubhai Ahir</w:t>
      </w:r>
    </w:p>
    <w:p w14:paraId="4A422A47" w14:textId="77777777" w:rsidR="009C1D91" w:rsidRDefault="009C1D91">
      <w:pPr>
        <w:jc w:val="center"/>
        <w:rPr>
          <w:b/>
          <w:bCs/>
          <w:sz w:val="28"/>
          <w:szCs w:val="28"/>
        </w:rPr>
      </w:pPr>
    </w:p>
    <w:p w14:paraId="675CBC42" w14:textId="77777777" w:rsidR="009C1D91" w:rsidRDefault="00000000">
      <w:pPr>
        <w:jc w:val="center"/>
        <w:rPr>
          <w:b/>
          <w:bCs/>
          <w:sz w:val="28"/>
          <w:szCs w:val="28"/>
        </w:rPr>
      </w:pPr>
      <w:r>
        <w:rPr>
          <w:b/>
          <w:bCs/>
          <w:sz w:val="28"/>
          <w:szCs w:val="28"/>
        </w:rPr>
        <w:t>Student ID:2523550</w:t>
      </w:r>
    </w:p>
    <w:p w14:paraId="6BAF2CCE" w14:textId="77777777" w:rsidR="009C1D91" w:rsidRDefault="009C1D91">
      <w:pPr>
        <w:rPr>
          <w:sz w:val="28"/>
          <w:szCs w:val="28"/>
        </w:rPr>
      </w:pPr>
    </w:p>
    <w:p w14:paraId="3A56CC34" w14:textId="014FA04A" w:rsidR="009C1D91" w:rsidRDefault="00000000">
      <w:pPr>
        <w:jc w:val="center"/>
        <w:rPr>
          <w:b/>
          <w:bCs/>
          <w:sz w:val="28"/>
          <w:szCs w:val="28"/>
        </w:rPr>
      </w:pPr>
      <w:r>
        <w:rPr>
          <w:b/>
          <w:bCs/>
          <w:sz w:val="28"/>
          <w:szCs w:val="28"/>
        </w:rPr>
        <w:t xml:space="preserve">Module Name: </w:t>
      </w:r>
      <w:r w:rsidR="00C651F1" w:rsidRPr="00C651F1">
        <w:rPr>
          <w:b/>
          <w:bCs/>
          <w:sz w:val="28"/>
          <w:szCs w:val="28"/>
        </w:rPr>
        <w:t>Human Capital Management</w:t>
      </w:r>
    </w:p>
    <w:p w14:paraId="2EE4B9FD" w14:textId="77777777" w:rsidR="009C1D91" w:rsidRDefault="009C1D91">
      <w:pPr>
        <w:jc w:val="center"/>
        <w:rPr>
          <w:b/>
          <w:bCs/>
          <w:sz w:val="28"/>
          <w:szCs w:val="28"/>
        </w:rPr>
      </w:pPr>
    </w:p>
    <w:p w14:paraId="17BFE33F" w14:textId="3AB7E11F" w:rsidR="009C1D91" w:rsidRDefault="00000000">
      <w:pPr>
        <w:jc w:val="center"/>
        <w:rPr>
          <w:b/>
          <w:bCs/>
          <w:sz w:val="28"/>
          <w:szCs w:val="28"/>
        </w:rPr>
      </w:pPr>
      <w:r>
        <w:rPr>
          <w:b/>
          <w:bCs/>
          <w:sz w:val="28"/>
          <w:szCs w:val="28"/>
        </w:rPr>
        <w:t>Module Code: LCMB702</w:t>
      </w:r>
      <w:r w:rsidR="00C651F1">
        <w:rPr>
          <w:b/>
          <w:bCs/>
          <w:sz w:val="28"/>
          <w:szCs w:val="28"/>
        </w:rPr>
        <w:t>3</w:t>
      </w:r>
    </w:p>
    <w:p w14:paraId="377DB48A" w14:textId="77777777" w:rsidR="009C1D91" w:rsidRDefault="009C1D91">
      <w:pPr>
        <w:jc w:val="center"/>
        <w:rPr>
          <w:b/>
          <w:bCs/>
          <w:sz w:val="28"/>
          <w:szCs w:val="28"/>
        </w:rPr>
      </w:pPr>
    </w:p>
    <w:p w14:paraId="6C83E500" w14:textId="77777777" w:rsidR="009C1D91" w:rsidRDefault="009C1D91">
      <w:pPr>
        <w:rPr>
          <w:b/>
          <w:bCs/>
          <w:sz w:val="28"/>
          <w:szCs w:val="28"/>
        </w:rPr>
      </w:pPr>
    </w:p>
    <w:p w14:paraId="1AF52D29" w14:textId="5F56F23B" w:rsidR="009C1D91" w:rsidRDefault="00000000">
      <w:pPr>
        <w:jc w:val="center"/>
        <w:rPr>
          <w:b/>
          <w:bCs/>
          <w:sz w:val="28"/>
          <w:szCs w:val="28"/>
        </w:rPr>
      </w:pPr>
      <w:r>
        <w:rPr>
          <w:b/>
          <w:bCs/>
          <w:sz w:val="28"/>
          <w:szCs w:val="28"/>
        </w:rPr>
        <w:t xml:space="preserve">Lecturer’s Name: </w:t>
      </w:r>
      <w:r w:rsidR="00C651F1" w:rsidRPr="00C651F1">
        <w:rPr>
          <w:b/>
          <w:bCs/>
          <w:sz w:val="28"/>
          <w:szCs w:val="28"/>
        </w:rPr>
        <w:t>Dr. Charles Oham</w:t>
      </w:r>
    </w:p>
    <w:p w14:paraId="4AD2309F" w14:textId="77777777" w:rsidR="009C1D91" w:rsidRDefault="009C1D91">
      <w:pPr>
        <w:rPr>
          <w:b/>
          <w:bCs/>
          <w:sz w:val="28"/>
          <w:szCs w:val="28"/>
        </w:rPr>
      </w:pPr>
    </w:p>
    <w:p w14:paraId="7CA01C79" w14:textId="77777777" w:rsidR="009C1D91" w:rsidRDefault="00000000">
      <w:pPr>
        <w:jc w:val="center"/>
        <w:rPr>
          <w:b/>
          <w:bCs/>
          <w:sz w:val="28"/>
          <w:szCs w:val="28"/>
        </w:rPr>
      </w:pPr>
      <w:r>
        <w:rPr>
          <w:b/>
          <w:bCs/>
          <w:sz w:val="28"/>
          <w:szCs w:val="28"/>
        </w:rPr>
        <w:t>Work Count:2706</w:t>
      </w:r>
    </w:p>
    <w:p w14:paraId="2571508F" w14:textId="77777777" w:rsidR="009C1D91" w:rsidRDefault="009C1D91">
      <w:pPr>
        <w:rPr>
          <w:b/>
          <w:bCs/>
          <w:sz w:val="28"/>
          <w:szCs w:val="28"/>
        </w:rPr>
      </w:pPr>
    </w:p>
    <w:p w14:paraId="072C4882" w14:textId="77777777" w:rsidR="009C1D91" w:rsidRDefault="009C1D91">
      <w:pPr>
        <w:jc w:val="center"/>
        <w:rPr>
          <w:b/>
          <w:bCs/>
          <w:sz w:val="28"/>
          <w:szCs w:val="28"/>
        </w:rPr>
      </w:pPr>
    </w:p>
    <w:p w14:paraId="48E64C70" w14:textId="77777777" w:rsidR="009C1D91" w:rsidRDefault="00000000">
      <w:pPr>
        <w:jc w:val="center"/>
        <w:rPr>
          <w:b/>
          <w:bCs/>
          <w:sz w:val="28"/>
          <w:szCs w:val="28"/>
        </w:rPr>
      </w:pPr>
      <w:r>
        <w:rPr>
          <w:b/>
          <w:bCs/>
          <w:sz w:val="28"/>
          <w:szCs w:val="28"/>
        </w:rPr>
        <w:t>Term 1</w:t>
      </w:r>
    </w:p>
    <w:p w14:paraId="460F3AC8" w14:textId="77777777" w:rsidR="009C1D91" w:rsidRDefault="009C1D91"/>
    <w:p w14:paraId="4EC70288" w14:textId="70CB511F" w:rsidR="00165BD8" w:rsidRDefault="00165BD8" w:rsidP="00165BD8">
      <w:pPr>
        <w:keepNext/>
        <w:keepLines/>
        <w:pBdr>
          <w:top w:val="nil"/>
          <w:left w:val="nil"/>
          <w:bottom w:val="single" w:sz="4" w:space="1" w:color="auto"/>
          <w:right w:val="nil"/>
          <w:between w:val="nil"/>
        </w:pBdr>
        <w:spacing w:before="480" w:after="0"/>
        <w:jc w:val="center"/>
        <w:rPr>
          <w:rFonts w:ascii="Calibri" w:eastAsia="Calibri" w:hAnsi="Calibri" w:cs="Calibri"/>
          <w:b/>
          <w:bCs/>
          <w:color w:val="366091"/>
          <w:sz w:val="36"/>
          <w:szCs w:val="36"/>
        </w:rPr>
      </w:pPr>
      <w:r w:rsidRPr="00165BD8">
        <w:rPr>
          <w:rFonts w:ascii="Calibri" w:eastAsia="Calibri" w:hAnsi="Calibri" w:cs="Calibri"/>
          <w:b/>
          <w:bCs/>
          <w:color w:val="366091"/>
          <w:sz w:val="36"/>
          <w:szCs w:val="36"/>
        </w:rPr>
        <w:lastRenderedPageBreak/>
        <w:t>Integrated Human Capital Blueprint</w:t>
      </w:r>
    </w:p>
    <w:p w14:paraId="514ED92E" w14:textId="5004448F" w:rsidR="009C1D91" w:rsidRDefault="00000000">
      <w:pPr>
        <w:keepNext/>
        <w:keepLines/>
        <w:pBdr>
          <w:top w:val="nil"/>
          <w:left w:val="nil"/>
          <w:bottom w:val="nil"/>
          <w:right w:val="nil"/>
          <w:between w:val="nil"/>
        </w:pBdr>
        <w:spacing w:before="480" w:after="0"/>
        <w:jc w:val="center"/>
        <w:rPr>
          <w:rFonts w:ascii="Calibri" w:eastAsia="Calibri" w:hAnsi="Calibri" w:cs="Calibri"/>
          <w:b/>
          <w:bCs/>
          <w:color w:val="366091"/>
          <w:sz w:val="36"/>
          <w:szCs w:val="36"/>
        </w:rPr>
      </w:pPr>
      <w:r>
        <w:rPr>
          <w:rFonts w:ascii="Calibri" w:eastAsia="Calibri" w:hAnsi="Calibri" w:cs="Calibri"/>
          <w:b/>
          <w:bCs/>
          <w:color w:val="366091"/>
          <w:sz w:val="36"/>
          <w:szCs w:val="36"/>
        </w:rPr>
        <w:t>Table of Contents</w:t>
      </w:r>
    </w:p>
    <w:p w14:paraId="58EEA156" w14:textId="77777777" w:rsidR="009C1D91" w:rsidRDefault="00000000">
      <w:r>
        <w:t>Part - A</w:t>
      </w:r>
    </w:p>
    <w:sdt>
      <w:sdtPr>
        <w:id w:val="-1153291742"/>
        <w:docPartObj>
          <w:docPartGallery w:val="Table of Contents"/>
          <w:docPartUnique/>
        </w:docPartObj>
      </w:sdtPr>
      <w:sdtContent>
        <w:p w14:paraId="55B04219" w14:textId="77777777" w:rsidR="009C1D91" w:rsidRDefault="00000000">
          <w:pPr>
            <w:pBdr>
              <w:top w:val="nil"/>
              <w:left w:val="nil"/>
              <w:bottom w:val="nil"/>
              <w:right w:val="nil"/>
              <w:between w:val="nil"/>
            </w:pBdr>
            <w:tabs>
              <w:tab w:val="right" w:leader="dot" w:pos="8630"/>
            </w:tabs>
            <w:spacing w:after="100"/>
            <w:rPr>
              <w:color w:val="000000"/>
              <w:sz w:val="24"/>
              <w:szCs w:val="24"/>
            </w:rPr>
          </w:pPr>
          <w:r>
            <w:fldChar w:fldCharType="begin"/>
          </w:r>
          <w:r>
            <w:instrText xml:space="preserve"> TOC \h \u \z \t "Heading 1,1,Heading 2,2,Heading 3,3,"</w:instrText>
          </w:r>
          <w:r>
            <w:fldChar w:fldCharType="separate"/>
          </w:r>
          <w:hyperlink w:anchor="_o3ejxqwnkcw">
            <w:r w:rsidR="009C1D91">
              <w:rPr>
                <w:color w:val="000000"/>
              </w:rPr>
              <w:t>1. Introduction</w:t>
            </w:r>
            <w:r w:rsidR="009C1D91">
              <w:rPr>
                <w:color w:val="000000"/>
              </w:rPr>
              <w:tab/>
              <w:t>3</w:t>
            </w:r>
          </w:hyperlink>
        </w:p>
        <w:p w14:paraId="65E49B76" w14:textId="77777777" w:rsidR="009C1D91" w:rsidRDefault="009C1D91">
          <w:pPr>
            <w:pBdr>
              <w:top w:val="nil"/>
              <w:left w:val="nil"/>
              <w:bottom w:val="nil"/>
              <w:right w:val="nil"/>
              <w:between w:val="nil"/>
            </w:pBdr>
            <w:tabs>
              <w:tab w:val="right" w:leader="dot" w:pos="8630"/>
            </w:tabs>
            <w:spacing w:after="100"/>
            <w:rPr>
              <w:color w:val="000000"/>
              <w:sz w:val="24"/>
              <w:szCs w:val="24"/>
            </w:rPr>
          </w:pPr>
          <w:hyperlink w:anchor="_b80wd1bocha1">
            <w:r>
              <w:rPr>
                <w:color w:val="000000"/>
              </w:rPr>
              <w:t>2. Current Cultural Practices in Tech Companies</w:t>
            </w:r>
            <w:r>
              <w:rPr>
                <w:color w:val="000000"/>
              </w:rPr>
              <w:tab/>
              <w:t>3</w:t>
            </w:r>
          </w:hyperlink>
        </w:p>
        <w:p w14:paraId="0E2CEAAB" w14:textId="77777777" w:rsidR="009C1D91" w:rsidRDefault="009C1D91">
          <w:pPr>
            <w:pBdr>
              <w:top w:val="nil"/>
              <w:left w:val="nil"/>
              <w:bottom w:val="nil"/>
              <w:right w:val="nil"/>
              <w:between w:val="nil"/>
            </w:pBdr>
            <w:tabs>
              <w:tab w:val="right" w:leader="dot" w:pos="8630"/>
            </w:tabs>
            <w:spacing w:after="100"/>
            <w:rPr>
              <w:color w:val="000000"/>
              <w:sz w:val="24"/>
              <w:szCs w:val="24"/>
            </w:rPr>
          </w:pPr>
          <w:hyperlink w:anchor="_wmy7t6ihmufm">
            <w:r>
              <w:rPr>
                <w:color w:val="000000"/>
              </w:rPr>
              <w:t>3. Proposed Cultural and Structural Initiatives</w:t>
            </w:r>
            <w:r>
              <w:rPr>
                <w:color w:val="000000"/>
              </w:rPr>
              <w:tab/>
              <w:t>4</w:t>
            </w:r>
          </w:hyperlink>
        </w:p>
        <w:p w14:paraId="6C334BB4" w14:textId="77777777" w:rsidR="009C1D91" w:rsidRDefault="009C1D91">
          <w:pPr>
            <w:pBdr>
              <w:top w:val="nil"/>
              <w:left w:val="nil"/>
              <w:bottom w:val="nil"/>
              <w:right w:val="nil"/>
              <w:between w:val="nil"/>
            </w:pBdr>
            <w:tabs>
              <w:tab w:val="right" w:leader="dot" w:pos="8630"/>
            </w:tabs>
            <w:spacing w:after="100"/>
            <w:ind w:left="220"/>
            <w:rPr>
              <w:color w:val="000000"/>
              <w:sz w:val="24"/>
              <w:szCs w:val="24"/>
            </w:rPr>
          </w:pPr>
          <w:hyperlink w:anchor="_71y3m3vznobk">
            <w:r>
              <w:rPr>
                <w:color w:val="000000"/>
              </w:rPr>
              <w:t>3.1 Leadership-Driven Psychological Safety</w:t>
            </w:r>
            <w:r>
              <w:rPr>
                <w:color w:val="000000"/>
              </w:rPr>
              <w:tab/>
              <w:t>4</w:t>
            </w:r>
          </w:hyperlink>
        </w:p>
        <w:p w14:paraId="06EC3154" w14:textId="77777777" w:rsidR="009C1D91" w:rsidRDefault="009C1D91">
          <w:pPr>
            <w:pBdr>
              <w:top w:val="nil"/>
              <w:left w:val="nil"/>
              <w:bottom w:val="nil"/>
              <w:right w:val="nil"/>
              <w:between w:val="nil"/>
            </w:pBdr>
            <w:tabs>
              <w:tab w:val="right" w:leader="dot" w:pos="8630"/>
            </w:tabs>
            <w:spacing w:after="100"/>
            <w:ind w:left="220"/>
            <w:rPr>
              <w:color w:val="000000"/>
              <w:sz w:val="24"/>
              <w:szCs w:val="24"/>
            </w:rPr>
          </w:pPr>
          <w:hyperlink w:anchor="_5yhrx7cb3y7b">
            <w:r>
              <w:rPr>
                <w:color w:val="000000"/>
              </w:rPr>
              <w:t>3.2 Intrapreneurship Programme</w:t>
            </w:r>
            <w:r>
              <w:rPr>
                <w:color w:val="000000"/>
              </w:rPr>
              <w:tab/>
              <w:t>4</w:t>
            </w:r>
          </w:hyperlink>
        </w:p>
        <w:p w14:paraId="2E2D1D96" w14:textId="77777777" w:rsidR="009C1D91" w:rsidRDefault="009C1D91">
          <w:pPr>
            <w:pBdr>
              <w:top w:val="nil"/>
              <w:left w:val="nil"/>
              <w:bottom w:val="nil"/>
              <w:right w:val="nil"/>
              <w:between w:val="nil"/>
            </w:pBdr>
            <w:tabs>
              <w:tab w:val="right" w:leader="dot" w:pos="8630"/>
            </w:tabs>
            <w:spacing w:after="100"/>
            <w:ind w:left="220"/>
            <w:rPr>
              <w:color w:val="000000"/>
              <w:sz w:val="24"/>
              <w:szCs w:val="24"/>
            </w:rPr>
          </w:pPr>
          <w:hyperlink w:anchor="_ln2tyto6yayx">
            <w:r>
              <w:rPr>
                <w:color w:val="000000"/>
              </w:rPr>
              <w:t>3.3 Innovation Sprints and Cross-Functional Teams</w:t>
            </w:r>
            <w:r>
              <w:rPr>
                <w:color w:val="000000"/>
              </w:rPr>
              <w:tab/>
              <w:t>5</w:t>
            </w:r>
          </w:hyperlink>
        </w:p>
        <w:p w14:paraId="13D4D491" w14:textId="77777777" w:rsidR="009C1D91" w:rsidRDefault="009C1D91">
          <w:pPr>
            <w:pBdr>
              <w:top w:val="nil"/>
              <w:left w:val="nil"/>
              <w:bottom w:val="nil"/>
              <w:right w:val="nil"/>
              <w:between w:val="nil"/>
            </w:pBdr>
            <w:tabs>
              <w:tab w:val="right" w:leader="dot" w:pos="8630"/>
            </w:tabs>
            <w:spacing w:after="100"/>
            <w:rPr>
              <w:color w:val="000000"/>
              <w:sz w:val="24"/>
              <w:szCs w:val="24"/>
            </w:rPr>
          </w:pPr>
          <w:hyperlink w:anchor="_bngkifmum905">
            <w:r>
              <w:rPr>
                <w:color w:val="000000"/>
              </w:rPr>
              <w:t>4. Future of Work Model: Structured Hybrid Working</w:t>
            </w:r>
            <w:r>
              <w:rPr>
                <w:color w:val="000000"/>
              </w:rPr>
              <w:tab/>
              <w:t>6</w:t>
            </w:r>
          </w:hyperlink>
        </w:p>
        <w:p w14:paraId="66EB86AE" w14:textId="77777777" w:rsidR="009C1D91" w:rsidRDefault="009C1D91">
          <w:pPr>
            <w:pBdr>
              <w:top w:val="nil"/>
              <w:left w:val="nil"/>
              <w:bottom w:val="nil"/>
              <w:right w:val="nil"/>
              <w:between w:val="nil"/>
            </w:pBdr>
            <w:tabs>
              <w:tab w:val="right" w:leader="dot" w:pos="8630"/>
            </w:tabs>
            <w:spacing w:after="100"/>
            <w:rPr>
              <w:color w:val="000000"/>
              <w:sz w:val="24"/>
              <w:szCs w:val="24"/>
            </w:rPr>
          </w:pPr>
          <w:hyperlink w:anchor="_gx10autrlalq">
            <w:r>
              <w:rPr>
                <w:color w:val="000000"/>
              </w:rPr>
              <w:t>5. Motivating Employees for Optimal Performance</w:t>
            </w:r>
            <w:r>
              <w:rPr>
                <w:color w:val="000000"/>
              </w:rPr>
              <w:tab/>
              <w:t>6</w:t>
            </w:r>
          </w:hyperlink>
        </w:p>
        <w:p w14:paraId="749AB067" w14:textId="77777777" w:rsidR="009C1D91" w:rsidRDefault="009C1D91">
          <w:pPr>
            <w:pBdr>
              <w:top w:val="nil"/>
              <w:left w:val="nil"/>
              <w:bottom w:val="nil"/>
              <w:right w:val="nil"/>
              <w:between w:val="nil"/>
            </w:pBdr>
            <w:tabs>
              <w:tab w:val="right" w:leader="dot" w:pos="8630"/>
            </w:tabs>
            <w:spacing w:after="100"/>
            <w:rPr>
              <w:color w:val="0000FF"/>
              <w:u w:val="single"/>
            </w:rPr>
          </w:pPr>
          <w:hyperlink w:anchor="_cz54oxjqudsn">
            <w:r>
              <w:rPr>
                <w:color w:val="000000"/>
              </w:rPr>
              <w:t>6. Conclusion</w:t>
            </w:r>
            <w:r>
              <w:rPr>
                <w:color w:val="000000"/>
              </w:rPr>
              <w:tab/>
              <w:t>7</w:t>
            </w:r>
          </w:hyperlink>
        </w:p>
        <w:p w14:paraId="6D6E4E89" w14:textId="77777777" w:rsidR="009C1D91" w:rsidRDefault="009C1D91"/>
        <w:p w14:paraId="3BC7C5FF" w14:textId="77777777" w:rsidR="009C1D91" w:rsidRDefault="00000000">
          <w:r>
            <w:t>Part - B</w:t>
          </w:r>
        </w:p>
        <w:p w14:paraId="7A039496" w14:textId="77777777" w:rsidR="009C1D91" w:rsidRDefault="009C1D91">
          <w:pPr>
            <w:pBdr>
              <w:top w:val="nil"/>
              <w:left w:val="nil"/>
              <w:bottom w:val="nil"/>
              <w:right w:val="nil"/>
              <w:between w:val="nil"/>
            </w:pBdr>
            <w:tabs>
              <w:tab w:val="right" w:leader="dot" w:pos="8630"/>
            </w:tabs>
            <w:spacing w:after="100"/>
            <w:rPr>
              <w:color w:val="000000"/>
              <w:sz w:val="24"/>
              <w:szCs w:val="24"/>
            </w:rPr>
          </w:pPr>
          <w:hyperlink w:anchor="_jzozihm6nq63">
            <w:r>
              <w:rPr>
                <w:color w:val="000000"/>
              </w:rPr>
              <w:t>Section A: Personal Learning Reflection Using Gibbs' Reflective Cycle</w:t>
            </w:r>
            <w:r>
              <w:rPr>
                <w:color w:val="000000"/>
              </w:rPr>
              <w:tab/>
              <w:t>8</w:t>
            </w:r>
          </w:hyperlink>
        </w:p>
        <w:p w14:paraId="76682D3C" w14:textId="77777777" w:rsidR="009C1D91" w:rsidRDefault="009C1D91">
          <w:pPr>
            <w:pBdr>
              <w:top w:val="nil"/>
              <w:left w:val="nil"/>
              <w:bottom w:val="nil"/>
              <w:right w:val="nil"/>
              <w:between w:val="nil"/>
            </w:pBdr>
            <w:tabs>
              <w:tab w:val="right" w:leader="dot" w:pos="8630"/>
            </w:tabs>
            <w:spacing w:after="100"/>
            <w:ind w:left="220"/>
            <w:rPr>
              <w:color w:val="000000"/>
              <w:sz w:val="24"/>
              <w:szCs w:val="24"/>
            </w:rPr>
          </w:pPr>
          <w:hyperlink w:anchor="_mt993trtok93">
            <w:r>
              <w:rPr>
                <w:color w:val="000000"/>
              </w:rPr>
              <w:t>Stage 1 – Description</w:t>
            </w:r>
            <w:r>
              <w:rPr>
                <w:color w:val="000000"/>
              </w:rPr>
              <w:tab/>
              <w:t>8</w:t>
            </w:r>
          </w:hyperlink>
        </w:p>
        <w:p w14:paraId="159C429F" w14:textId="77777777" w:rsidR="009C1D91" w:rsidRDefault="009C1D91">
          <w:pPr>
            <w:pBdr>
              <w:top w:val="nil"/>
              <w:left w:val="nil"/>
              <w:bottom w:val="nil"/>
              <w:right w:val="nil"/>
              <w:between w:val="nil"/>
            </w:pBdr>
            <w:tabs>
              <w:tab w:val="right" w:leader="dot" w:pos="8630"/>
            </w:tabs>
            <w:spacing w:after="100"/>
            <w:ind w:left="220"/>
            <w:rPr>
              <w:color w:val="000000"/>
              <w:sz w:val="24"/>
              <w:szCs w:val="24"/>
            </w:rPr>
          </w:pPr>
          <w:hyperlink w:anchor="_k7qh6syikwyk">
            <w:r>
              <w:rPr>
                <w:color w:val="000000"/>
              </w:rPr>
              <w:t>Stage 2 – Feelings</w:t>
            </w:r>
            <w:r>
              <w:rPr>
                <w:color w:val="000000"/>
              </w:rPr>
              <w:tab/>
              <w:t>8</w:t>
            </w:r>
          </w:hyperlink>
        </w:p>
        <w:p w14:paraId="26B48FED" w14:textId="77777777" w:rsidR="009C1D91" w:rsidRDefault="009C1D91">
          <w:pPr>
            <w:pBdr>
              <w:top w:val="nil"/>
              <w:left w:val="nil"/>
              <w:bottom w:val="nil"/>
              <w:right w:val="nil"/>
              <w:between w:val="nil"/>
            </w:pBdr>
            <w:tabs>
              <w:tab w:val="right" w:leader="dot" w:pos="8630"/>
            </w:tabs>
            <w:spacing w:after="100"/>
            <w:ind w:left="220"/>
            <w:rPr>
              <w:color w:val="000000"/>
              <w:sz w:val="24"/>
              <w:szCs w:val="24"/>
            </w:rPr>
          </w:pPr>
          <w:hyperlink w:anchor="_5skyg6i8xyut">
            <w:r>
              <w:rPr>
                <w:color w:val="000000"/>
              </w:rPr>
              <w:t>Stage 3 – Evaluation</w:t>
            </w:r>
            <w:r>
              <w:rPr>
                <w:color w:val="000000"/>
              </w:rPr>
              <w:tab/>
              <w:t>8</w:t>
            </w:r>
          </w:hyperlink>
        </w:p>
        <w:p w14:paraId="7802397B" w14:textId="77777777" w:rsidR="009C1D91" w:rsidRDefault="009C1D91">
          <w:pPr>
            <w:pBdr>
              <w:top w:val="nil"/>
              <w:left w:val="nil"/>
              <w:bottom w:val="nil"/>
              <w:right w:val="nil"/>
              <w:between w:val="nil"/>
            </w:pBdr>
            <w:tabs>
              <w:tab w:val="right" w:leader="dot" w:pos="8630"/>
            </w:tabs>
            <w:spacing w:after="100"/>
            <w:ind w:left="220"/>
            <w:rPr>
              <w:color w:val="000000"/>
              <w:sz w:val="24"/>
              <w:szCs w:val="24"/>
            </w:rPr>
          </w:pPr>
          <w:hyperlink w:anchor="_9pa1idwzduxm">
            <w:r>
              <w:rPr>
                <w:color w:val="000000"/>
              </w:rPr>
              <w:t>Stage 4 – Analysis</w:t>
            </w:r>
            <w:r>
              <w:rPr>
                <w:color w:val="000000"/>
              </w:rPr>
              <w:tab/>
              <w:t>9</w:t>
            </w:r>
          </w:hyperlink>
        </w:p>
        <w:p w14:paraId="08642158" w14:textId="77777777" w:rsidR="009C1D91" w:rsidRDefault="009C1D91">
          <w:pPr>
            <w:pBdr>
              <w:top w:val="nil"/>
              <w:left w:val="nil"/>
              <w:bottom w:val="nil"/>
              <w:right w:val="nil"/>
              <w:between w:val="nil"/>
            </w:pBdr>
            <w:tabs>
              <w:tab w:val="right" w:leader="dot" w:pos="8630"/>
            </w:tabs>
            <w:spacing w:after="100"/>
            <w:ind w:left="220"/>
            <w:rPr>
              <w:color w:val="000000"/>
              <w:sz w:val="24"/>
              <w:szCs w:val="24"/>
            </w:rPr>
          </w:pPr>
          <w:hyperlink w:anchor="_jp8mzmhgy8ny">
            <w:r>
              <w:rPr>
                <w:color w:val="000000"/>
              </w:rPr>
              <w:t>Stage 5 – Conclusion</w:t>
            </w:r>
            <w:r>
              <w:rPr>
                <w:color w:val="000000"/>
              </w:rPr>
              <w:tab/>
              <w:t>9</w:t>
            </w:r>
          </w:hyperlink>
        </w:p>
        <w:p w14:paraId="045FD19D" w14:textId="77777777" w:rsidR="009C1D91" w:rsidRDefault="009C1D91">
          <w:pPr>
            <w:pBdr>
              <w:top w:val="nil"/>
              <w:left w:val="nil"/>
              <w:bottom w:val="nil"/>
              <w:right w:val="nil"/>
              <w:between w:val="nil"/>
            </w:pBdr>
            <w:tabs>
              <w:tab w:val="right" w:leader="dot" w:pos="8630"/>
            </w:tabs>
            <w:spacing w:after="100"/>
            <w:ind w:left="220"/>
            <w:rPr>
              <w:color w:val="000000"/>
              <w:sz w:val="24"/>
              <w:szCs w:val="24"/>
            </w:rPr>
          </w:pPr>
          <w:hyperlink w:anchor="_z2nkf43f0qpo">
            <w:r>
              <w:rPr>
                <w:color w:val="000000"/>
              </w:rPr>
              <w:t>Stage 6 – Action Plan</w:t>
            </w:r>
            <w:r>
              <w:rPr>
                <w:color w:val="000000"/>
              </w:rPr>
              <w:tab/>
              <w:t>10</w:t>
            </w:r>
          </w:hyperlink>
        </w:p>
        <w:p w14:paraId="6AF920B1" w14:textId="77777777" w:rsidR="009C1D91" w:rsidRDefault="009C1D91">
          <w:pPr>
            <w:pBdr>
              <w:top w:val="nil"/>
              <w:left w:val="nil"/>
              <w:bottom w:val="nil"/>
              <w:right w:val="nil"/>
              <w:between w:val="nil"/>
            </w:pBdr>
            <w:tabs>
              <w:tab w:val="right" w:leader="dot" w:pos="8630"/>
            </w:tabs>
            <w:spacing w:after="100"/>
            <w:rPr>
              <w:color w:val="000000"/>
              <w:sz w:val="24"/>
              <w:szCs w:val="24"/>
            </w:rPr>
          </w:pPr>
          <w:hyperlink w:anchor="_crdiihed12ec">
            <w:r>
              <w:rPr>
                <w:color w:val="000000"/>
              </w:rPr>
              <w:t>Section B: Staying Relevant in an AI-Driven Workplace</w:t>
            </w:r>
            <w:r>
              <w:rPr>
                <w:color w:val="000000"/>
              </w:rPr>
              <w:tab/>
              <w:t>10</w:t>
            </w:r>
          </w:hyperlink>
        </w:p>
        <w:p w14:paraId="72680A07" w14:textId="77777777" w:rsidR="009C1D91" w:rsidRDefault="009C1D91">
          <w:pPr>
            <w:pBdr>
              <w:top w:val="nil"/>
              <w:left w:val="nil"/>
              <w:bottom w:val="nil"/>
              <w:right w:val="nil"/>
              <w:between w:val="nil"/>
            </w:pBdr>
            <w:tabs>
              <w:tab w:val="right" w:leader="dot" w:pos="8630"/>
            </w:tabs>
            <w:spacing w:after="100"/>
            <w:rPr>
              <w:color w:val="000000"/>
              <w:sz w:val="24"/>
              <w:szCs w:val="24"/>
            </w:rPr>
          </w:pPr>
          <w:hyperlink w:anchor="_tq78o81l9dnr">
            <w:r>
              <w:rPr>
                <w:color w:val="000000"/>
              </w:rPr>
              <w:t>References</w:t>
            </w:r>
            <w:r>
              <w:rPr>
                <w:color w:val="000000"/>
              </w:rPr>
              <w:tab/>
              <w:t>12</w:t>
            </w:r>
          </w:hyperlink>
        </w:p>
        <w:p w14:paraId="1C55A5C2" w14:textId="77777777" w:rsidR="009C1D91" w:rsidRDefault="00000000">
          <w:r>
            <w:fldChar w:fldCharType="end"/>
          </w:r>
        </w:p>
      </w:sdtContent>
    </w:sdt>
    <w:p w14:paraId="1CC4B6A8" w14:textId="77777777" w:rsidR="009C1D91" w:rsidRDefault="00000000">
      <w:r>
        <w:br w:type="page"/>
      </w:r>
    </w:p>
    <w:p w14:paraId="41A000D4" w14:textId="77777777" w:rsidR="009C1D91" w:rsidRDefault="00000000">
      <w:pPr>
        <w:spacing w:after="0" w:line="360" w:lineRule="auto"/>
        <w:jc w:val="center"/>
      </w:pPr>
      <w:r>
        <w:rPr>
          <w:rFonts w:ascii="Arial" w:eastAsia="Arial" w:hAnsi="Arial" w:cs="Arial"/>
          <w:b/>
          <w:bCs/>
          <w:sz w:val="26"/>
          <w:szCs w:val="26"/>
        </w:rPr>
        <w:lastRenderedPageBreak/>
        <w:t>PART 1: BUILDING A CULTURE OF INNOVATION AND FUTURE WORK PRACTICES</w:t>
      </w:r>
    </w:p>
    <w:p w14:paraId="324CAEE4" w14:textId="77777777" w:rsidR="009C1D91" w:rsidRDefault="00000000">
      <w:pPr>
        <w:pStyle w:val="Heading1"/>
      </w:pPr>
      <w:bookmarkStart w:id="0" w:name="_o3ejxqwnkcw" w:colFirst="0" w:colLast="0"/>
      <w:bookmarkEnd w:id="0"/>
      <w:r>
        <w:t>1. Introduction</w:t>
      </w:r>
    </w:p>
    <w:p w14:paraId="42DE2D8E" w14:textId="77777777" w:rsidR="009C1D91" w:rsidRDefault="00000000">
      <w:pPr>
        <w:spacing w:after="0" w:line="360" w:lineRule="auto"/>
        <w:jc w:val="both"/>
      </w:pPr>
      <w:r>
        <w:rPr>
          <w:rFonts w:ascii="Arial" w:eastAsia="Arial" w:hAnsi="Arial" w:cs="Arial"/>
          <w:sz w:val="24"/>
          <w:szCs w:val="24"/>
        </w:rPr>
        <w:t>Aether Innovations, which employs 300 people as a technology company, shows flat revenue growth and high employee turnover with decreasing customer satisfaction, which proves that the business operates under fundamental cultural problems. The organisation needs to develop an environment that enables people to work together while expressing their creative ideas and maintaining their personal independence. The report presents a Human Capital Consultant's research-based human resources framework to create an innovative workplace culture which supports employee engagement and workplace performance through a Future of Work design. The strategy uses Schein's Cultural Model and Self-Determination Theory and Edmondson's Psychological Safety framework and Herzberg's Two-Factor Theory.</w:t>
      </w:r>
    </w:p>
    <w:p w14:paraId="60867A6C" w14:textId="77777777" w:rsidR="009C1D91" w:rsidRDefault="00000000">
      <w:pPr>
        <w:pStyle w:val="Heading1"/>
      </w:pPr>
      <w:bookmarkStart w:id="1" w:name="_b80wd1bocha1" w:colFirst="0" w:colLast="0"/>
      <w:bookmarkEnd w:id="1"/>
      <w:r>
        <w:t>2. Current Cultural Practices in Tech Companies</w:t>
      </w:r>
    </w:p>
    <w:p w14:paraId="22137946" w14:textId="77777777" w:rsidR="009C1D91" w:rsidRDefault="00000000">
      <w:pPr>
        <w:spacing w:after="0" w:line="360" w:lineRule="auto"/>
        <w:jc w:val="both"/>
      </w:pPr>
      <w:r>
        <w:rPr>
          <w:rFonts w:ascii="Arial" w:eastAsia="Arial" w:hAnsi="Arial" w:cs="Arial"/>
          <w:sz w:val="24"/>
          <w:szCs w:val="24"/>
        </w:rPr>
        <w:t>The modern studies indicate that most of the technology companies have the outwardly innovative brand image but they are run in a hierarchical structure and compliance-based performance culture, which actively discourages the innovation at the ground level (Hogan and Coote, 2014). This also prevents such employees working in such environments to experiment and voice unconventional ideas because failure is punished instead of being an opportunity to learn. However, according to Nikolova (2023), the visible lack of innovation mandates set in the top management (when innovation is not vetted by senior management) is a critical obstacle to innovation within tech organisations because when senior management does not actively exemplify risk tolerance and inquisitiveness, staff fall back on their conservative, task-driven behaviours.</w:t>
      </w:r>
    </w:p>
    <w:p w14:paraId="60202574" w14:textId="77777777" w:rsidR="009C1D91" w:rsidRDefault="009C1D91">
      <w:pPr>
        <w:spacing w:after="0" w:line="360" w:lineRule="auto"/>
      </w:pPr>
    </w:p>
    <w:p w14:paraId="4C49C7BB" w14:textId="77777777" w:rsidR="009C1D91" w:rsidRDefault="00000000">
      <w:pPr>
        <w:spacing w:after="0" w:line="360" w:lineRule="auto"/>
        <w:jc w:val="both"/>
        <w:rPr>
          <w:rFonts w:ascii="Arial" w:eastAsia="Arial" w:hAnsi="Arial" w:cs="Arial"/>
          <w:sz w:val="24"/>
          <w:szCs w:val="24"/>
        </w:rPr>
      </w:pPr>
      <w:r>
        <w:rPr>
          <w:rFonts w:ascii="Arial" w:eastAsia="Arial" w:hAnsi="Arial" w:cs="Arial"/>
          <w:sz w:val="24"/>
          <w:szCs w:val="24"/>
        </w:rPr>
        <w:lastRenderedPageBreak/>
        <w:t>The cultural problem of Aether Innovations could be diagnosed by using the Three-Layered Cultural Model by Schein (2010). The model differentiates between visible artefacts (office design, communication technology), espoused values (proclaimed mission, human resource policies), and fundamental underlying assumptions (strongly held- often unspoken beliefs about how work shall be conducted). In the case of an organisation that has high turnover and a flat growth, then it is probable that even with basic assumptions of Aether they are rewarding individual output and risk avoidance rather than collaborative innovation. Without addressing these underlying assumptions no program of surface level cultural intervention e.g. rebranding or team building can ever work (Schein, 2010). Moreover, the rapid turnover is a symptom of cultural incompatibility and dissatisfaction with psychological needs frequently identified as symptomatic and not necessarily a remuneration problem (Deci and Ryan, 2000).</w:t>
      </w:r>
      <w:r>
        <w:rPr>
          <w:noProof/>
        </w:rPr>
        <w:drawing>
          <wp:anchor distT="0" distB="0" distL="0" distR="0" simplePos="0" relativeHeight="251658240" behindDoc="1" locked="0" layoutInCell="1" hidden="0" allowOverlap="1" wp14:anchorId="5C067F53" wp14:editId="004F8BCB">
            <wp:simplePos x="0" y="0"/>
            <wp:positionH relativeFrom="column">
              <wp:posOffset>962025</wp:posOffset>
            </wp:positionH>
            <wp:positionV relativeFrom="paragraph">
              <wp:posOffset>3476625</wp:posOffset>
            </wp:positionV>
            <wp:extent cx="2969260" cy="2447290"/>
            <wp:effectExtent l="0" t="0" r="0" b="0"/>
            <wp:wrapNone/>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2969260" cy="2447290"/>
                    </a:xfrm>
                    <a:prstGeom prst="rect">
                      <a:avLst/>
                    </a:prstGeom>
                    <a:ln/>
                  </pic:spPr>
                </pic:pic>
              </a:graphicData>
            </a:graphic>
          </wp:anchor>
        </w:drawing>
      </w:r>
    </w:p>
    <w:p w14:paraId="45801CB0" w14:textId="77777777" w:rsidR="009C1D91" w:rsidRDefault="009C1D91">
      <w:pPr>
        <w:spacing w:after="0" w:line="360" w:lineRule="auto"/>
        <w:jc w:val="both"/>
      </w:pPr>
    </w:p>
    <w:p w14:paraId="5ED957EA" w14:textId="77777777" w:rsidR="009C1D91" w:rsidRDefault="009C1D91">
      <w:pPr>
        <w:spacing w:after="0" w:line="360" w:lineRule="auto"/>
        <w:jc w:val="both"/>
      </w:pPr>
    </w:p>
    <w:p w14:paraId="530E8CE4" w14:textId="77777777" w:rsidR="009C1D91" w:rsidRDefault="009C1D91">
      <w:pPr>
        <w:spacing w:after="0" w:line="360" w:lineRule="auto"/>
        <w:jc w:val="both"/>
      </w:pPr>
    </w:p>
    <w:p w14:paraId="703FDB58" w14:textId="77777777" w:rsidR="009C1D91" w:rsidRDefault="009C1D91">
      <w:pPr>
        <w:spacing w:after="0" w:line="360" w:lineRule="auto"/>
        <w:jc w:val="both"/>
      </w:pPr>
    </w:p>
    <w:p w14:paraId="5CCEBAF9" w14:textId="77777777" w:rsidR="009C1D91" w:rsidRDefault="009C1D91">
      <w:pPr>
        <w:spacing w:after="0" w:line="360" w:lineRule="auto"/>
        <w:jc w:val="both"/>
      </w:pPr>
    </w:p>
    <w:p w14:paraId="01E7D3FA" w14:textId="77777777" w:rsidR="009C1D91" w:rsidRDefault="009C1D91">
      <w:pPr>
        <w:spacing w:after="0" w:line="360" w:lineRule="auto"/>
        <w:jc w:val="both"/>
      </w:pPr>
    </w:p>
    <w:p w14:paraId="35BBD86A" w14:textId="77777777" w:rsidR="009C1D91" w:rsidRDefault="009C1D91">
      <w:pPr>
        <w:spacing w:after="0" w:line="360" w:lineRule="auto"/>
        <w:jc w:val="both"/>
      </w:pPr>
    </w:p>
    <w:p w14:paraId="026A3600" w14:textId="77777777" w:rsidR="009C1D91" w:rsidRDefault="009C1D91">
      <w:pPr>
        <w:spacing w:after="0" w:line="360" w:lineRule="auto"/>
        <w:jc w:val="both"/>
      </w:pPr>
    </w:p>
    <w:p w14:paraId="3FA66029" w14:textId="77777777" w:rsidR="009C1D91" w:rsidRDefault="009C1D91">
      <w:pPr>
        <w:spacing w:after="0" w:line="360" w:lineRule="auto"/>
        <w:jc w:val="both"/>
      </w:pPr>
    </w:p>
    <w:p w14:paraId="6CC3EDA5" w14:textId="77777777" w:rsidR="009C1D91" w:rsidRDefault="009C1D91">
      <w:pPr>
        <w:spacing w:after="0" w:line="360" w:lineRule="auto"/>
        <w:jc w:val="both"/>
      </w:pPr>
    </w:p>
    <w:p w14:paraId="3380C13D" w14:textId="77777777" w:rsidR="009C1D91" w:rsidRDefault="00000000">
      <w:pPr>
        <w:spacing w:after="0" w:line="360" w:lineRule="auto"/>
        <w:jc w:val="both"/>
      </w:pPr>
      <w:r>
        <w:rPr>
          <w:noProof/>
        </w:rPr>
        <mc:AlternateContent>
          <mc:Choice Requires="wpg">
            <w:drawing>
              <wp:anchor distT="0" distB="0" distL="0" distR="0" simplePos="0" relativeHeight="251659264" behindDoc="1" locked="0" layoutInCell="1" hidden="0" allowOverlap="1" wp14:anchorId="06B288CC" wp14:editId="0A36A75F">
                <wp:simplePos x="0" y="0"/>
                <wp:positionH relativeFrom="column">
                  <wp:posOffset>-266699</wp:posOffset>
                </wp:positionH>
                <wp:positionV relativeFrom="paragraph">
                  <wp:posOffset>188519</wp:posOffset>
                </wp:positionV>
                <wp:extent cx="6124575" cy="190500"/>
                <wp:effectExtent l="0" t="0" r="0" b="0"/>
                <wp:wrapNone/>
                <wp:docPr id="2" name="Rectangle 2"/>
                <wp:cNvGraphicFramePr/>
                <a:graphic xmlns:a="http://schemas.openxmlformats.org/drawingml/2006/main">
                  <a:graphicData uri="http://schemas.microsoft.com/office/word/2010/wordprocessingShape">
                    <wps:wsp>
                      <wps:cNvSpPr/>
                      <wps:spPr>
                        <a:xfrm>
                          <a:off x="2282760" y="3779683"/>
                          <a:ext cx="6126480" cy="635"/>
                        </a:xfrm>
                        <a:prstGeom prst="rect">
                          <a:avLst/>
                        </a:prstGeom>
                        <a:solidFill>
                          <a:srgbClr val="FFFFFF"/>
                        </a:solidFill>
                        <a:ln>
                          <a:noFill/>
                        </a:ln>
                      </wps:spPr>
                      <wps:txbx>
                        <w:txbxContent>
                          <w:p w14:paraId="641DD61C" w14:textId="77777777" w:rsidR="009C1D91" w:rsidRDefault="00000000">
                            <w:pPr>
                              <w:spacing w:after="0" w:line="240" w:lineRule="auto"/>
                              <w:jc w:val="center"/>
                              <w:textDirection w:val="btLr"/>
                            </w:pPr>
                            <w:r>
                              <w:rPr>
                                <w:rFonts w:ascii="Arial" w:eastAsia="Arial" w:hAnsi="Arial" w:cs="Arial"/>
                                <w:b/>
                                <w:color w:val="4F81BD"/>
                                <w:sz w:val="18"/>
                              </w:rPr>
                              <w:t xml:space="preserve">Figure 1: Schein’s Three Levels of Organisational Culture </w:t>
                            </w:r>
                            <w:r>
                              <w:rPr>
                                <w:rFonts w:ascii="Arial" w:eastAsia="Arial" w:hAnsi="Arial" w:cs="Arial"/>
                                <w:b/>
                                <w:i/>
                                <w:color w:val="4F81BD"/>
                                <w:sz w:val="18"/>
                              </w:rPr>
                              <w:t>(Adapted from Schein, 2010)</w:t>
                            </w:r>
                          </w:p>
                        </w:txbxContent>
                      </wps:txbx>
                      <wps:bodyPr spcFirstLastPara="1" wrap="square" lIns="0" tIns="0" rIns="0" bIns="0" anchor="t"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w:drawing>
              <wp:anchor allowOverlap="1" behindDoc="1" distB="0" distT="0" distL="0" distR="0" hidden="0" layoutInCell="1" locked="0" relativeHeight="0" simplePos="0">
                <wp:simplePos x="0" y="0"/>
                <wp:positionH relativeFrom="column">
                  <wp:posOffset>-266699</wp:posOffset>
                </wp:positionH>
                <wp:positionV relativeFrom="paragraph">
                  <wp:posOffset>188519</wp:posOffset>
                </wp:positionV>
                <wp:extent cx="6124575" cy="190500"/>
                <wp:effectExtent b="0" l="0" r="0" t="0"/>
                <wp:wrapNone/>
                <wp:docPr id="2" name="image5.png"/>
                <a:graphic>
                  <a:graphicData uri="http://schemas.openxmlformats.org/drawingml/2006/picture">
                    <pic:pic>
                      <pic:nvPicPr>
                        <pic:cNvPr id="0" name="image5.png"/>
                        <pic:cNvPicPr preferRelativeResize="0"/>
                      </pic:nvPicPr>
                      <pic:blipFill>
                        <a:blip r:embed="rId8"/>
                        <a:srcRect/>
                        <a:stretch>
                          <a:fillRect/>
                        </a:stretch>
                      </pic:blipFill>
                      <pic:spPr>
                        <a:xfrm>
                          <a:off x="0" y="0"/>
                          <a:ext cx="6124575" cy="190500"/>
                        </a:xfrm>
                        <a:prstGeom prst="rect"/>
                        <a:ln/>
                      </pic:spPr>
                    </pic:pic>
                  </a:graphicData>
                </a:graphic>
              </wp:anchor>
            </w:drawing>
          </mc:Fallback>
        </mc:AlternateContent>
      </w:r>
    </w:p>
    <w:p w14:paraId="6D820305" w14:textId="77777777" w:rsidR="009C1D91" w:rsidRDefault="009C1D91">
      <w:pPr>
        <w:spacing w:after="0" w:line="360" w:lineRule="auto"/>
        <w:jc w:val="both"/>
      </w:pPr>
    </w:p>
    <w:p w14:paraId="2FBACA0F" w14:textId="77777777" w:rsidR="009C1D91" w:rsidRDefault="00000000">
      <w:pPr>
        <w:pStyle w:val="Heading1"/>
      </w:pPr>
      <w:bookmarkStart w:id="2" w:name="_wmy7t6ihmufm" w:colFirst="0" w:colLast="0"/>
      <w:bookmarkEnd w:id="2"/>
      <w:r>
        <w:t>3. Proposed Cultural and Structural Initiatives</w:t>
      </w:r>
    </w:p>
    <w:p w14:paraId="2BE66303" w14:textId="77777777" w:rsidR="009C1D91" w:rsidRDefault="00000000">
      <w:pPr>
        <w:pStyle w:val="Heading2"/>
      </w:pPr>
      <w:bookmarkStart w:id="3" w:name="_71y3m3vznobk" w:colFirst="0" w:colLast="0"/>
      <w:bookmarkEnd w:id="3"/>
      <w:r>
        <w:t>3.1 Leadership-Driven Psychological Safety</w:t>
      </w:r>
    </w:p>
    <w:p w14:paraId="40714175" w14:textId="77777777" w:rsidR="009C1D91" w:rsidRDefault="00000000">
      <w:pPr>
        <w:spacing w:after="0" w:line="360" w:lineRule="auto"/>
        <w:jc w:val="both"/>
      </w:pPr>
      <w:r>
        <w:rPr>
          <w:rFonts w:ascii="Arial" w:eastAsia="Arial" w:hAnsi="Arial" w:cs="Arial"/>
          <w:sz w:val="24"/>
          <w:szCs w:val="24"/>
        </w:rPr>
        <w:t xml:space="preserve">The most fundamental undertaking that Aether should take is the creation of psychological safety- the expressed organisational view that one may speak up, risk, and acknowledge his mistakes without any likelihood of being penalised </w:t>
      </w:r>
      <w:r>
        <w:rPr>
          <w:rFonts w:ascii="Arial" w:eastAsia="Arial" w:hAnsi="Arial" w:cs="Arial"/>
          <w:sz w:val="24"/>
          <w:szCs w:val="24"/>
        </w:rPr>
        <w:lastRenderedPageBreak/>
        <w:t>(Edmondson, 1999). The investigation of several industries conducted by Edmondson has proven that the teams where the psychological comfort is high develop much more innovative solutions, interact openly in sharing knowledge, and rebound faster. HR would plan and introduce leadership development training sessions that would help the senior and middle management of Aether to be open to receiving opposing views, publicly admitting their errors and rewarding experimentation irrespective of results. The performance management systems should also be restructured in a way that they incorporate innovation effort measure, instead of output oriented KPIs, such that in the test and learn endeavor trying is a better reward than success.</w:t>
      </w:r>
    </w:p>
    <w:p w14:paraId="53E8F766" w14:textId="77777777" w:rsidR="009C1D91" w:rsidRDefault="009C1D91">
      <w:pPr>
        <w:spacing w:after="0" w:line="360" w:lineRule="auto"/>
      </w:pPr>
    </w:p>
    <w:p w14:paraId="2B67F25A" w14:textId="77777777" w:rsidR="009C1D91" w:rsidRDefault="00000000">
      <w:pPr>
        <w:pStyle w:val="Heading2"/>
      </w:pPr>
      <w:bookmarkStart w:id="4" w:name="_5yhrx7cb3y7b" w:colFirst="0" w:colLast="0"/>
      <w:bookmarkEnd w:id="4"/>
      <w:r>
        <w:t>3.2 Intrapreneurship Programme</w:t>
      </w:r>
    </w:p>
    <w:p w14:paraId="4DC9288F" w14:textId="77777777" w:rsidR="009C1D91" w:rsidRDefault="00000000">
      <w:pPr>
        <w:spacing w:after="0" w:line="360" w:lineRule="auto"/>
        <w:jc w:val="both"/>
      </w:pPr>
      <w:r>
        <w:rPr>
          <w:rFonts w:ascii="Arial" w:eastAsia="Arial" w:hAnsi="Arial" w:cs="Arial"/>
          <w:sz w:val="24"/>
          <w:szCs w:val="24"/>
        </w:rPr>
        <w:t>To enhance the innovation programme, Aether should implement a formalised intrapreneurship programme which will dedicate employees a period of time: say two days a month - to develop and pitch the innovation projects without the need to consider the core role responsibilities. This type of model, initially known by the name of Google of 20% time (ads that creates Gmail and Google Maps), and 3M of innovation framework (that is behind Post-it Notes) allows organisations to tap into the entrepreneurial promise of their current workforce instead of only relying on top-down product mandates (Itonics, 2025). Such intrapreneurship activities should be clearly reflected in the process of recruiting: the innovation time should be mentioned in the job descriptions, observed in the work plan, and evaluated during the annual reviews.</w:t>
      </w:r>
    </w:p>
    <w:p w14:paraId="3925C2D4" w14:textId="77777777" w:rsidR="009C1D91" w:rsidRDefault="009C1D91">
      <w:pPr>
        <w:spacing w:after="0" w:line="360" w:lineRule="auto"/>
      </w:pPr>
    </w:p>
    <w:p w14:paraId="78B0006D" w14:textId="77777777" w:rsidR="009C1D91" w:rsidRDefault="00000000">
      <w:pPr>
        <w:spacing w:after="0" w:line="360" w:lineRule="auto"/>
        <w:jc w:val="both"/>
        <w:rPr>
          <w:rFonts w:ascii="Arial" w:eastAsia="Arial" w:hAnsi="Arial" w:cs="Arial"/>
          <w:sz w:val="24"/>
          <w:szCs w:val="24"/>
        </w:rPr>
      </w:pPr>
      <w:r>
        <w:rPr>
          <w:rFonts w:ascii="Arial" w:eastAsia="Arial" w:hAnsi="Arial" w:cs="Arial"/>
          <w:sz w:val="24"/>
          <w:szCs w:val="24"/>
        </w:rPr>
        <w:t xml:space="preserve">This move is justified by the Self-Determination Theory (SDT) of Deci and Ryan (2000) that proposes that long-term intrinsic motivation implies that three basic psychological needs are satisfied: autonomy (the ability to work on one own), competence (the feeling of mastery and development of skills), and relatedness (the great importance of the relationships with colleagues and organisational goals and objectives). The intrapreneurship programme is a direct response to all three: the employees select their innovation projects (autonomy), they acquire new </w:t>
      </w:r>
      <w:r>
        <w:rPr>
          <w:rFonts w:ascii="Arial" w:eastAsia="Arial" w:hAnsi="Arial" w:cs="Arial"/>
          <w:sz w:val="24"/>
          <w:szCs w:val="24"/>
        </w:rPr>
        <w:lastRenderedPageBreak/>
        <w:t>competencies in the process (competence), and they are working on cross-functional team projects (relatedness). Since the fact that Aether has a very high turnover indicates that such needs are not being met in the long term, SDT presents a strong argument that intrapreneurship would actually decrease the attrition rate and catalyze the creativity that the company direly needs.</w:t>
      </w:r>
    </w:p>
    <w:p w14:paraId="130D4565" w14:textId="77777777" w:rsidR="009C1D91" w:rsidRDefault="009C1D91">
      <w:pPr>
        <w:spacing w:after="0" w:line="360" w:lineRule="auto"/>
        <w:jc w:val="both"/>
      </w:pPr>
    </w:p>
    <w:p w14:paraId="7F2BE777" w14:textId="77777777" w:rsidR="009C1D91" w:rsidRDefault="009C1D91">
      <w:pPr>
        <w:spacing w:after="0" w:line="360" w:lineRule="auto"/>
        <w:jc w:val="both"/>
      </w:pPr>
    </w:p>
    <w:p w14:paraId="525BADC6" w14:textId="77777777" w:rsidR="009C1D91" w:rsidRDefault="009C1D91">
      <w:pPr>
        <w:spacing w:after="0" w:line="360" w:lineRule="auto"/>
        <w:jc w:val="both"/>
      </w:pPr>
    </w:p>
    <w:p w14:paraId="2226745A" w14:textId="77777777" w:rsidR="009C1D91" w:rsidRDefault="009C1D91">
      <w:pPr>
        <w:spacing w:after="0" w:line="360" w:lineRule="auto"/>
        <w:jc w:val="both"/>
      </w:pPr>
    </w:p>
    <w:p w14:paraId="384A57FE" w14:textId="77777777" w:rsidR="009C1D91" w:rsidRDefault="009C1D91">
      <w:pPr>
        <w:spacing w:after="0" w:line="360" w:lineRule="auto"/>
        <w:jc w:val="both"/>
      </w:pPr>
    </w:p>
    <w:p w14:paraId="171E8710" w14:textId="77777777" w:rsidR="009C1D91" w:rsidRDefault="00000000">
      <w:pPr>
        <w:spacing w:after="0" w:line="360" w:lineRule="auto"/>
        <w:jc w:val="both"/>
      </w:pPr>
      <w:r>
        <w:rPr>
          <w:noProof/>
        </w:rPr>
        <w:drawing>
          <wp:anchor distT="0" distB="0" distL="114300" distR="114300" simplePos="0" relativeHeight="251660288" behindDoc="0" locked="0" layoutInCell="1" hidden="0" allowOverlap="1" wp14:anchorId="6DBF9E46" wp14:editId="6B27CBE8">
            <wp:simplePos x="0" y="0"/>
            <wp:positionH relativeFrom="column">
              <wp:posOffset>1059303</wp:posOffset>
            </wp:positionH>
            <wp:positionV relativeFrom="paragraph">
              <wp:posOffset>-129538</wp:posOffset>
            </wp:positionV>
            <wp:extent cx="3253740" cy="2594708"/>
            <wp:effectExtent l="0" t="0" r="0" b="0"/>
            <wp:wrapNone/>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253740" cy="2594708"/>
                    </a:xfrm>
                    <a:prstGeom prst="rect">
                      <a:avLst/>
                    </a:prstGeom>
                    <a:ln/>
                  </pic:spPr>
                </pic:pic>
              </a:graphicData>
            </a:graphic>
          </wp:anchor>
        </w:drawing>
      </w:r>
    </w:p>
    <w:p w14:paraId="093037D9" w14:textId="77777777" w:rsidR="009C1D91" w:rsidRDefault="009C1D91">
      <w:pPr>
        <w:spacing w:after="0" w:line="360" w:lineRule="auto"/>
        <w:jc w:val="both"/>
      </w:pPr>
    </w:p>
    <w:p w14:paraId="19DB3ACE" w14:textId="77777777" w:rsidR="009C1D91" w:rsidRDefault="009C1D91">
      <w:pPr>
        <w:spacing w:after="0" w:line="360" w:lineRule="auto"/>
        <w:jc w:val="both"/>
      </w:pPr>
    </w:p>
    <w:p w14:paraId="0A6BA271" w14:textId="77777777" w:rsidR="009C1D91" w:rsidRDefault="009C1D91">
      <w:pPr>
        <w:spacing w:after="0" w:line="360" w:lineRule="auto"/>
        <w:jc w:val="both"/>
      </w:pPr>
    </w:p>
    <w:p w14:paraId="5E4385F7" w14:textId="77777777" w:rsidR="009C1D91" w:rsidRDefault="009C1D91">
      <w:pPr>
        <w:spacing w:after="0" w:line="360" w:lineRule="auto"/>
        <w:jc w:val="both"/>
      </w:pPr>
    </w:p>
    <w:p w14:paraId="5F77486B" w14:textId="77777777" w:rsidR="009C1D91" w:rsidRDefault="009C1D91">
      <w:pPr>
        <w:spacing w:after="0" w:line="360" w:lineRule="auto"/>
        <w:jc w:val="both"/>
      </w:pPr>
    </w:p>
    <w:p w14:paraId="7E221C17" w14:textId="77777777" w:rsidR="009C1D91" w:rsidRDefault="009C1D91">
      <w:pPr>
        <w:spacing w:after="0" w:line="360" w:lineRule="auto"/>
        <w:jc w:val="both"/>
      </w:pPr>
    </w:p>
    <w:p w14:paraId="7D9C9BC8" w14:textId="77777777" w:rsidR="009C1D91" w:rsidRDefault="009C1D91">
      <w:pPr>
        <w:spacing w:after="0" w:line="360" w:lineRule="auto"/>
        <w:jc w:val="both"/>
      </w:pPr>
    </w:p>
    <w:p w14:paraId="7C114A8D" w14:textId="77777777" w:rsidR="009C1D91" w:rsidRDefault="009C1D91">
      <w:pPr>
        <w:spacing w:after="0" w:line="360" w:lineRule="auto"/>
        <w:jc w:val="both"/>
      </w:pPr>
    </w:p>
    <w:p w14:paraId="3E661003" w14:textId="77777777" w:rsidR="009C1D91" w:rsidRDefault="009C1D91">
      <w:pPr>
        <w:spacing w:after="0" w:line="360" w:lineRule="auto"/>
        <w:jc w:val="both"/>
      </w:pPr>
    </w:p>
    <w:p w14:paraId="6C81289E" w14:textId="77777777" w:rsidR="009C1D91" w:rsidRDefault="009C1D91">
      <w:pPr>
        <w:spacing w:after="0" w:line="360" w:lineRule="auto"/>
        <w:jc w:val="both"/>
      </w:pPr>
    </w:p>
    <w:p w14:paraId="320013F6" w14:textId="77777777" w:rsidR="009C1D91" w:rsidRDefault="00000000">
      <w:pPr>
        <w:spacing w:after="0" w:line="360" w:lineRule="auto"/>
        <w:jc w:val="both"/>
      </w:pPr>
      <w:r>
        <w:rPr>
          <w:noProof/>
        </w:rPr>
        <mc:AlternateContent>
          <mc:Choice Requires="wpg">
            <w:drawing>
              <wp:anchor distT="0" distB="0" distL="114300" distR="114300" simplePos="0" relativeHeight="251661312" behindDoc="0" locked="0" layoutInCell="1" hidden="0" allowOverlap="1" wp14:anchorId="70C66C8E" wp14:editId="073F655F">
                <wp:simplePos x="0" y="0"/>
                <wp:positionH relativeFrom="column">
                  <wp:posOffset>1</wp:posOffset>
                </wp:positionH>
                <wp:positionV relativeFrom="paragraph">
                  <wp:posOffset>1270</wp:posOffset>
                </wp:positionV>
                <wp:extent cx="5734050" cy="190500"/>
                <wp:effectExtent l="0" t="0" r="0" b="0"/>
                <wp:wrapNone/>
                <wp:docPr id="1" name="Rectangle 1"/>
                <wp:cNvGraphicFramePr/>
                <a:graphic xmlns:a="http://schemas.openxmlformats.org/drawingml/2006/main">
                  <a:graphicData uri="http://schemas.microsoft.com/office/word/2010/wordprocessingShape">
                    <wps:wsp>
                      <wps:cNvSpPr/>
                      <wps:spPr>
                        <a:xfrm>
                          <a:off x="2477070" y="3779683"/>
                          <a:ext cx="5737860" cy="635"/>
                        </a:xfrm>
                        <a:prstGeom prst="rect">
                          <a:avLst/>
                        </a:prstGeom>
                        <a:solidFill>
                          <a:srgbClr val="FFFFFF"/>
                        </a:solidFill>
                        <a:ln>
                          <a:noFill/>
                        </a:ln>
                      </wps:spPr>
                      <wps:txbx>
                        <w:txbxContent>
                          <w:p w14:paraId="49B00A5E" w14:textId="77777777" w:rsidR="009C1D91" w:rsidRDefault="00000000">
                            <w:pPr>
                              <w:spacing w:after="0" w:line="240" w:lineRule="auto"/>
                              <w:jc w:val="center"/>
                              <w:textDirection w:val="btLr"/>
                            </w:pPr>
                            <w:r>
                              <w:rPr>
                                <w:rFonts w:ascii="Arial" w:eastAsia="Arial" w:hAnsi="Arial" w:cs="Arial"/>
                                <w:b/>
                                <w:color w:val="4F81BD"/>
                                <w:sz w:val="18"/>
                              </w:rPr>
                              <w:t xml:space="preserve">Figure 2: Self-Determination Theory Model </w:t>
                            </w:r>
                            <w:r>
                              <w:rPr>
                                <w:rFonts w:ascii="Arial" w:eastAsia="Arial" w:hAnsi="Arial" w:cs="Arial"/>
                                <w:b/>
                                <w:i/>
                                <w:color w:val="4F81BD"/>
                                <w:sz w:val="18"/>
                              </w:rPr>
                              <w:t>(Adapted from Deci &amp; Ryan, 2000)</w:t>
                            </w:r>
                          </w:p>
                        </w:txbxContent>
                      </wps:txbx>
                      <wps:bodyPr spcFirstLastPara="1" wrap="square" lIns="0" tIns="0" rIns="0" bIns="0" anchor="t"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w:drawing>
              <wp:anchor allowOverlap="1" behindDoc="0" distB="0" distT="0" distL="114300" distR="114300" hidden="0" layoutInCell="1" locked="0" relativeHeight="0" simplePos="0">
                <wp:simplePos x="0" y="0"/>
                <wp:positionH relativeFrom="column">
                  <wp:posOffset>1</wp:posOffset>
                </wp:positionH>
                <wp:positionV relativeFrom="paragraph">
                  <wp:posOffset>1270</wp:posOffset>
                </wp:positionV>
                <wp:extent cx="5734050" cy="190500"/>
                <wp:effectExtent b="0" l="0" r="0" t="0"/>
                <wp:wrapNone/>
                <wp:docPr id="1"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5734050" cy="190500"/>
                        </a:xfrm>
                        <a:prstGeom prst="rect"/>
                        <a:ln/>
                      </pic:spPr>
                    </pic:pic>
                  </a:graphicData>
                </a:graphic>
              </wp:anchor>
            </w:drawing>
          </mc:Fallback>
        </mc:AlternateContent>
      </w:r>
    </w:p>
    <w:p w14:paraId="480A80D6" w14:textId="77777777" w:rsidR="009C1D91" w:rsidRDefault="00000000">
      <w:pPr>
        <w:pStyle w:val="Heading2"/>
      </w:pPr>
      <w:bookmarkStart w:id="5" w:name="_ln2tyto6yayx" w:colFirst="0" w:colLast="0"/>
      <w:bookmarkEnd w:id="5"/>
      <w:r>
        <w:t>3.3 Innovation Sprints and Cross-Functional Teams</w:t>
      </w:r>
    </w:p>
    <w:p w14:paraId="55FD5B9F" w14:textId="77777777" w:rsidR="009C1D91" w:rsidRDefault="00000000">
      <w:pPr>
        <w:spacing w:after="0" w:line="360" w:lineRule="auto"/>
        <w:jc w:val="both"/>
      </w:pPr>
      <w:r>
        <w:rPr>
          <w:rFonts w:ascii="Arial" w:eastAsia="Arial" w:hAnsi="Arial" w:cs="Arial"/>
          <w:sz w:val="24"/>
          <w:szCs w:val="24"/>
        </w:rPr>
        <w:t xml:space="preserve">In addition to the intrapreneurship programme, Aether must consider the quarterly innovation sprints; coordinated and time-boxed group work where cross-functional teams approach a specific business problem based on design thinking and agile practices. According to research by the Cornell University, organisations that institutionalise such practices will build the adaptive ability to be relatively competitive in the long term (Cornell University, 2024). Cross-functional teams are designed to assemble employees represented by product, engineering, marketing, customer success and HR and break the siloed working patterns that hinder the creativity in thinking and problem-solving. Notably, the results of creative cycles, </w:t>
      </w:r>
      <w:r>
        <w:rPr>
          <w:rFonts w:ascii="Arial" w:eastAsia="Arial" w:hAnsi="Arial" w:cs="Arial"/>
          <w:sz w:val="24"/>
          <w:szCs w:val="24"/>
        </w:rPr>
        <w:lastRenderedPageBreak/>
        <w:t>like prototypes or pilot projects, process enhancements, etc, must be incorporated into the Aether strategic roadmap, as a means of showing the employees that their creativity is valued at an organisational level.</w:t>
      </w:r>
    </w:p>
    <w:p w14:paraId="73B0C058" w14:textId="77777777" w:rsidR="009C1D91" w:rsidRDefault="00000000">
      <w:pPr>
        <w:pStyle w:val="Heading1"/>
      </w:pPr>
      <w:bookmarkStart w:id="6" w:name="_bngkifmum905" w:colFirst="0" w:colLast="0"/>
      <w:bookmarkEnd w:id="6"/>
      <w:r>
        <w:t>4. Future of Work Model: Structured Hybrid Working</w:t>
      </w:r>
    </w:p>
    <w:p w14:paraId="5ECFEB26" w14:textId="77777777" w:rsidR="009C1D91" w:rsidRDefault="00000000">
      <w:pPr>
        <w:spacing w:after="0" w:line="360" w:lineRule="auto"/>
        <w:jc w:val="both"/>
      </w:pPr>
      <w:r>
        <w:rPr>
          <w:rFonts w:ascii="Arial" w:eastAsia="Arial" w:hAnsi="Arial" w:cs="Arial"/>
          <w:sz w:val="24"/>
          <w:szCs w:val="24"/>
        </w:rPr>
        <w:t>Aether ought to use a systematic hybrid model of working: three days in office per week (sprint session, team building sessions, innovation-workshops) to maintain a collaborative element and two days off-site to ensure focused work on deep-dive; this will facilitate team learning and work, so to speak. The model is based on growing empirical data: In the case of IT companies, hybrid working conditions and organisational support as a combination described 61 per cent of the change in employee engagement scale scores, flexible work schedules and mental health support being the two highest predictors respectively (Charles, 2025). This means that flexibility, combined with a demonstration of organisational care, is no longer a retention advantage, but rather is a direct influence on the productivity of the workforce and its innovation potential.</w:t>
      </w:r>
    </w:p>
    <w:p w14:paraId="697D0252" w14:textId="77777777" w:rsidR="009C1D91" w:rsidRDefault="009C1D91">
      <w:pPr>
        <w:spacing w:after="0" w:line="360" w:lineRule="auto"/>
      </w:pPr>
    </w:p>
    <w:p w14:paraId="7BCEE4BE" w14:textId="77777777" w:rsidR="009C1D91" w:rsidRDefault="00000000">
      <w:pPr>
        <w:spacing w:after="0" w:line="360" w:lineRule="auto"/>
        <w:jc w:val="both"/>
      </w:pPr>
      <w:r>
        <w:rPr>
          <w:rFonts w:ascii="Arial" w:eastAsia="Arial" w:hAnsi="Arial" w:cs="Arial"/>
          <w:sz w:val="24"/>
          <w:szCs w:val="24"/>
        </w:rPr>
        <w:t xml:space="preserve">Nevertheless, inappropriately developed hybrid approaches may lead to a sense of isolation, inequality between the people sitting in the office and those at home, or a loss of necessity, and team dilution ( Redefining HR, 2025). To prevent them, the HR department of Aether needs to come up with objective eligibility criteria on hybrid arrangement, depending on the specifics of the role, provide access to digital collaboration tools (like Miro as a creator option, Notion as a knowledge management platform, and Slack as an asynchronous communication option) regularly, and enforce the practice of one-to-one check-ins by the line managers to all work-remotely staff members. Transparency of goals must be addressed by company-wide OKR (Objectives and Key Results) dashboard, as this allows teams to scale their individual effort towards the priorities of the organisation, irrespective of geographic location. Using SDT again, the hybrid model will suffice the aspect of autonomy by the freedom of location, whereas in order to safeguard the aspect </w:t>
      </w:r>
      <w:r>
        <w:rPr>
          <w:rFonts w:ascii="Arial" w:eastAsia="Arial" w:hAnsi="Arial" w:cs="Arial"/>
          <w:sz w:val="24"/>
          <w:szCs w:val="24"/>
        </w:rPr>
        <w:lastRenderedPageBreak/>
        <w:t>of relatedness and team belonging, structured on-site days suffices (Deci and Ryan, 2000).</w:t>
      </w:r>
    </w:p>
    <w:p w14:paraId="4B2A4EE0" w14:textId="77777777" w:rsidR="009C1D91" w:rsidRDefault="00000000">
      <w:pPr>
        <w:pStyle w:val="Heading1"/>
      </w:pPr>
      <w:bookmarkStart w:id="7" w:name="_gx10autrlalq" w:colFirst="0" w:colLast="0"/>
      <w:bookmarkEnd w:id="7"/>
      <w:r>
        <w:t>5. Motivating Employees for Optimal Performance</w:t>
      </w:r>
    </w:p>
    <w:p w14:paraId="3120B8F9" w14:textId="77777777" w:rsidR="009C1D91" w:rsidRDefault="00000000">
      <w:pPr>
        <w:spacing w:after="0" w:line="360" w:lineRule="auto"/>
        <w:jc w:val="both"/>
      </w:pPr>
      <w:r>
        <w:rPr>
          <w:rFonts w:ascii="Arial" w:eastAsia="Arial" w:hAnsi="Arial" w:cs="Arial"/>
          <w:sz w:val="24"/>
          <w:szCs w:val="24"/>
        </w:rPr>
        <w:t>The Two-Factor Theory presented by Herzberg (1968) represents a sensible approach to assessing the effectiveness of the announced initiatives when combined together. Herzberg identified hygiene factors (the absence of which leads to dissatisfaction, e.g. your salary, your working conditions, your job security) and motivators (things that drive engagement and performance positive, e.g. recognition, growing, achieving and the meaningful work). The turnover rate at Aether is very high which is a vehement indicator that both are not working: the organisational culture is not providing enough motivators and the strict, innovation-smothering environment also has destroyed hygiene satisfaction. The intended variant of hybrid model cures hygiene dissatisfaction directly by providing flexibility and lessening the load to go to work, and the intrapreneurship programme and innovation sprints present strong incentives autonomy, the need to be appreciated as a creative input, and a pull to develop professionally.</w:t>
      </w:r>
    </w:p>
    <w:p w14:paraId="4F64FAE1" w14:textId="77777777" w:rsidR="009C1D91" w:rsidRDefault="009C1D91">
      <w:pPr>
        <w:spacing w:after="0" w:line="360" w:lineRule="auto"/>
      </w:pPr>
    </w:p>
    <w:p w14:paraId="6FF95C15" w14:textId="77777777" w:rsidR="009C1D91" w:rsidRDefault="00000000">
      <w:pPr>
        <w:spacing w:after="0" w:line="360" w:lineRule="auto"/>
        <w:jc w:val="both"/>
      </w:pPr>
      <w:r>
        <w:rPr>
          <w:rFonts w:ascii="Arial" w:eastAsia="Arial" w:hAnsi="Arial" w:cs="Arial"/>
          <w:sz w:val="24"/>
          <w:szCs w:val="24"/>
        </w:rPr>
        <w:t>The chain of motivation behind the proposed strategy is fairly straightforward: psychological safety allows honest communication; honest communication leads to experimentation; experimentation to innovation; obvious innovation leads to recognition of the employees, resulting in recognition and thus increased engagement; increased engagement to less voluntary turnover and stable, energised teams to provide better customer experiences, which directly tackles the issue of declining customer satisfaction rates at Aether. Such an integrative design where no single initiative is viewed as a standalone endeavor is in tandem with the point made by Schein (2010) that a permanent cultural change involves simultaneous focus on artefacts, values and assumptions of the entire organisational system.</w:t>
      </w:r>
    </w:p>
    <w:p w14:paraId="4C4E835F" w14:textId="77777777" w:rsidR="009C1D91" w:rsidRDefault="00000000">
      <w:pPr>
        <w:pStyle w:val="Heading1"/>
      </w:pPr>
      <w:bookmarkStart w:id="8" w:name="_cz54oxjqudsn" w:colFirst="0" w:colLast="0"/>
      <w:bookmarkEnd w:id="8"/>
      <w:r>
        <w:lastRenderedPageBreak/>
        <w:t>6. Conclusion</w:t>
      </w:r>
    </w:p>
    <w:p w14:paraId="7B12A328" w14:textId="77777777" w:rsidR="009C1D91" w:rsidRDefault="00000000">
      <w:pPr>
        <w:spacing w:after="0" w:line="360" w:lineRule="auto"/>
        <w:jc w:val="both"/>
      </w:pPr>
      <w:r>
        <w:rPr>
          <w:rFonts w:ascii="Arial" w:eastAsia="Arial" w:hAnsi="Arial" w:cs="Arial"/>
          <w:sz w:val="24"/>
          <w:szCs w:val="24"/>
        </w:rPr>
        <w:t>Aether Innovations faces its main problems because of cultural difficulties which exist within its organization. The company experiences talent loss and slow growth because it implements surface-level changes. The report presents an evidence-based HR strategy which establishes psychological safety and intrapreneurship and innovation sprints and a hybrid work model as its core components. The strategic framework which combines Schein SDT Edmondson and Herzberg theories aims to restore innovation and boost employee engagement and improve customer experience for ongoing business growth.</w:t>
      </w:r>
      <w:r>
        <w:br w:type="page"/>
      </w:r>
    </w:p>
    <w:p w14:paraId="150A38F5" w14:textId="77777777" w:rsidR="009C1D91" w:rsidRDefault="00000000">
      <w:pPr>
        <w:spacing w:after="0" w:line="360" w:lineRule="auto"/>
        <w:jc w:val="center"/>
      </w:pPr>
      <w:r>
        <w:rPr>
          <w:rFonts w:ascii="Arial" w:eastAsia="Arial" w:hAnsi="Arial" w:cs="Arial"/>
          <w:b/>
          <w:bCs/>
          <w:sz w:val="26"/>
          <w:szCs w:val="26"/>
        </w:rPr>
        <w:lastRenderedPageBreak/>
        <w:t>PART 2: REFLECTIVE PRACTICE</w:t>
      </w:r>
    </w:p>
    <w:p w14:paraId="4437D98F" w14:textId="77777777" w:rsidR="009C1D91" w:rsidRDefault="00000000">
      <w:pPr>
        <w:pStyle w:val="Heading1"/>
      </w:pPr>
      <w:bookmarkStart w:id="9" w:name="_jzozihm6nq63" w:colFirst="0" w:colLast="0"/>
      <w:bookmarkEnd w:id="9"/>
      <w:r>
        <w:t>Section A: Personal Learning Reflection Using Gibbs' Reflective Cycle</w:t>
      </w:r>
    </w:p>
    <w:p w14:paraId="2DA21286" w14:textId="77777777" w:rsidR="009C1D91" w:rsidRDefault="00000000">
      <w:pPr>
        <w:pStyle w:val="Heading2"/>
      </w:pPr>
      <w:bookmarkStart w:id="10" w:name="_mt993trtok93" w:colFirst="0" w:colLast="0"/>
      <w:bookmarkEnd w:id="10"/>
      <w:r>
        <w:t>Stage 1 – Description</w:t>
      </w:r>
    </w:p>
    <w:p w14:paraId="3DAD74C6" w14:textId="77777777" w:rsidR="009C1D91" w:rsidRDefault="00000000">
      <w:pPr>
        <w:spacing w:after="0" w:line="360" w:lineRule="auto"/>
        <w:jc w:val="both"/>
      </w:pPr>
      <w:r>
        <w:rPr>
          <w:rFonts w:ascii="Arial" w:eastAsia="Arial" w:hAnsi="Arial" w:cs="Arial"/>
          <w:sz w:val="24"/>
          <w:szCs w:val="24"/>
        </w:rPr>
        <w:t>Before taking the Human Capital Management module, my perception of HR was mostly functionalistic in nature i.e. the processes of recruitment, pay roll, and compliance. This is because I linked the Human Capitals Management with the administrative support rather than the strategic business leadership. The module presented a considerably more dynamic point of view with an analysis of strategic HRM structures, talent systems, performance management solutions, the organisational culture theory and Future of Work. Discussing them, especially via the Aether Innovations case study, meant that I had to incase practical business situations off of the typical definitions to find a way of applying theoretical models to them.</w:t>
      </w:r>
    </w:p>
    <w:p w14:paraId="42659E74" w14:textId="77777777" w:rsidR="009C1D91" w:rsidRDefault="00000000">
      <w:pPr>
        <w:pStyle w:val="Heading2"/>
      </w:pPr>
      <w:bookmarkStart w:id="11" w:name="_k7qh6syikwyk" w:colFirst="0" w:colLast="0"/>
      <w:bookmarkEnd w:id="11"/>
      <w:r>
        <w:t>Stage 2 – Feelings</w:t>
      </w:r>
    </w:p>
    <w:p w14:paraId="4F7CAFC4" w14:textId="77777777" w:rsidR="009C1D91" w:rsidRDefault="00000000">
      <w:pPr>
        <w:spacing w:after="0" w:line="360" w:lineRule="auto"/>
        <w:jc w:val="both"/>
      </w:pPr>
      <w:r>
        <w:rPr>
          <w:rFonts w:ascii="Arial" w:eastAsia="Arial" w:hAnsi="Arial" w:cs="Arial"/>
          <w:sz w:val="24"/>
          <w:szCs w:val="24"/>
        </w:rPr>
        <w:t>At first, I was unsure about my critical level of engagement with the HR strategy during the postgraduate level. Being of a technology background, the ideas of Schein, Cultural Model, Edmondson, Psychological Safety, Herzberg, Two-Factor Theory appeared to be too abstract and hard to translate into specific suggestions. Nevertheless, I started becoming more confident as I was completing the module. The development of an integrated HR strategy of Aether Innovations was really thought-provoking in my case - I felt like wanting to know why some organisations are able to innovate and others do not, and I felt like reading outside the core reading list, learning about the actual life stories of organisations such as Google and 3M.</w:t>
      </w:r>
    </w:p>
    <w:p w14:paraId="7D6FD40E" w14:textId="77777777" w:rsidR="009C1D91" w:rsidRDefault="00000000">
      <w:pPr>
        <w:pStyle w:val="Heading2"/>
      </w:pPr>
      <w:bookmarkStart w:id="12" w:name="_5skyg6i8xyut" w:colFirst="0" w:colLast="0"/>
      <w:bookmarkEnd w:id="12"/>
      <w:r>
        <w:t>Stage 3 – Evaluation</w:t>
      </w:r>
    </w:p>
    <w:p w14:paraId="462725D4" w14:textId="77777777" w:rsidR="009C1D91" w:rsidRDefault="00000000">
      <w:pPr>
        <w:spacing w:after="0" w:line="360" w:lineRule="auto"/>
        <w:jc w:val="both"/>
      </w:pPr>
      <w:r>
        <w:rPr>
          <w:rFonts w:ascii="Arial" w:eastAsia="Arial" w:hAnsi="Arial" w:cs="Arial"/>
          <w:sz w:val="24"/>
          <w:szCs w:val="24"/>
        </w:rPr>
        <w:t xml:space="preserve">Reflectively, the best thing I learnt was the ability to change my perceptions of thinking away from descriptive to an analytical mode of thinking. At the beginning </w:t>
      </w:r>
      <w:r>
        <w:rPr>
          <w:rFonts w:ascii="Arial" w:eastAsia="Arial" w:hAnsi="Arial" w:cs="Arial"/>
          <w:sz w:val="24"/>
          <w:szCs w:val="24"/>
        </w:rPr>
        <w:lastRenderedPageBreak/>
        <w:t>of the module, I was inclined to refer to what models claim about what is happening instead of assessing the extent to which they are applicable, contested or adequate to a particular situation. The feedback-based module design slowly made me want to formulate deeper questions:Is psychological safety the sole driver of innovation, or do structural enablers have a role to play also? Do hybrid ways of working provide a setting in which each employee can gain more freedom and the teamwork can be more unified at the same time? This skeptical style of questioning can be viewed as a true growth of my academic and professional thought process. One of the aspects to improve though was my initial propensity to use foundational theories that have existed since long without adequately drawing on more recent empirical literature that both build up on them and/or dismiss them.</w:t>
      </w:r>
    </w:p>
    <w:p w14:paraId="66E322E2" w14:textId="77777777" w:rsidR="009C1D91" w:rsidRDefault="00000000">
      <w:pPr>
        <w:pStyle w:val="Heading2"/>
      </w:pPr>
      <w:bookmarkStart w:id="13" w:name="_9pa1idwzduxm" w:colFirst="0" w:colLast="0"/>
      <w:bookmarkEnd w:id="13"/>
      <w:r>
        <w:t>Stage 4 – Analysis</w:t>
      </w:r>
    </w:p>
    <w:p w14:paraId="32BE3562" w14:textId="77777777" w:rsidR="009C1D91" w:rsidRDefault="00000000">
      <w:pPr>
        <w:spacing w:after="0" w:line="360" w:lineRule="auto"/>
        <w:jc w:val="both"/>
      </w:pPr>
      <w:r>
        <w:rPr>
          <w:rFonts w:ascii="Arial" w:eastAsia="Arial" w:hAnsi="Arial" w:cs="Arial"/>
          <w:sz w:val="24"/>
          <w:szCs w:val="24"/>
        </w:rPr>
        <w:t>The module has also given me a consistent conceptual framework, which I can utilize to develop my own Learning and Development (L&amp;D) strategy. Using the framework of Gibbs on my personal professional growth, I understand that experiential and problem-driven tasks form the best type of learning techniques in me, and this is in line with the Experiential Learning Cycle by Kolb (1984) that outlines concrete experience and reflective observation as the antecedent of abstract conceptualisation and active experimentation. The Aether Innovations assignment was a representation of this cycle, to the case study (concrete experience), reflection about the cultural challenges that the company faces (reflective observation), theoretical frameworks (abstract conceptualisation) and actionable HR initiatives (active experimentation). In order to develop a real growth mindset (meaning by Dweck, 2006), that abilities can be developed by dedication and effort, I must gravitate towards learning situations that involve ambiguity and the complexity of the real world instead of situations with undiscovered answers.</w:t>
      </w:r>
    </w:p>
    <w:p w14:paraId="4612BF0D" w14:textId="77777777" w:rsidR="009C1D91" w:rsidRDefault="00000000">
      <w:pPr>
        <w:pStyle w:val="Heading2"/>
      </w:pPr>
      <w:bookmarkStart w:id="14" w:name="_jp8mzmhgy8ny" w:colFirst="0" w:colLast="0"/>
      <w:bookmarkEnd w:id="14"/>
      <w:r>
        <w:t>Stage 5 – Conclusion</w:t>
      </w:r>
    </w:p>
    <w:p w14:paraId="58383661" w14:textId="77777777" w:rsidR="009C1D91" w:rsidRDefault="00000000">
      <w:pPr>
        <w:spacing w:after="0" w:line="360" w:lineRule="auto"/>
        <w:jc w:val="both"/>
      </w:pPr>
      <w:r>
        <w:rPr>
          <w:rFonts w:ascii="Arial" w:eastAsia="Arial" w:hAnsi="Arial" w:cs="Arial"/>
          <w:sz w:val="24"/>
          <w:szCs w:val="24"/>
        </w:rPr>
        <w:t xml:space="preserve">This module has radically re-defined my perception of organisations. Individuals exist not as an asset that should be managed, but as a potential that should be </w:t>
      </w:r>
      <w:r>
        <w:rPr>
          <w:rFonts w:ascii="Arial" w:eastAsia="Arial" w:hAnsi="Arial" w:cs="Arial"/>
          <w:sz w:val="24"/>
          <w:szCs w:val="24"/>
        </w:rPr>
        <w:lastRenderedPageBreak/>
        <w:t>nurtured. The ability of any organisation to be innovative cannot be discussed outside the context of its culture, the quality of leaders it has, and the psychological state it provides to its employees. I have come to realize that the construction of my growth mindset needs the same requirements that I put forward to Aether that would include psychological safety to feel free to experiment without fear of failure, autonomy to prescribe my own learning priorities, and frequent consideration of what works and what does not.</w:t>
      </w:r>
    </w:p>
    <w:p w14:paraId="7F8B0D36" w14:textId="77777777" w:rsidR="009C1D91" w:rsidRDefault="00000000">
      <w:pPr>
        <w:pStyle w:val="Heading2"/>
      </w:pPr>
      <w:bookmarkStart w:id="15" w:name="_z2nkf43f0qpo" w:colFirst="0" w:colLast="0"/>
      <w:bookmarkEnd w:id="15"/>
      <w:r>
        <w:t>Stage 6 – Action Plan</w:t>
      </w:r>
    </w:p>
    <w:p w14:paraId="1486D8FD" w14:textId="77777777" w:rsidR="009C1D91" w:rsidRDefault="00000000">
      <w:pPr>
        <w:spacing w:after="0" w:line="360" w:lineRule="auto"/>
        <w:jc w:val="both"/>
      </w:pPr>
      <w:r>
        <w:rPr>
          <w:rFonts w:ascii="Arial" w:eastAsia="Arial" w:hAnsi="Arial" w:cs="Arial"/>
          <w:sz w:val="24"/>
          <w:szCs w:val="24"/>
        </w:rPr>
        <w:t>To go further, I will: subscribe to peer-reviewed journals such as the International Journal of Human Resource Management to keep up with the latest research in the field of HRM; pursue a CIPD qualification to gain more in-depth knowledge of applied HR; attempt to become a project leader in a set-up where multiple functions interact with each other to gain the interpersonal skills this course has helped me realize; and keep a regular reflective journal that will record the experience of learning as well as growth over time. Part B: Surviving in a World with Artificial Intelligence.</w:t>
      </w:r>
    </w:p>
    <w:p w14:paraId="143F2BDE" w14:textId="77777777" w:rsidR="009C1D91" w:rsidRDefault="00000000">
      <w:pPr>
        <w:pStyle w:val="Heading1"/>
      </w:pPr>
      <w:bookmarkStart w:id="16" w:name="_crdiihed12ec" w:colFirst="0" w:colLast="0"/>
      <w:bookmarkEnd w:id="16"/>
      <w:r>
        <w:t>Section B: Staying Relevant in an AI-Driven Workplace</w:t>
      </w:r>
    </w:p>
    <w:p w14:paraId="5682A1D6" w14:textId="77777777" w:rsidR="009C1D91" w:rsidRDefault="00000000">
      <w:pPr>
        <w:spacing w:after="0" w:line="360" w:lineRule="auto"/>
        <w:jc w:val="both"/>
        <w:rPr>
          <w:rFonts w:ascii="Arial" w:eastAsia="Arial" w:hAnsi="Arial" w:cs="Arial"/>
          <w:sz w:val="24"/>
          <w:szCs w:val="24"/>
        </w:rPr>
      </w:pPr>
      <w:r>
        <w:rPr>
          <w:rFonts w:ascii="Arial" w:eastAsia="Arial" w:hAnsi="Arial" w:cs="Arial"/>
          <w:sz w:val="24"/>
          <w:szCs w:val="24"/>
        </w:rPr>
        <w:t>The artificial intelligence (AI) has already emerged as one of the biggest transformations in contemporary professional functions. The AI systems are much faster and efficient at running many of the tasks that used to be done by a human professional: data analysis, report writing, performance oversight, and even initial screening of a candidate in HR (Brynjolfsson and McAfee, 2014). This technological change puts a significant challenge on the management professionals: instead of opposing AI, they will be forced to rebrand their professional worth in conjunction with AI. The collaboration skills within the AI-driven environment are the skills that are necessary to remain relevant and effective.</w:t>
      </w:r>
    </w:p>
    <w:p w14:paraId="6C8785CD" w14:textId="77777777" w:rsidR="009C1D91" w:rsidRDefault="009C1D91">
      <w:pPr>
        <w:spacing w:after="0" w:line="360" w:lineRule="auto"/>
        <w:jc w:val="both"/>
        <w:rPr>
          <w:rFonts w:ascii="Arial" w:eastAsia="Arial" w:hAnsi="Arial" w:cs="Arial"/>
          <w:sz w:val="24"/>
          <w:szCs w:val="24"/>
        </w:rPr>
      </w:pPr>
    </w:p>
    <w:p w14:paraId="2624FB5E" w14:textId="77777777" w:rsidR="009C1D91" w:rsidRDefault="00000000">
      <w:pPr>
        <w:spacing w:after="0" w:line="360" w:lineRule="auto"/>
        <w:jc w:val="both"/>
        <w:rPr>
          <w:rFonts w:ascii="Arial" w:eastAsia="Arial" w:hAnsi="Arial" w:cs="Arial"/>
          <w:sz w:val="24"/>
          <w:szCs w:val="24"/>
        </w:rPr>
      </w:pPr>
      <w:r>
        <w:rPr>
          <w:rFonts w:ascii="Arial" w:eastAsia="Arial" w:hAnsi="Arial" w:cs="Arial"/>
          <w:sz w:val="24"/>
          <w:szCs w:val="24"/>
        </w:rPr>
        <w:lastRenderedPageBreak/>
        <w:t>The only way that professionals can cope with such landscape is by ensuring that they develop capabilities that cannot be easily replicated by AI. These are the strategic judgement, ethical reasoning, empathetic leadership and contextual creativity. Even though AI is a high-quality pattern recognition and high-volume information synthesizer, AI does not have the experience of living in an organisation, moral responsibility, and interpersonal intelligence that leadership and management of a complicated organisational culture needs (Autor, 2022). One thing that human judgement still offers a special value is in human-centred abilities, including facilitating a safe psychological workplace, creating intrinsically driving workplaces, and interpreting organisational culture.</w:t>
      </w:r>
    </w:p>
    <w:p w14:paraId="73CBFC38" w14:textId="77777777" w:rsidR="009C1D91" w:rsidRDefault="009C1D91">
      <w:pPr>
        <w:spacing w:after="0" w:line="360" w:lineRule="auto"/>
        <w:jc w:val="both"/>
        <w:rPr>
          <w:rFonts w:ascii="Arial" w:eastAsia="Arial" w:hAnsi="Arial" w:cs="Arial"/>
          <w:sz w:val="24"/>
          <w:szCs w:val="24"/>
        </w:rPr>
      </w:pPr>
    </w:p>
    <w:p w14:paraId="7397DD96" w14:textId="77777777" w:rsidR="009C1D91" w:rsidRDefault="00000000">
      <w:pPr>
        <w:spacing w:after="0" w:line="360" w:lineRule="auto"/>
        <w:jc w:val="both"/>
      </w:pPr>
      <w:r>
        <w:rPr>
          <w:rFonts w:ascii="Arial" w:eastAsia="Arial" w:hAnsi="Arial" w:cs="Arial"/>
          <w:sz w:val="24"/>
          <w:szCs w:val="24"/>
        </w:rPr>
        <w:t>Meanwhile, AI can be also implemented as a productivity-related tool instead of a threat. Generative AI technologies can assist professionals with the speed of the search of literature, summarisation of massive amounts of research, and the generation of initial frameworks, which can be further developed by employing the critique and contextual interpretation tools. The professional worth of managers is ever more in the assessment, adjustment, and utilisation of AI-generated insights in definite organisational surroundings. Finally, to remain relevant in an improved AI-enhanced workplace, one will need to think in a state of constant learning, exhibit intellectual elasticity, and adaptability as both the technologies and organisational world keep changing.</w:t>
      </w:r>
    </w:p>
    <w:p w14:paraId="241CBD67" w14:textId="77777777" w:rsidR="009C1D91" w:rsidRDefault="00000000">
      <w:r>
        <w:br w:type="page"/>
      </w:r>
    </w:p>
    <w:p w14:paraId="7D9AE045" w14:textId="77777777" w:rsidR="009C1D91" w:rsidRDefault="00000000">
      <w:pPr>
        <w:pStyle w:val="Heading1"/>
      </w:pPr>
      <w:bookmarkStart w:id="17" w:name="_tq78o81l9dnr" w:colFirst="0" w:colLast="0"/>
      <w:bookmarkEnd w:id="17"/>
      <w:r>
        <w:lastRenderedPageBreak/>
        <w:t>References</w:t>
      </w:r>
    </w:p>
    <w:p w14:paraId="399ABEB0" w14:textId="77777777" w:rsidR="009C1D91" w:rsidRDefault="00000000">
      <w:pPr>
        <w:spacing w:after="120" w:line="360" w:lineRule="auto"/>
        <w:ind w:left="720" w:hanging="720"/>
      </w:pPr>
      <w:r>
        <w:rPr>
          <w:rFonts w:ascii="Arial" w:eastAsia="Arial" w:hAnsi="Arial" w:cs="Arial"/>
          <w:sz w:val="24"/>
          <w:szCs w:val="24"/>
        </w:rPr>
        <w:t xml:space="preserve">Autor, D. (2022) 'The labor market impacts of technological change: From unbundling to AI', National Bureau of Economic Research Working Paper, 30279. </w:t>
      </w:r>
      <w:hyperlink r:id="rId10">
        <w:r w:rsidR="009C1D91">
          <w:rPr>
            <w:rFonts w:ascii="Arial" w:eastAsia="Arial" w:hAnsi="Arial" w:cs="Arial"/>
            <w:color w:val="0000FF"/>
            <w:sz w:val="24"/>
            <w:szCs w:val="24"/>
            <w:u w:val="single"/>
          </w:rPr>
          <w:t>https://www.nber.org/system/files/working_papers/w30074/w30074.pdf</w:t>
        </w:r>
      </w:hyperlink>
      <w:r>
        <w:rPr>
          <w:rFonts w:ascii="Arial" w:eastAsia="Arial" w:hAnsi="Arial" w:cs="Arial"/>
          <w:sz w:val="24"/>
          <w:szCs w:val="24"/>
        </w:rPr>
        <w:t xml:space="preserve"> </w:t>
      </w:r>
    </w:p>
    <w:p w14:paraId="00923717" w14:textId="77777777" w:rsidR="009C1D91" w:rsidRDefault="00000000">
      <w:pPr>
        <w:spacing w:after="120" w:line="360" w:lineRule="auto"/>
        <w:ind w:left="720" w:hanging="720"/>
      </w:pPr>
      <w:r>
        <w:rPr>
          <w:rFonts w:ascii="Arial" w:eastAsia="Arial" w:hAnsi="Arial" w:cs="Arial"/>
          <w:sz w:val="24"/>
          <w:szCs w:val="24"/>
        </w:rPr>
        <w:t xml:space="preserve">Brynjolfsson, E. and McAfee, A. (2014) The second machine age: Work, progress, and prosperity in a time of brilliant technologies. New York: W.W. Norton. </w:t>
      </w:r>
      <w:hyperlink r:id="rId11">
        <w:r w:rsidR="009C1D91">
          <w:rPr>
            <w:rFonts w:ascii="Arial" w:eastAsia="Arial" w:hAnsi="Arial" w:cs="Arial"/>
            <w:color w:val="0000FF"/>
            <w:sz w:val="24"/>
            <w:szCs w:val="24"/>
            <w:u w:val="single"/>
          </w:rPr>
          <w:t>https://books.google.co.in/books/about/The_Second_Machine_Age.html?id=WiKwAgAAQBAJ&amp;redir_esc=y</w:t>
        </w:r>
      </w:hyperlink>
      <w:r>
        <w:rPr>
          <w:rFonts w:ascii="Arial" w:eastAsia="Arial" w:hAnsi="Arial" w:cs="Arial"/>
          <w:sz w:val="24"/>
          <w:szCs w:val="24"/>
        </w:rPr>
        <w:t xml:space="preserve"> </w:t>
      </w:r>
    </w:p>
    <w:p w14:paraId="045815F8" w14:textId="77777777" w:rsidR="009C1D91" w:rsidRDefault="00000000">
      <w:pPr>
        <w:spacing w:after="120" w:line="360" w:lineRule="auto"/>
        <w:ind w:left="720" w:hanging="720"/>
      </w:pPr>
      <w:r>
        <w:rPr>
          <w:rFonts w:ascii="Arial" w:eastAsia="Arial" w:hAnsi="Arial" w:cs="Arial"/>
          <w:sz w:val="24"/>
          <w:szCs w:val="24"/>
        </w:rPr>
        <w:t xml:space="preserve">Charles, W.P. (2025) 'How hybrid work and organisation support shape an IT employee's engagement', SA Journal of Human Resource Management, 23, pp. 1-11. </w:t>
      </w:r>
      <w:hyperlink r:id="rId12">
        <w:r w:rsidR="009C1D91">
          <w:rPr>
            <w:rFonts w:ascii="Arial" w:eastAsia="Arial" w:hAnsi="Arial" w:cs="Arial"/>
            <w:color w:val="0000FF"/>
            <w:sz w:val="24"/>
            <w:szCs w:val="24"/>
            <w:u w:val="single"/>
          </w:rPr>
          <w:t>https://doi.org/10.4102/sajhrm.v23i0.3161</w:t>
        </w:r>
      </w:hyperlink>
      <w:r>
        <w:rPr>
          <w:rFonts w:ascii="Arial" w:eastAsia="Arial" w:hAnsi="Arial" w:cs="Arial"/>
          <w:sz w:val="24"/>
          <w:szCs w:val="24"/>
        </w:rPr>
        <w:t xml:space="preserve"> </w:t>
      </w:r>
    </w:p>
    <w:p w14:paraId="424F8FCE" w14:textId="77777777" w:rsidR="009C1D91" w:rsidRDefault="00000000">
      <w:pPr>
        <w:spacing w:after="120" w:line="360" w:lineRule="auto"/>
        <w:ind w:left="720" w:hanging="720"/>
      </w:pPr>
      <w:r>
        <w:rPr>
          <w:rFonts w:ascii="Arial" w:eastAsia="Arial" w:hAnsi="Arial" w:cs="Arial"/>
          <w:sz w:val="24"/>
          <w:szCs w:val="24"/>
        </w:rPr>
        <w:t xml:space="preserve">Cornell University (2024) A culture of intrapreneurship: 3 practices for organizational innovation. </w:t>
      </w:r>
      <w:hyperlink r:id="rId13">
        <w:r w:rsidR="009C1D91">
          <w:rPr>
            <w:rFonts w:ascii="Arial" w:eastAsia="Arial" w:hAnsi="Arial" w:cs="Arial"/>
            <w:color w:val="0000FF"/>
            <w:sz w:val="24"/>
            <w:szCs w:val="24"/>
            <w:u w:val="single"/>
          </w:rPr>
          <w:t>https://news.cornell.edu/stories/2024/04/culture-intrapreneurship-3-practices-organizational-innovation</w:t>
        </w:r>
      </w:hyperlink>
      <w:r>
        <w:rPr>
          <w:rFonts w:ascii="Arial" w:eastAsia="Arial" w:hAnsi="Arial" w:cs="Arial"/>
          <w:sz w:val="24"/>
          <w:szCs w:val="24"/>
        </w:rPr>
        <w:t xml:space="preserve">  (Accessed: 15 March 2026).</w:t>
      </w:r>
    </w:p>
    <w:p w14:paraId="014CA678" w14:textId="77777777" w:rsidR="009C1D91" w:rsidRDefault="00000000">
      <w:pPr>
        <w:spacing w:after="120" w:line="360" w:lineRule="auto"/>
        <w:ind w:left="720" w:hanging="720"/>
      </w:pPr>
      <w:r>
        <w:rPr>
          <w:rFonts w:ascii="Arial" w:eastAsia="Arial" w:hAnsi="Arial" w:cs="Arial"/>
          <w:sz w:val="24"/>
          <w:szCs w:val="24"/>
        </w:rPr>
        <w:t xml:space="preserve">Deci, E.L. and Ryan, R.M. (2000) 'The what and why of goal pursuits: Human needs and the self-determination of behavior', Psychological Inquiry, 11(4), pp. 227-268. </w:t>
      </w:r>
      <w:hyperlink r:id="rId14">
        <w:r w:rsidR="009C1D91">
          <w:rPr>
            <w:rFonts w:ascii="Arial" w:eastAsia="Arial" w:hAnsi="Arial" w:cs="Arial"/>
            <w:color w:val="0000FF"/>
            <w:sz w:val="24"/>
            <w:szCs w:val="24"/>
            <w:u w:val="single"/>
          </w:rPr>
          <w:t>https://selfdeterminationtheory.org/SDT/documents/2000_DeciRyan_PIWhatWhy.pdf</w:t>
        </w:r>
      </w:hyperlink>
      <w:r>
        <w:rPr>
          <w:rFonts w:ascii="Arial" w:eastAsia="Arial" w:hAnsi="Arial" w:cs="Arial"/>
          <w:sz w:val="24"/>
          <w:szCs w:val="24"/>
        </w:rPr>
        <w:t xml:space="preserve"> </w:t>
      </w:r>
    </w:p>
    <w:p w14:paraId="749AE889" w14:textId="77777777" w:rsidR="009C1D91" w:rsidRDefault="00000000">
      <w:pPr>
        <w:spacing w:after="120" w:line="360" w:lineRule="auto"/>
        <w:ind w:left="720" w:hanging="720"/>
      </w:pPr>
      <w:r>
        <w:rPr>
          <w:rFonts w:ascii="Arial" w:eastAsia="Arial" w:hAnsi="Arial" w:cs="Arial"/>
          <w:sz w:val="24"/>
          <w:szCs w:val="24"/>
        </w:rPr>
        <w:t xml:space="preserve">Dweck, C.S. (2006) Mindset: The new psychology of success. New York: Random House. </w:t>
      </w:r>
      <w:hyperlink r:id="rId15">
        <w:r w:rsidR="009C1D91">
          <w:rPr>
            <w:rFonts w:ascii="Arial" w:eastAsia="Arial" w:hAnsi="Arial" w:cs="Arial"/>
            <w:color w:val="0000FF"/>
            <w:sz w:val="24"/>
            <w:szCs w:val="24"/>
            <w:u w:val="single"/>
          </w:rPr>
          <w:t>https://icrrd.com/public/media/01-11-2020-205951Mindset%20by%20Carol%20S.%20Dweck.pdf</w:t>
        </w:r>
      </w:hyperlink>
      <w:r>
        <w:rPr>
          <w:rFonts w:ascii="Arial" w:eastAsia="Arial" w:hAnsi="Arial" w:cs="Arial"/>
          <w:sz w:val="24"/>
          <w:szCs w:val="24"/>
        </w:rPr>
        <w:t xml:space="preserve"> </w:t>
      </w:r>
    </w:p>
    <w:p w14:paraId="75D7D0A5" w14:textId="77777777" w:rsidR="009C1D91" w:rsidRDefault="00000000">
      <w:pPr>
        <w:spacing w:after="120" w:line="360" w:lineRule="auto"/>
        <w:ind w:left="720" w:hanging="720"/>
      </w:pPr>
      <w:r>
        <w:rPr>
          <w:rFonts w:ascii="Arial" w:eastAsia="Arial" w:hAnsi="Arial" w:cs="Arial"/>
          <w:sz w:val="24"/>
          <w:szCs w:val="24"/>
        </w:rPr>
        <w:t xml:space="preserve">Edmondson, A.C. (1999) 'Psychological safety and learning behavior in work teams', Administrative Science Quarterly, 44(2), pp. 350-383.  </w:t>
      </w:r>
      <w:hyperlink r:id="rId16">
        <w:r w:rsidR="009C1D91">
          <w:rPr>
            <w:rFonts w:ascii="Arial" w:eastAsia="Arial" w:hAnsi="Arial" w:cs="Arial"/>
            <w:color w:val="0000FF"/>
            <w:sz w:val="24"/>
            <w:szCs w:val="24"/>
            <w:u w:val="single"/>
          </w:rPr>
          <w:t>https://web.mit.edu/curhan/www/docs/Articles/15341_Readings/Group_Performance/Edmondson%20Psychological%20safety.pdf</w:t>
        </w:r>
      </w:hyperlink>
      <w:r>
        <w:rPr>
          <w:rFonts w:ascii="Arial" w:eastAsia="Arial" w:hAnsi="Arial" w:cs="Arial"/>
          <w:sz w:val="24"/>
          <w:szCs w:val="24"/>
        </w:rPr>
        <w:t xml:space="preserve"> </w:t>
      </w:r>
    </w:p>
    <w:p w14:paraId="736C3F80" w14:textId="77777777" w:rsidR="009C1D91" w:rsidRDefault="00000000">
      <w:pPr>
        <w:spacing w:after="120" w:line="360" w:lineRule="auto"/>
        <w:ind w:left="720" w:hanging="720"/>
      </w:pPr>
      <w:r>
        <w:rPr>
          <w:rFonts w:ascii="Arial" w:eastAsia="Arial" w:hAnsi="Arial" w:cs="Arial"/>
          <w:sz w:val="24"/>
          <w:szCs w:val="24"/>
        </w:rPr>
        <w:lastRenderedPageBreak/>
        <w:t xml:space="preserve">Gibbs, G. (1988) Learning by doing: A guide to teaching and learning methods. Oxford: Further Education Unit. </w:t>
      </w:r>
      <w:hyperlink r:id="rId17">
        <w:r w:rsidR="009C1D91">
          <w:rPr>
            <w:rFonts w:ascii="Arial" w:eastAsia="Arial" w:hAnsi="Arial" w:cs="Arial"/>
            <w:color w:val="0000FF"/>
            <w:sz w:val="24"/>
            <w:szCs w:val="24"/>
            <w:u w:val="single"/>
          </w:rPr>
          <w:t>https://thoughtsmostlyaboutlearning.wordpress.com/wp-content/uploads/2015/12/learning-by-doing-graham-gibbs.pdf</w:t>
        </w:r>
      </w:hyperlink>
      <w:r>
        <w:rPr>
          <w:rFonts w:ascii="Arial" w:eastAsia="Arial" w:hAnsi="Arial" w:cs="Arial"/>
          <w:sz w:val="24"/>
          <w:szCs w:val="24"/>
        </w:rPr>
        <w:t xml:space="preserve"> </w:t>
      </w:r>
    </w:p>
    <w:p w14:paraId="1ACD118E" w14:textId="77777777" w:rsidR="009C1D91" w:rsidRDefault="00000000">
      <w:pPr>
        <w:spacing w:after="120" w:line="360" w:lineRule="auto"/>
        <w:ind w:left="720" w:hanging="720"/>
      </w:pPr>
      <w:r>
        <w:rPr>
          <w:rFonts w:ascii="Arial" w:eastAsia="Arial" w:hAnsi="Arial" w:cs="Arial"/>
          <w:sz w:val="24"/>
          <w:szCs w:val="24"/>
        </w:rPr>
        <w:t xml:space="preserve">Herzberg, F. (1968) 'One more time: How do you motivate employees?', Harvard Business Review, 46(1), pp. 53-62. </w:t>
      </w:r>
      <w:hyperlink r:id="rId18">
        <w:r w:rsidR="009C1D91">
          <w:rPr>
            <w:rFonts w:ascii="Arial" w:eastAsia="Arial" w:hAnsi="Arial" w:cs="Arial"/>
            <w:color w:val="0000FF"/>
            <w:sz w:val="24"/>
            <w:szCs w:val="24"/>
            <w:u w:val="single"/>
          </w:rPr>
          <w:t>https://pdodds.w3.uvm.edu/files/papers/others/1968/herzberg1968.pdf</w:t>
        </w:r>
      </w:hyperlink>
      <w:r>
        <w:rPr>
          <w:rFonts w:ascii="Arial" w:eastAsia="Arial" w:hAnsi="Arial" w:cs="Arial"/>
          <w:sz w:val="24"/>
          <w:szCs w:val="24"/>
        </w:rPr>
        <w:t xml:space="preserve"> </w:t>
      </w:r>
    </w:p>
    <w:p w14:paraId="48273865" w14:textId="77777777" w:rsidR="009C1D91" w:rsidRDefault="00000000">
      <w:pPr>
        <w:spacing w:after="120" w:line="360" w:lineRule="auto"/>
        <w:ind w:left="720" w:hanging="720"/>
      </w:pPr>
      <w:r>
        <w:rPr>
          <w:rFonts w:ascii="Arial" w:eastAsia="Arial" w:hAnsi="Arial" w:cs="Arial"/>
          <w:sz w:val="24"/>
          <w:szCs w:val="24"/>
        </w:rPr>
        <w:t xml:space="preserve">Hogan, S.J. and Coote, L.V. (2014) 'Organizational culture, innovation, and performance: A test of Schein's model', Journal of Business Research, 67(8), pp. 1609-1621. </w:t>
      </w:r>
      <w:hyperlink r:id="rId19">
        <w:r w:rsidR="009C1D91">
          <w:rPr>
            <w:rFonts w:ascii="Arial" w:eastAsia="Arial" w:hAnsi="Arial" w:cs="Arial"/>
            <w:color w:val="0000FF"/>
            <w:sz w:val="24"/>
            <w:szCs w:val="24"/>
            <w:u w:val="single"/>
          </w:rPr>
          <w:t>https://doi.org/10.1016/j.jbusres.2013.09.007</w:t>
        </w:r>
      </w:hyperlink>
      <w:r>
        <w:rPr>
          <w:rFonts w:ascii="Arial" w:eastAsia="Arial" w:hAnsi="Arial" w:cs="Arial"/>
          <w:sz w:val="24"/>
          <w:szCs w:val="24"/>
        </w:rPr>
        <w:t xml:space="preserve"> </w:t>
      </w:r>
    </w:p>
    <w:p w14:paraId="23AB634B" w14:textId="77777777" w:rsidR="009C1D91" w:rsidRDefault="00000000">
      <w:pPr>
        <w:spacing w:after="120" w:line="360" w:lineRule="auto"/>
        <w:ind w:left="720" w:hanging="720"/>
      </w:pPr>
      <w:r>
        <w:rPr>
          <w:rFonts w:ascii="Arial" w:eastAsia="Arial" w:hAnsi="Arial" w:cs="Arial"/>
          <w:sz w:val="24"/>
          <w:szCs w:val="24"/>
        </w:rPr>
        <w:t xml:space="preserve">Itonics (2025) Intrapreneurship: Empowering employees to drive innovation culture. Available at: </w:t>
      </w:r>
      <w:hyperlink r:id="rId20">
        <w:r w:rsidR="009C1D91">
          <w:rPr>
            <w:rFonts w:ascii="Arial" w:eastAsia="Arial" w:hAnsi="Arial" w:cs="Arial"/>
            <w:color w:val="0000FF"/>
            <w:sz w:val="24"/>
            <w:szCs w:val="24"/>
            <w:u w:val="single"/>
          </w:rPr>
          <w:t>https://www.itonics-innovation.com/blog/intrapreneurship</w:t>
        </w:r>
      </w:hyperlink>
      <w:r>
        <w:rPr>
          <w:rFonts w:ascii="Arial" w:eastAsia="Arial" w:hAnsi="Arial" w:cs="Arial"/>
          <w:sz w:val="24"/>
          <w:szCs w:val="24"/>
        </w:rPr>
        <w:t xml:space="preserve">  (Accessed: 15 March 2026).</w:t>
      </w:r>
    </w:p>
    <w:p w14:paraId="010CFD9B" w14:textId="77777777" w:rsidR="009C1D91" w:rsidRDefault="00000000">
      <w:pPr>
        <w:spacing w:after="120" w:line="360" w:lineRule="auto"/>
        <w:ind w:left="720" w:hanging="720"/>
      </w:pPr>
      <w:r>
        <w:rPr>
          <w:rFonts w:ascii="Arial" w:eastAsia="Arial" w:hAnsi="Arial" w:cs="Arial"/>
          <w:sz w:val="24"/>
          <w:szCs w:val="24"/>
        </w:rPr>
        <w:t xml:space="preserve">Kolb, D.A. (1984) Experiential learning: Experience as the source of learning and development. Englewood Cliffs: Prentice Hall. </w:t>
      </w:r>
      <w:hyperlink r:id="rId21">
        <w:r w:rsidR="009C1D91">
          <w:rPr>
            <w:rFonts w:ascii="Arial" w:eastAsia="Arial" w:hAnsi="Arial" w:cs="Arial"/>
            <w:color w:val="0000FF"/>
            <w:sz w:val="24"/>
            <w:szCs w:val="24"/>
            <w:u w:val="single"/>
          </w:rPr>
          <w:t>https://carleton-wp-production.s3.amazonaws.com/uploads/sites/313/2022/12/Experiential_Learning_Experience_As_The_Source_Of_-1.pdf</w:t>
        </w:r>
      </w:hyperlink>
      <w:r>
        <w:rPr>
          <w:rFonts w:ascii="Arial" w:eastAsia="Arial" w:hAnsi="Arial" w:cs="Arial"/>
          <w:sz w:val="24"/>
          <w:szCs w:val="24"/>
        </w:rPr>
        <w:t xml:space="preserve"> </w:t>
      </w:r>
    </w:p>
    <w:p w14:paraId="6A69D01D" w14:textId="77777777" w:rsidR="009C1D91" w:rsidRDefault="00000000">
      <w:pPr>
        <w:spacing w:after="120" w:line="360" w:lineRule="auto"/>
        <w:ind w:left="720" w:hanging="720"/>
      </w:pPr>
      <w:r>
        <w:rPr>
          <w:rFonts w:ascii="Arial" w:eastAsia="Arial" w:hAnsi="Arial" w:cs="Arial"/>
          <w:sz w:val="24"/>
          <w:szCs w:val="24"/>
        </w:rPr>
        <w:t xml:space="preserve">Nikolova, N. (2023) How HR can help create a culture of innovation and intrapreneurship. InsideHR. Available at: </w:t>
      </w:r>
      <w:hyperlink r:id="rId22">
        <w:r w:rsidR="009C1D91">
          <w:rPr>
            <w:rFonts w:ascii="Arial" w:eastAsia="Arial" w:hAnsi="Arial" w:cs="Arial"/>
            <w:color w:val="0000FF"/>
            <w:sz w:val="24"/>
            <w:szCs w:val="24"/>
            <w:u w:val="single"/>
          </w:rPr>
          <w:t>https://www.insidehr.com.au/hr-drive-innovation-intrapreneurship</w:t>
        </w:r>
      </w:hyperlink>
      <w:r>
        <w:rPr>
          <w:rFonts w:ascii="Arial" w:eastAsia="Arial" w:hAnsi="Arial" w:cs="Arial"/>
          <w:sz w:val="24"/>
          <w:szCs w:val="24"/>
        </w:rPr>
        <w:t xml:space="preserve">  (Accessed: 15 March 2026).</w:t>
      </w:r>
    </w:p>
    <w:p w14:paraId="7861DA33" w14:textId="77777777" w:rsidR="009C1D91" w:rsidRDefault="00000000">
      <w:pPr>
        <w:spacing w:after="120" w:line="360" w:lineRule="auto"/>
        <w:ind w:left="720" w:hanging="720"/>
      </w:pPr>
      <w:r>
        <w:rPr>
          <w:rFonts w:ascii="Arial" w:eastAsia="Arial" w:hAnsi="Arial" w:cs="Arial"/>
          <w:sz w:val="24"/>
          <w:szCs w:val="24"/>
        </w:rPr>
        <w:t xml:space="preserve">Redefining HR (2025) Redefining HR strategies in the era of remote and hybrid work: A survey-based analysis. Journal of Management and Strategy Research. </w:t>
      </w:r>
      <w:hyperlink r:id="rId23">
        <w:r w:rsidR="009C1D91">
          <w:rPr>
            <w:rFonts w:ascii="Arial" w:eastAsia="Arial" w:hAnsi="Arial" w:cs="Arial"/>
            <w:color w:val="0000FF"/>
            <w:sz w:val="24"/>
            <w:szCs w:val="24"/>
            <w:u w:val="single"/>
          </w:rPr>
          <w:t>https://www.abacademies.org/articles/redefining-hr-strategies-in-the-era-of-remote-and-hybrid-work-a-surveybased-analysis-with-reference-to-the-it-sector-17585.html</w:t>
        </w:r>
      </w:hyperlink>
      <w:r>
        <w:rPr>
          <w:rFonts w:ascii="Arial" w:eastAsia="Arial" w:hAnsi="Arial" w:cs="Arial"/>
          <w:sz w:val="24"/>
          <w:szCs w:val="24"/>
        </w:rPr>
        <w:t xml:space="preserve"> </w:t>
      </w:r>
    </w:p>
    <w:p w14:paraId="5CFCD0E2" w14:textId="77777777" w:rsidR="009C1D91" w:rsidRDefault="00000000">
      <w:pPr>
        <w:spacing w:after="120" w:line="360" w:lineRule="auto"/>
        <w:ind w:left="720" w:hanging="720"/>
      </w:pPr>
      <w:r>
        <w:rPr>
          <w:rFonts w:ascii="Arial" w:eastAsia="Arial" w:hAnsi="Arial" w:cs="Arial"/>
          <w:sz w:val="24"/>
          <w:szCs w:val="24"/>
        </w:rPr>
        <w:t xml:space="preserve">Schein, E.H. (2010) Organizational culture and leadership. 4th edn. San Francisco: Jossey-Bass. </w:t>
      </w:r>
      <w:hyperlink r:id="rId24">
        <w:r w:rsidR="009C1D91">
          <w:rPr>
            <w:rFonts w:ascii="Arial" w:eastAsia="Arial" w:hAnsi="Arial" w:cs="Arial"/>
            <w:color w:val="0000FF"/>
            <w:sz w:val="24"/>
            <w:szCs w:val="24"/>
            <w:u w:val="single"/>
          </w:rPr>
          <w:t>https://ia800805.us.archive.org/9/items/EdgarHScheinOrganizationalCultu</w:t>
        </w:r>
        <w:r w:rsidR="009C1D91">
          <w:rPr>
            <w:rFonts w:ascii="Arial" w:eastAsia="Arial" w:hAnsi="Arial" w:cs="Arial"/>
            <w:color w:val="0000FF"/>
            <w:sz w:val="24"/>
            <w:szCs w:val="24"/>
            <w:u w:val="single"/>
          </w:rPr>
          <w:lastRenderedPageBreak/>
          <w:t>reAndLeadership/Edgar_H_Schein_Organizational_culture_and_leadership.pdf</w:t>
        </w:r>
      </w:hyperlink>
      <w:r>
        <w:rPr>
          <w:rFonts w:ascii="Arial" w:eastAsia="Arial" w:hAnsi="Arial" w:cs="Arial"/>
          <w:sz w:val="24"/>
          <w:szCs w:val="24"/>
        </w:rPr>
        <w:t xml:space="preserve"> </w:t>
      </w:r>
    </w:p>
    <w:sectPr w:rsidR="009C1D91">
      <w:pgSz w:w="12240" w:h="15840"/>
      <w:pgMar w:top="1440" w:right="1800" w:bottom="1440" w:left="180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embedRegular r:id="rId1" w:fontKey="{390E7017-9FEC-40DA-BD99-2CD2CF4E2EBF}"/>
    <w:embedBold r:id="rId2" w:fontKey="{339AF9FB-EF7F-43BF-B2AE-4EAF01B69EEB}"/>
  </w:font>
  <w:font w:name="Calibri">
    <w:panose1 w:val="020F0502020204030204"/>
    <w:charset w:val="00"/>
    <w:family w:val="swiss"/>
    <w:pitch w:val="variable"/>
    <w:sig w:usb0="E4002EFF" w:usb1="C200247B" w:usb2="00000009" w:usb3="00000000" w:csb0="000001FF" w:csb1="00000000"/>
    <w:embedRegular r:id="rId3" w:fontKey="{B2DD14FF-60FF-4362-BEE5-5677594237E9}"/>
    <w:embedBold r:id="rId4" w:fontKey="{2EB60385-BB11-4886-9A3C-A33B67AE26DE}"/>
    <w:embedItalic r:id="rId5" w:fontKey="{E188F423-A00E-4609-A097-36F439099237}"/>
    <w:embedBoldItalic r:id="rId6" w:fontKey="{A122F5E0-530E-4476-9611-24783EC7581A}"/>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embedRegular r:id="rId7" w:fontKey="{791A806B-849D-4BAF-B97E-6EF6E931B58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D91"/>
    <w:rsid w:val="00165BD8"/>
    <w:rsid w:val="009C1D91"/>
    <w:rsid w:val="00A37601"/>
    <w:rsid w:val="00C651F1"/>
    <w:rsid w:val="00ED0C8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6468E"/>
  <w15:docId w15:val="{D1133C51-B3FE-4464-86D7-5DB2B697C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sz w:val="22"/>
        <w:szCs w:val="22"/>
        <w:lang w:val="e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36"/>
      <w:szCs w:val="36"/>
    </w:rPr>
  </w:style>
  <w:style w:type="paragraph" w:styleId="Heading2">
    <w:name w:val="heading 2"/>
    <w:basedOn w:val="Normal"/>
    <w:next w:val="Normal"/>
    <w:uiPriority w:val="9"/>
    <w:unhideWhenUsed/>
    <w:qFormat/>
    <w:pPr>
      <w:keepNext/>
      <w:keepLines/>
      <w:spacing w:before="200" w:after="0"/>
      <w:outlineLvl w:val="1"/>
    </w:pPr>
    <w:rPr>
      <w:rFonts w:ascii="Calibri" w:eastAsia="Calibri" w:hAnsi="Calibri" w:cs="Calibri"/>
      <w:b/>
      <w:bCs/>
      <w:color w:val="943734"/>
      <w:sz w:val="28"/>
      <w:szCs w:val="28"/>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news.cornell.edu/stories/2024/04/culture-intrapreneurship-3-practices-organizational-innovation" TargetMode="External"/><Relationship Id="rId18" Type="http://schemas.openxmlformats.org/officeDocument/2006/relationships/hyperlink" Target="https://pdodds.w3.uvm.edu/files/papers/others/1968/herzberg1968.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carleton-wp-production.s3.amazonaws.com/uploads/sites/313/2022/12/Experiential_Learning_Experience_As_The_Source_Of_-1.pdf" TargetMode="External"/><Relationship Id="rId12" Type="http://schemas.openxmlformats.org/officeDocument/2006/relationships/hyperlink" Target="https://doi.org/10.4102/sajhrm.v23i0.3161" TargetMode="External"/><Relationship Id="rId17" Type="http://schemas.openxmlformats.org/officeDocument/2006/relationships/hyperlink" Target="https://thoughtsmostlyaboutlearning.wordpress.com/wp-content/uploads/2015/12/learning-by-doing-graham-gibbs.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eb.mit.edu/curhan/www/docs/Articles/15341_Readings/Group_Performance/Edmondson%20Psychological%20safety.pdf" TargetMode="External"/><Relationship Id="rId20" Type="http://schemas.openxmlformats.org/officeDocument/2006/relationships/hyperlink" Target="https://www.itonics-innovation.com/blog/intrapreneurship" TargetMode="External"/><Relationship Id="rId1" Type="http://schemas.openxmlformats.org/officeDocument/2006/relationships/styles" Target="styles.xml"/><Relationship Id="rId11" Type="http://schemas.openxmlformats.org/officeDocument/2006/relationships/hyperlink" Target="https://books.google.co.in/books/about/The_Second_Machine_Age.html?id=WiKwAgAAQBAJ&amp;redir_esc=y" TargetMode="External"/><Relationship Id="rId24" Type="http://schemas.openxmlformats.org/officeDocument/2006/relationships/hyperlink" Target="https://ia800805.us.archive.org/9/items/EdgarHScheinOrganizationalCultureAndLeadership/Edgar_H_Schein_Organizational_culture_and_leadership.pdf" TargetMode="External"/><Relationship Id="rId5" Type="http://schemas.openxmlformats.org/officeDocument/2006/relationships/image" Target="media/image2.png"/><Relationship Id="rId15" Type="http://schemas.openxmlformats.org/officeDocument/2006/relationships/hyperlink" Target="https://icrrd.com/public/media/01-11-2020-205951Mindset%20by%20Carol%20S.%20Dweck.pdf" TargetMode="External"/><Relationship Id="rId23" Type="http://schemas.openxmlformats.org/officeDocument/2006/relationships/hyperlink" Target="https://www.abacademies.org/articles/redefining-hr-strategies-in-the-era-of-remote-and-hybrid-work-a-surveybased-analysis-with-reference-to-the-it-sector-17585.html" TargetMode="External"/><Relationship Id="rId10" Type="http://schemas.openxmlformats.org/officeDocument/2006/relationships/hyperlink" Target="https://www.nber.org/system/files/working_papers/w30074/w30074.pdf" TargetMode="External"/><Relationship Id="rId19" Type="http://schemas.openxmlformats.org/officeDocument/2006/relationships/hyperlink" Target="https://doi.org/10.1016/j.jbusres.2013.09.007" TargetMode="External"/><Relationship Id="rId4" Type="http://schemas.openxmlformats.org/officeDocument/2006/relationships/image" Target="media/image1.png"/><Relationship Id="rId9" Type="http://schemas.openxmlformats.org/officeDocument/2006/relationships/image" Target="media/image3.png"/><Relationship Id="rId14" Type="http://schemas.openxmlformats.org/officeDocument/2006/relationships/hyperlink" Target="https://selfdeterminationtheory.org/SDT/documents/2000_DeciRyan_PIWhatWhy.pdf" TargetMode="External"/><Relationship Id="rId22" Type="http://schemas.openxmlformats.org/officeDocument/2006/relationships/hyperlink" Target="https://www.insidehr.com.au/hr-drive-innovation-intrapreneurship"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3768</Words>
  <Characters>21481</Characters>
  <Application>Microsoft Office Word</Application>
  <DocSecurity>0</DocSecurity>
  <Lines>179</Lines>
  <Paragraphs>50</Paragraphs>
  <ScaleCrop>false</ScaleCrop>
  <Company/>
  <LinksUpToDate>false</LinksUpToDate>
  <CharactersWithSpaces>25199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ronak devani</cp:lastModifiedBy>
  <cp:revision>3</cp:revision>
  <dcterms:created xsi:type="dcterms:W3CDTF">2026-03-19T10:45:00Z</dcterms:created>
  <dcterms:modified xsi:type="dcterms:W3CDTF">2026-03-19T10:54:00Z</dcterms:modified>
</cp:coreProperties>
</file>