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07A4D" w14:textId="77777777" w:rsidR="00816D06" w:rsidRDefault="00816D06" w:rsidP="00816D06">
      <w:pPr>
        <w:jc w:val="center"/>
        <w:rPr>
          <w:rFonts w:ascii="Arial" w:hAnsi="Arial" w:cs="Arial"/>
          <w:b/>
          <w:bCs/>
        </w:rPr>
      </w:pPr>
      <w:r w:rsidRPr="00816D06">
        <w:rPr>
          <w:rFonts w:ascii="Arial" w:hAnsi="Arial" w:cs="Arial"/>
          <w:b/>
          <w:bCs/>
        </w:rPr>
        <w:t>NSEDA Assignment B – Staff Solution</w:t>
      </w:r>
    </w:p>
    <w:p w14:paraId="66CF6F3F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NSEDA Assignment B – Staff Solution</w:t>
      </w:r>
    </w:p>
    <w:p w14:paraId="3EEBA49F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Use of this sheet</w:t>
      </w:r>
    </w:p>
    <w:p w14:paraId="71172E57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This is an indicative staff solution. Credit equivalent scientifically defensible approaches, provided assumptions are stated and calculations are internally consistent.</w:t>
      </w:r>
    </w:p>
    <w:p w14:paraId="2159C3DB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376FE999">
          <v:rect id="_x0000_i1025" style="width:0;height:1.5pt" o:hralign="center" o:hrstd="t" o:hr="t" fillcolor="#a0a0a0" stroked="f"/>
        </w:pict>
      </w:r>
    </w:p>
    <w:p w14:paraId="0BBB72F7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Key indicative numerical answers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2"/>
        <w:gridCol w:w="2490"/>
        <w:gridCol w:w="2994"/>
      </w:tblGrid>
      <w:tr w:rsidR="007D62F1" w:rsidRPr="007D62F1" w14:paraId="60337FF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362F5E" w14:textId="77777777" w:rsidR="007D62F1" w:rsidRPr="007D62F1" w:rsidRDefault="007D62F1" w:rsidP="007D62F1">
            <w:pPr>
              <w:rPr>
                <w:rFonts w:ascii="Arial" w:hAnsi="Arial" w:cs="Arial"/>
                <w:b/>
                <w:bCs/>
              </w:rPr>
            </w:pPr>
            <w:r w:rsidRPr="007D62F1">
              <w:rPr>
                <w:rFonts w:ascii="Arial" w:hAnsi="Arial" w:cs="Arial"/>
                <w:b/>
                <w:bCs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14:paraId="06C4077D" w14:textId="77777777" w:rsidR="007D62F1" w:rsidRPr="007D62F1" w:rsidRDefault="007D62F1" w:rsidP="007D62F1">
            <w:pPr>
              <w:rPr>
                <w:rFonts w:ascii="Arial" w:hAnsi="Arial" w:cs="Arial"/>
                <w:b/>
                <w:bCs/>
              </w:rPr>
            </w:pPr>
            <w:r w:rsidRPr="007D62F1">
              <w:rPr>
                <w:rFonts w:ascii="Arial" w:hAnsi="Arial" w:cs="Arial"/>
                <w:b/>
                <w:bCs/>
              </w:rPr>
              <w:t>Indicative value</w:t>
            </w:r>
          </w:p>
        </w:tc>
        <w:tc>
          <w:tcPr>
            <w:tcW w:w="0" w:type="auto"/>
            <w:vAlign w:val="center"/>
            <w:hideMark/>
          </w:tcPr>
          <w:p w14:paraId="295FEDD3" w14:textId="77777777" w:rsidR="007D62F1" w:rsidRPr="007D62F1" w:rsidRDefault="007D62F1" w:rsidP="007D62F1">
            <w:pPr>
              <w:rPr>
                <w:rFonts w:ascii="Arial" w:hAnsi="Arial" w:cs="Arial"/>
                <w:b/>
                <w:bCs/>
              </w:rPr>
            </w:pPr>
            <w:r w:rsidRPr="007D62F1">
              <w:rPr>
                <w:rFonts w:ascii="Arial" w:hAnsi="Arial" w:cs="Arial"/>
                <w:b/>
                <w:bCs/>
              </w:rPr>
              <w:t>Marker note</w:t>
            </w:r>
          </w:p>
        </w:tc>
      </w:tr>
      <w:tr w:rsidR="007D62F1" w:rsidRPr="007D62F1" w14:paraId="19B2EC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0BEB5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Source activity on 15 Oct 2024</w:t>
            </w:r>
          </w:p>
        </w:tc>
        <w:tc>
          <w:tcPr>
            <w:tcW w:w="0" w:type="auto"/>
            <w:vAlign w:val="center"/>
            <w:hideMark/>
          </w:tcPr>
          <w:p w14:paraId="27610464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≈ 1.6 TBq</w:t>
            </w:r>
          </w:p>
        </w:tc>
        <w:tc>
          <w:tcPr>
            <w:tcW w:w="0" w:type="auto"/>
            <w:vAlign w:val="center"/>
            <w:hideMark/>
          </w:tcPr>
          <w:p w14:paraId="4FF2339D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Accept about 1.55–1.60 TBq</w:t>
            </w:r>
          </w:p>
        </w:tc>
      </w:tr>
      <w:tr w:rsidR="007D62F1" w:rsidRPr="007D62F1" w14:paraId="031F96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D068D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Dose rate at 1 m</w:t>
            </w:r>
          </w:p>
        </w:tc>
        <w:tc>
          <w:tcPr>
            <w:tcW w:w="0" w:type="auto"/>
            <w:vAlign w:val="center"/>
            <w:hideMark/>
          </w:tcPr>
          <w:p w14:paraId="7490F968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≈ 0.21 Sv h^-1</w:t>
            </w:r>
          </w:p>
        </w:tc>
        <w:tc>
          <w:tcPr>
            <w:tcW w:w="0" w:type="auto"/>
            <w:vAlign w:val="center"/>
            <w:hideMark/>
          </w:tcPr>
          <w:p w14:paraId="78BCEEBC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Using Γ ≈ 0.13 mSv m² GBq^-1 h^-1</w:t>
            </w:r>
          </w:p>
        </w:tc>
      </w:tr>
      <w:tr w:rsidR="007D62F1" w:rsidRPr="007D62F1" w14:paraId="4C82D7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82F32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Dose rate at 0.7 m</w:t>
            </w:r>
          </w:p>
        </w:tc>
        <w:tc>
          <w:tcPr>
            <w:tcW w:w="0" w:type="auto"/>
            <w:vAlign w:val="center"/>
            <w:hideMark/>
          </w:tcPr>
          <w:p w14:paraId="199780F6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≈ 0.42 Sv h^-1</w:t>
            </w:r>
          </w:p>
        </w:tc>
        <w:tc>
          <w:tcPr>
            <w:tcW w:w="0" w:type="auto"/>
            <w:vAlign w:val="center"/>
            <w:hideMark/>
          </w:tcPr>
          <w:p w14:paraId="643B2838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Inverse-square scaling</w:t>
            </w:r>
          </w:p>
        </w:tc>
      </w:tr>
      <w:tr w:rsidR="007D62F1" w:rsidRPr="007D62F1" w14:paraId="0FDAB7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D4C5B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Estimated effective dose for 5–6 min at 0.7 m</w:t>
            </w:r>
          </w:p>
        </w:tc>
        <w:tc>
          <w:tcPr>
            <w:tcW w:w="0" w:type="auto"/>
            <w:vAlign w:val="center"/>
            <w:hideMark/>
          </w:tcPr>
          <w:p w14:paraId="77870F14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≈ 35–42 mSv</w:t>
            </w:r>
          </w:p>
        </w:tc>
        <w:tc>
          <w:tcPr>
            <w:tcW w:w="0" w:type="auto"/>
            <w:vAlign w:val="center"/>
            <w:hideMark/>
          </w:tcPr>
          <w:p w14:paraId="135A722C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Central estimate around 38–40 mSv</w:t>
            </w:r>
          </w:p>
        </w:tc>
      </w:tr>
      <w:tr w:rsidR="007D62F1" w:rsidRPr="007D62F1" w14:paraId="5EBFD9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C3D66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Recorded dosimetry</w:t>
            </w:r>
          </w:p>
        </w:tc>
        <w:tc>
          <w:tcPr>
            <w:tcW w:w="0" w:type="auto"/>
            <w:vAlign w:val="center"/>
            <w:hideMark/>
          </w:tcPr>
          <w:p w14:paraId="3A5C6106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EPD 27.0 mSv; TLD 35.6 mSv</w:t>
            </w:r>
          </w:p>
        </w:tc>
        <w:tc>
          <w:tcPr>
            <w:tcW w:w="0" w:type="auto"/>
            <w:vAlign w:val="center"/>
            <w:hideMark/>
          </w:tcPr>
          <w:p w14:paraId="0502FD66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Calculated dose is broadly consistent</w:t>
            </w:r>
          </w:p>
        </w:tc>
      </w:tr>
    </w:tbl>
    <w:p w14:paraId="0114F842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5B6164ED">
          <v:rect id="_x0000_i1026" style="width:0;height:1.5pt" o:hralign="center" o:hrstd="t" o:hr="t" fillcolor="#a0a0a0" stroked="f"/>
        </w:pict>
      </w:r>
    </w:p>
    <w:p w14:paraId="1C84A5B7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1. Framing expected from a good report</w:t>
      </w:r>
    </w:p>
    <w:p w14:paraId="27D617A1" w14:textId="77777777" w:rsidR="007D62F1" w:rsidRPr="007D62F1" w:rsidRDefault="007D62F1" w:rsidP="007D62F1">
      <w:pPr>
        <w:numPr>
          <w:ilvl w:val="0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The strongest submissions will read as a </w:t>
      </w:r>
      <w:r w:rsidRPr="007D62F1">
        <w:rPr>
          <w:rFonts w:ascii="Arial" w:hAnsi="Arial" w:cs="Arial"/>
          <w:b/>
          <w:bCs/>
        </w:rPr>
        <w:t>single scientific investigation</w:t>
      </w:r>
      <w:r w:rsidRPr="007D62F1">
        <w:rPr>
          <w:rFonts w:ascii="Arial" w:hAnsi="Arial" w:cs="Arial"/>
        </w:rPr>
        <w:t xml:space="preserve"> rather than a sequence of short answers. </w:t>
      </w:r>
    </w:p>
    <w:p w14:paraId="5B5538AA" w14:textId="77777777" w:rsidR="007D62F1" w:rsidRPr="007D62F1" w:rsidRDefault="007D62F1" w:rsidP="007D62F1">
      <w:pPr>
        <w:numPr>
          <w:ilvl w:val="0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Students should justify: </w:t>
      </w:r>
    </w:p>
    <w:p w14:paraId="6F6BCAA7" w14:textId="77777777" w:rsidR="007D62F1" w:rsidRPr="007D62F1" w:rsidRDefault="007D62F1" w:rsidP="007D62F1">
      <w:pPr>
        <w:numPr>
          <w:ilvl w:val="1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decay correction, </w:t>
      </w:r>
    </w:p>
    <w:p w14:paraId="154A589D" w14:textId="77777777" w:rsidR="007D62F1" w:rsidRPr="007D62F1" w:rsidRDefault="007D62F1" w:rsidP="007D62F1">
      <w:pPr>
        <w:numPr>
          <w:ilvl w:val="1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use of a tabulated gamma constant, </w:t>
      </w:r>
    </w:p>
    <w:p w14:paraId="603640E5" w14:textId="77777777" w:rsidR="007D62F1" w:rsidRPr="007D62F1" w:rsidRDefault="007D62F1" w:rsidP="007D62F1">
      <w:pPr>
        <w:numPr>
          <w:ilvl w:val="1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inverse-square behaviour, </w:t>
      </w:r>
    </w:p>
    <w:p w14:paraId="1C64846F" w14:textId="77777777" w:rsidR="007D62F1" w:rsidRPr="007D62F1" w:rsidRDefault="007D62F1" w:rsidP="007D62F1">
      <w:pPr>
        <w:numPr>
          <w:ilvl w:val="1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and the validity and limitations of a point-source approximation. </w:t>
      </w:r>
    </w:p>
    <w:p w14:paraId="573957BC" w14:textId="77777777" w:rsidR="007D62F1" w:rsidRPr="007D62F1" w:rsidRDefault="007D62F1" w:rsidP="007D62F1">
      <w:pPr>
        <w:numPr>
          <w:ilvl w:val="0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Numerical agreement with dosimetry does not need to be exact. The key issue is whether the estimate is of the correct order and is scientifically defended. </w:t>
      </w:r>
    </w:p>
    <w:p w14:paraId="4DE7B717" w14:textId="77777777" w:rsidR="007D62F1" w:rsidRPr="007D62F1" w:rsidRDefault="007D62F1" w:rsidP="007D62F1">
      <w:pPr>
        <w:numPr>
          <w:ilvl w:val="0"/>
          <w:numId w:val="9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Better answers will recognise that the field near a source trapped within the guide tube close to the projector body may not be perfectly isotropic, so a hand calculation is necessarily an approximation. </w:t>
      </w:r>
    </w:p>
    <w:p w14:paraId="4D67C77E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4269C9D7">
          <v:rect id="_x0000_i1027" style="width:0;height:1.5pt" o:hralign="center" o:hrstd="t" o:hr="t" fillcolor="#a0a0a0" stroked="f"/>
        </w:pict>
      </w:r>
    </w:p>
    <w:p w14:paraId="215D1A52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2. Worked scientific solution</w:t>
      </w:r>
    </w:p>
    <w:p w14:paraId="0BC784B3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2.1 Suitability of Iridium-192 for industrial radiography</w:t>
      </w:r>
    </w:p>
    <w:p w14:paraId="003A7064" w14:textId="5F3E8DD1" w:rsidR="007D62F1" w:rsidRPr="007D62F1" w:rsidRDefault="007D62F1" w:rsidP="007D62F1">
      <w:pPr>
        <w:numPr>
          <w:ilvl w:val="0"/>
          <w:numId w:val="10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Ir-192 emits multiple gamma rays in the energy range suitable for industrial radiography, especially for weld inspection and pipework examination. </w:t>
      </w:r>
      <w:r w:rsidR="00932009">
        <w:rPr>
          <w:rFonts w:ascii="Arial" w:hAnsi="Arial" w:cs="Arial"/>
        </w:rPr>
        <w:t xml:space="preserve">The gamma </w:t>
      </w:r>
      <w:r w:rsidR="00932009">
        <w:rPr>
          <w:rFonts w:ascii="Arial" w:hAnsi="Arial" w:cs="Arial"/>
        </w:rPr>
        <w:lastRenderedPageBreak/>
        <w:t>energy is high enough to allow reasonable penetration with sufficient contrast- high energies such as cobalt-60 would reduce the contrast.</w:t>
      </w:r>
    </w:p>
    <w:p w14:paraId="5CF669FE" w14:textId="3DF0BDCF" w:rsidR="007D62F1" w:rsidRPr="007D62F1" w:rsidRDefault="007D62F1" w:rsidP="007D62F1">
      <w:pPr>
        <w:numPr>
          <w:ilvl w:val="0"/>
          <w:numId w:val="10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Its half-life of about </w:t>
      </w:r>
      <w:r w:rsidRPr="00A77F53">
        <w:rPr>
          <w:rFonts w:ascii="Arial" w:hAnsi="Arial" w:cs="Arial"/>
        </w:rPr>
        <w:t>73.8 days</w:t>
      </w:r>
      <w:r w:rsidRPr="007D62F1">
        <w:rPr>
          <w:rFonts w:ascii="Arial" w:hAnsi="Arial" w:cs="Arial"/>
        </w:rPr>
        <w:t xml:space="preserve"> gives high specific activity, allowing a compact source that can be driven through guide tubes and exposure heads. </w:t>
      </w:r>
      <w:r w:rsidR="00A77F53">
        <w:rPr>
          <w:rFonts w:ascii="Arial" w:hAnsi="Arial" w:cs="Arial"/>
        </w:rPr>
        <w:t>A point source is needed for sharp images.</w:t>
      </w:r>
    </w:p>
    <w:p w14:paraId="744D21EB" w14:textId="77777777" w:rsidR="007D62F1" w:rsidRPr="007D62F1" w:rsidRDefault="007D62F1" w:rsidP="007D62F1">
      <w:pPr>
        <w:numPr>
          <w:ilvl w:val="0"/>
          <w:numId w:val="10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It can be encapsulated in a robust sealed-source form suitable for repeated remote projection and retraction. </w:t>
      </w:r>
    </w:p>
    <w:p w14:paraId="4E1B2B22" w14:textId="77777777" w:rsidR="007D62F1" w:rsidRPr="007D62F1" w:rsidRDefault="007D62F1" w:rsidP="007D62F1">
      <w:pPr>
        <w:numPr>
          <w:ilvl w:val="0"/>
          <w:numId w:val="10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Sensible limitations may also be noted: the activity falls significantly over a matter of months, requiring regular source replacement and careful decay correction; and reliable source-return verification is critical because the source is used in mobile industrial environments. </w:t>
      </w:r>
    </w:p>
    <w:p w14:paraId="03528D73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2.2 Decay-corrected activity on the incident date</w:t>
      </w:r>
    </w:p>
    <w:p w14:paraId="11091CF1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Given:</w:t>
      </w:r>
    </w:p>
    <w:p w14:paraId="25A80AD1" w14:textId="53B1639C" w:rsidR="007D62F1" w:rsidRPr="007D62F1" w:rsidRDefault="00A77F53" w:rsidP="007D62F1">
      <w:pPr>
        <w:numPr>
          <w:ilvl w:val="0"/>
          <w:numId w:val="11"/>
        </w:numPr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A</m:t>
            </m:r>
          </m:e>
          <m:sub>
            <m:r>
              <w:rPr>
                <w:rFonts w:ascii="Cambria Math" w:hAnsi="Cambria Math" w:cs="Arial"/>
              </w:rPr>
              <m:t>0</m:t>
            </m:r>
          </m:sub>
        </m:sSub>
        <m:r>
          <w:rPr>
            <w:rFonts w:ascii="Cambria Math" w:hAnsi="Cambria Math" w:cs="Arial"/>
          </w:rPr>
          <m:t>=3.2</m:t>
        </m:r>
      </m:oMath>
      <w:r w:rsidR="007D62F1" w:rsidRPr="007D62F1">
        <w:rPr>
          <w:rFonts w:ascii="Arial" w:hAnsi="Arial" w:cs="Arial"/>
        </w:rPr>
        <w:t xml:space="preserve">TBq on 01 August 2024 </w:t>
      </w:r>
    </w:p>
    <w:p w14:paraId="3AB3C66C" w14:textId="77777777" w:rsidR="007D62F1" w:rsidRPr="007D62F1" w:rsidRDefault="007D62F1" w:rsidP="007D62F1">
      <w:pPr>
        <w:numPr>
          <w:ilvl w:val="0"/>
          <w:numId w:val="11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Incident date = 15 October 2024 </w:t>
      </w:r>
    </w:p>
    <w:p w14:paraId="1DCFF68D" w14:textId="4D79E4FD" w:rsidR="007D62F1" w:rsidRPr="007D62F1" w:rsidRDefault="00A77F53" w:rsidP="007D62F1">
      <w:pPr>
        <w:numPr>
          <w:ilvl w:val="0"/>
          <w:numId w:val="11"/>
        </w:numPr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T</m:t>
            </m:r>
          </m:e>
          <m:sub>
            <m:r>
              <w:rPr>
                <w:rFonts w:ascii="Cambria Math" w:hAnsi="Cambria Math" w:cs="Arial"/>
              </w:rPr>
              <m:t>1</m:t>
            </m:r>
            <m:r>
              <m:rPr>
                <m:sty m:val="p"/>
              </m:rPr>
              <w:rPr>
                <w:rFonts w:ascii="Cambria Math" w:hAnsi="Cambria Math" w:cs="Arial"/>
              </w:rPr>
              <m:t>/</m:t>
            </m:r>
            <m:r>
              <w:rPr>
                <w:rFonts w:ascii="Cambria Math" w:hAnsi="Cambria Math" w:cs="Arial"/>
              </w:rPr>
              <m:t>2</m:t>
            </m:r>
          </m:sub>
        </m:sSub>
        <m:r>
          <w:rPr>
            <w:rFonts w:ascii="Cambria Math" w:hAnsi="Cambria Math" w:cs="Arial"/>
          </w:rPr>
          <m:t>=73.8</m:t>
        </m:r>
      </m:oMath>
      <w:r w:rsidR="007D62F1" w:rsidRPr="007D62F1">
        <w:rPr>
          <w:rFonts w:ascii="Arial" w:hAnsi="Arial" w:cs="Arial"/>
        </w:rPr>
        <w:t xml:space="preserve">days </w:t>
      </w:r>
    </w:p>
    <w:p w14:paraId="4E32467B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Elapsed time from 01 August to 15 October is about </w:t>
      </w:r>
      <w:r w:rsidRPr="007D62F1">
        <w:rPr>
          <w:rFonts w:ascii="Arial" w:hAnsi="Arial" w:cs="Arial"/>
          <w:b/>
          <w:bCs/>
        </w:rPr>
        <w:t>75 days</w:t>
      </w:r>
      <w:r w:rsidRPr="007D62F1">
        <w:rPr>
          <w:rFonts w:ascii="Arial" w:hAnsi="Arial" w:cs="Arial"/>
        </w:rPr>
        <w:t>.</w:t>
      </w:r>
    </w:p>
    <w:p w14:paraId="79C6AC8E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Use:</w:t>
      </w:r>
    </w:p>
    <w:p w14:paraId="55D6B58D" w14:textId="274DFF45" w:rsidR="007D62F1" w:rsidRPr="007D62F1" w:rsidRDefault="007D62F1" w:rsidP="007D62F1">
      <w:pPr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A=</m:t>
          </m:r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A</m:t>
              </m:r>
            </m:e>
            <m:sub>
              <m:r>
                <w:rPr>
                  <w:rFonts w:ascii="Cambria Math" w:hAnsi="Cambria Math" w:cs="Arial"/>
                </w:rPr>
                <m:t>0</m:t>
              </m:r>
            </m:sub>
          </m:sSub>
          <m:r>
            <w:rPr>
              <w:rFonts w:ascii="Cambria Math" w:hAnsi="Cambria Math" w:cs="Arial"/>
            </w:rPr>
            <m:t>×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w:rPr>
                  <w:rFonts w:ascii="Cambria Math" w:hAnsi="Cambria Math" w:cs="Arial"/>
                </w:rPr>
                <m:t>2</m:t>
              </m:r>
            </m:e>
            <m:sup>
              <m:r>
                <w:rPr>
                  <w:rFonts w:ascii="Cambria Math" w:hAnsi="Cambria Math" w:cs="Arial"/>
                </w:rPr>
                <m:t>-t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/</m:t>
              </m:r>
              <m:sSub>
                <m:sSubPr>
                  <m:ctrlPr>
                    <w:rPr>
                      <w:rFonts w:ascii="Cambria Math" w:hAnsi="Cambria Math" w:cs="Arial"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/</m:t>
                  </m:r>
                  <m:r>
                    <w:rPr>
                      <w:rFonts w:ascii="Cambria Math" w:hAnsi="Cambria Math" w:cs="Arial"/>
                    </w:rPr>
                    <m:t>2</m:t>
                  </m:r>
                </m:sub>
              </m:sSub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r>
            <w:rPr>
              <w:rFonts w:ascii="Cambria Math" w:hAnsi="Cambria Math" w:cs="Arial"/>
            </w:rPr>
            <m:t>A=3.2×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w:rPr>
                  <w:rFonts w:ascii="Cambria Math" w:hAnsi="Cambria Math" w:cs="Arial"/>
                </w:rPr>
                <m:t>2</m:t>
              </m:r>
            </m:e>
            <m:sup>
              <m:r>
                <w:rPr>
                  <w:rFonts w:ascii="Cambria Math" w:hAnsi="Cambria Math" w:cs="Arial"/>
                </w:rPr>
                <m:t>-75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/</m:t>
              </m:r>
              <m:r>
                <w:rPr>
                  <w:rFonts w:ascii="Cambria Math" w:hAnsi="Cambria Math" w:cs="Arial"/>
                </w:rPr>
                <m:t>73.8</m:t>
              </m:r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75</m:t>
              </m:r>
            </m:num>
            <m:den>
              <m:r>
                <w:rPr>
                  <w:rFonts w:ascii="Cambria Math" w:hAnsi="Cambria Math" w:cs="Arial"/>
                </w:rPr>
                <m:t>73.8</m:t>
              </m:r>
            </m:den>
          </m:f>
          <m:r>
            <w:rPr>
              <w:rFonts w:ascii="Cambria Math" w:hAnsi="Cambria Math" w:cs="Arial"/>
            </w:rPr>
            <m:t>≈1.016</m:t>
          </m:r>
          <m:r>
            <w:rPr>
              <w:rFonts w:ascii="Arial" w:hAnsi="Arial" w:cs="Arial"/>
            </w:rPr>
            <w:br/>
          </m:r>
        </m:oMath>
        <m:oMath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w:rPr>
                  <w:rFonts w:ascii="Cambria Math" w:hAnsi="Cambria Math" w:cs="Arial"/>
                </w:rPr>
                <m:t>2</m:t>
              </m:r>
            </m:e>
            <m:sup>
              <m:r>
                <w:rPr>
                  <w:rFonts w:ascii="Cambria Math" w:hAnsi="Cambria Math" w:cs="Arial"/>
                </w:rPr>
                <m:t>-1.016</m:t>
              </m:r>
            </m:sup>
          </m:sSup>
          <m:r>
            <w:rPr>
              <w:rFonts w:ascii="Cambria Math" w:hAnsi="Cambria Math" w:cs="Arial"/>
            </w:rPr>
            <m:t>≈0.494</m:t>
          </m:r>
          <m:r>
            <w:rPr>
              <w:rFonts w:ascii="Arial" w:hAnsi="Arial" w:cs="Arial"/>
            </w:rPr>
            <w:br/>
          </m:r>
        </m:oMath>
        <m:oMath>
          <m:r>
            <w:rPr>
              <w:rFonts w:ascii="Cambria Math" w:hAnsi="Cambria Math" w:cs="Arial"/>
            </w:rPr>
            <m:t>A≈3.2×0.494≈1.58</m:t>
          </m:r>
          <m:r>
            <m:rPr>
              <m:nor/>
            </m:rPr>
            <w:rPr>
              <w:rFonts w:ascii="Arial" w:hAnsi="Arial" w:cs="Arial"/>
            </w:rPr>
            <m:t xml:space="preserve"> TBq</m:t>
          </m:r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28FFC6B4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So the source activity on 15 October 2024 is about:</w:t>
      </w:r>
    </w:p>
    <w:p w14:paraId="7776B11E" w14:textId="7E589F9B" w:rsidR="007D62F1" w:rsidRPr="007D62F1" w:rsidRDefault="007D62F1" w:rsidP="007D62F1">
      <w:pPr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A≈1.6</m:t>
          </m:r>
          <m:r>
            <m:rPr>
              <m:nor/>
            </m:rPr>
            <w:rPr>
              <w:rFonts w:ascii="Arial" w:hAnsi="Arial" w:cs="Arial"/>
            </w:rPr>
            <m:t xml:space="preserve"> TBq</m:t>
          </m:r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1F75C1EA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Accept about </w:t>
      </w:r>
      <w:r w:rsidRPr="007D62F1">
        <w:rPr>
          <w:rFonts w:ascii="Arial" w:hAnsi="Arial" w:cs="Arial"/>
          <w:b/>
          <w:bCs/>
        </w:rPr>
        <w:t>1.55–1.60 TBq</w:t>
      </w:r>
      <w:r w:rsidRPr="007D62F1">
        <w:rPr>
          <w:rFonts w:ascii="Arial" w:hAnsi="Arial" w:cs="Arial"/>
        </w:rPr>
        <w:t>.</w:t>
      </w:r>
    </w:p>
    <w:p w14:paraId="039CE4C9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6F710C9A">
          <v:rect id="_x0000_i1028" style="width:0;height:1.5pt" o:hralign="center" o:hrstd="t" o:hr="t" fillcolor="#a0a0a0" stroked="f"/>
        </w:pict>
      </w:r>
    </w:p>
    <w:p w14:paraId="35019E08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2.3 Unshielded dose-rate at 1 m</w:t>
      </w:r>
    </w:p>
    <w:p w14:paraId="1A18566D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Using the Ir-192 gamma constant from the student guide:</w:t>
      </w:r>
    </w:p>
    <w:p w14:paraId="32B84BF2" w14:textId="1B34196A" w:rsidR="007D62F1" w:rsidRPr="007D62F1" w:rsidRDefault="007D62F1" w:rsidP="007D62F1">
      <w:pPr>
        <w:rPr>
          <w:rFonts w:ascii="Arial" w:hAnsi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>Γ</m:t>
          </m:r>
          <m:r>
            <w:rPr>
              <w:rFonts w:ascii="Cambria Math" w:hAnsi="Cambria Math" w:cs="Arial"/>
            </w:rPr>
            <m:t>≈0.13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mSv m</m:t>
              </m:r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GBq</m:t>
              </m:r>
            </m:e>
            <m:sup>
              <m:r>
                <w:rPr>
                  <w:rFonts w:ascii="Cambria Math" w:hAnsi="Cambria Math" w:cs="Arial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h</m:t>
              </m:r>
            </m:e>
            <m:sup>
              <m:r>
                <w:rPr>
                  <w:rFonts w:ascii="Cambria Math" w:hAnsi="Cambria Math" w:cs="Arial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63464D2B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Convert activity:</w:t>
      </w:r>
    </w:p>
    <w:p w14:paraId="1B0B44B0" w14:textId="06568455" w:rsidR="007D62F1" w:rsidRPr="007D62F1" w:rsidRDefault="007D62F1" w:rsidP="007D62F1">
      <w:pPr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1.58</m:t>
          </m:r>
          <m:r>
            <m:rPr>
              <m:nor/>
            </m:rPr>
            <w:rPr>
              <w:rFonts w:ascii="Arial" w:hAnsi="Arial" w:cs="Arial"/>
            </w:rPr>
            <m:t xml:space="preserve"> TBq</m:t>
          </m:r>
          <m:r>
            <w:rPr>
              <w:rFonts w:ascii="Cambria Math" w:hAnsi="Cambria Math" w:cs="Arial"/>
            </w:rPr>
            <m:t>=1580</m:t>
          </m:r>
          <m:r>
            <m:rPr>
              <m:nor/>
            </m:rPr>
            <w:rPr>
              <w:rFonts w:ascii="Arial" w:hAnsi="Arial" w:cs="Arial"/>
            </w:rPr>
            <m:t xml:space="preserve"> GBq</m:t>
          </m:r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1A56D427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Then:</w:t>
      </w:r>
    </w:p>
    <w:p w14:paraId="1015A933" w14:textId="335349D1" w:rsidR="007D62F1" w:rsidRPr="007D62F1" w:rsidRDefault="00A77F53" w:rsidP="007D62F1">
      <w:pPr>
        <w:rPr>
          <w:rFonts w:ascii="Arial" w:hAnsi="Arial" w:cs="Arial"/>
        </w:rPr>
      </w:pPr>
      <m:oMathPara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(1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)=</m:t>
          </m:r>
          <m:r>
            <m:rPr>
              <m:sty m:val="p"/>
            </m:rPr>
            <w:rPr>
              <w:rFonts w:ascii="Cambria Math" w:hAnsi="Cambria Math" w:cs="Arial"/>
            </w:rPr>
            <m:t>Γ</m:t>
          </m:r>
          <m:r>
            <w:rPr>
              <w:rFonts w:ascii="Cambria Math" w:hAnsi="Cambria Math" w:cs="Arial"/>
            </w:rPr>
            <m:t>A</m:t>
          </m:r>
          <m:r>
            <w:rPr>
              <w:rFonts w:ascii="Arial" w:hAnsi="Arial" w:cs="Arial"/>
            </w:rPr>
            <w:br/>
          </m:r>
        </m:oMath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(1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)≈0.13×1580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mSv h</m:t>
              </m:r>
            </m:e>
            <m:sup>
              <m:r>
                <w:rPr>
                  <w:rFonts w:ascii="Cambria Math" w:hAnsi="Cambria Math" w:cs="Arial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(1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)≈205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mSv h</m:t>
              </m:r>
            </m:e>
            <m:sup>
              <m:r>
                <w:rPr>
                  <w:rFonts w:ascii="Cambria Math" w:hAnsi="Cambria Math" w:cs="Arial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(1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)≈0.21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2A08B284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So the unshielded dose rate at 1 m is about </w:t>
      </w:r>
      <w:r w:rsidRPr="007D62F1">
        <w:rPr>
          <w:rFonts w:ascii="Arial" w:hAnsi="Arial" w:cs="Arial"/>
          <w:b/>
          <w:bCs/>
        </w:rPr>
        <w:t>0.21 Sv h^-1</w:t>
      </w:r>
      <w:r w:rsidRPr="007D62F1">
        <w:rPr>
          <w:rFonts w:ascii="Arial" w:hAnsi="Arial" w:cs="Arial"/>
        </w:rPr>
        <w:t>.</w:t>
      </w:r>
    </w:p>
    <w:p w14:paraId="2AB53324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A good report may comment that the point-source approximation is reasonable for a hand calculation, but that the actual field may be modified by guide-tube geometry, projector shielding and source position within the system.</w:t>
      </w:r>
    </w:p>
    <w:p w14:paraId="0477C6F8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5EFD656E">
          <v:rect id="_x0000_i1029" style="width:0;height:1.5pt" o:hralign="center" o:hrstd="t" o:hr="t" fillcolor="#a0a0a0" stroked="f"/>
        </w:pict>
      </w:r>
    </w:p>
    <w:p w14:paraId="0218D83D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2.4 Dose-rate at 0.7 m</w:t>
      </w:r>
    </w:p>
    <w:p w14:paraId="0E2C3BDC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The technician remained within approximately </w:t>
      </w:r>
      <w:r w:rsidRPr="007D62F1">
        <w:rPr>
          <w:rFonts w:ascii="Arial" w:hAnsi="Arial" w:cs="Arial"/>
          <w:b/>
          <w:bCs/>
        </w:rPr>
        <w:t>0.7 m</w:t>
      </w:r>
      <w:r w:rsidRPr="007D62F1">
        <w:rPr>
          <w:rFonts w:ascii="Arial" w:hAnsi="Arial" w:cs="Arial"/>
        </w:rPr>
        <w:t xml:space="preserve"> of the source position.</w:t>
      </w:r>
    </w:p>
    <w:p w14:paraId="52011408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Using inverse-square scaling:</w:t>
      </w:r>
    </w:p>
    <w:p w14:paraId="0E6A4EBA" w14:textId="6A5CCA23" w:rsidR="007D62F1" w:rsidRPr="007D62F1" w:rsidRDefault="00A77F53" w:rsidP="007D62F1">
      <w:pPr>
        <w:rPr>
          <w:rFonts w:ascii="Arial" w:hAnsi="Arial" w:cs="Arial"/>
        </w:rPr>
      </w:pPr>
      <m:oMathPara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(0.7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0.205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0.7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(0.7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0.205</m:t>
              </m:r>
            </m:num>
            <m:den>
              <m:r>
                <w:rPr>
                  <w:rFonts w:ascii="Cambria Math" w:hAnsi="Cambria Math" w:cs="Arial"/>
                </w:rPr>
                <m:t>0.49</m:t>
              </m:r>
            </m:den>
          </m:f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(0.7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)≈0.418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1F5AE48D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So a reasonable estimate is:</w:t>
      </w:r>
    </w:p>
    <w:p w14:paraId="7CFECACA" w14:textId="4E5CBE75" w:rsidR="007D62F1" w:rsidRPr="007D62F1" w:rsidRDefault="00A77F53" w:rsidP="007D62F1">
      <w:pPr>
        <w:rPr>
          <w:rFonts w:ascii="Arial" w:hAnsi="Arial" w:cs="Arial"/>
        </w:rPr>
      </w:pPr>
      <m:oMathPara>
        <m:oMath>
          <m:acc>
            <m:accPr>
              <m:chr m:val="̇"/>
              <m:ctrlPr>
                <w:rPr>
                  <w:rFonts w:ascii="Cambria Math" w:hAnsi="Cambria Math" w:cs="Arial"/>
                </w:rPr>
              </m:ctrlPr>
            </m:accPr>
            <m:e>
              <m:r>
                <w:rPr>
                  <w:rFonts w:ascii="Cambria Math" w:hAnsi="Cambria Math" w:cs="Arial"/>
                </w:rPr>
                <m:t>H</m:t>
              </m:r>
            </m:e>
          </m:acc>
          <m:r>
            <w:rPr>
              <w:rFonts w:ascii="Cambria Math" w:hAnsi="Cambria Math" w:cs="Arial"/>
            </w:rPr>
            <m:t>(0.7</m:t>
          </m:r>
          <m:r>
            <m:rPr>
              <m:nor/>
            </m:rPr>
            <w:rPr>
              <w:rFonts w:ascii="Arial" w:hAnsi="Arial" w:cs="Arial"/>
            </w:rPr>
            <m:t xml:space="preserve"> m</m:t>
          </m:r>
          <m:r>
            <w:rPr>
              <w:rFonts w:ascii="Cambria Math" w:hAnsi="Cambria Math" w:cs="Arial"/>
            </w:rPr>
            <m:t>)≈0.42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55B691DB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3A2925F9">
          <v:rect id="_x0000_i1030" style="width:0;height:1.5pt" o:hralign="center" o:hrstd="t" o:hr="t" fillcolor="#a0a0a0" stroked="f"/>
        </w:pict>
      </w:r>
    </w:p>
    <w:p w14:paraId="58065CBE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2.5 Effective dose estimate</w:t>
      </w:r>
    </w:p>
    <w:p w14:paraId="0720CB3B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Exposure duration is estimated as </w:t>
      </w:r>
      <w:r w:rsidRPr="007D62F1">
        <w:rPr>
          <w:rFonts w:ascii="Arial" w:hAnsi="Arial" w:cs="Arial"/>
          <w:b/>
          <w:bCs/>
        </w:rPr>
        <w:t>5–6 minutes</w:t>
      </w:r>
      <w:r w:rsidRPr="007D62F1">
        <w:rPr>
          <w:rFonts w:ascii="Arial" w:hAnsi="Arial" w:cs="Arial"/>
        </w:rPr>
        <w:t>.</w:t>
      </w:r>
    </w:p>
    <w:p w14:paraId="1021409F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For </w:t>
      </w:r>
      <w:r w:rsidRPr="007D62F1">
        <w:rPr>
          <w:rFonts w:ascii="Arial" w:hAnsi="Arial" w:cs="Arial"/>
          <w:b/>
          <w:bCs/>
        </w:rPr>
        <w:t>5 minutes</w:t>
      </w:r>
      <w:r w:rsidRPr="007D62F1">
        <w:rPr>
          <w:rFonts w:ascii="Arial" w:hAnsi="Arial" w:cs="Arial"/>
        </w:rPr>
        <w:t>:</w:t>
      </w:r>
    </w:p>
    <w:p w14:paraId="66B8D15A" w14:textId="640C28F7" w:rsidR="007D62F1" w:rsidRPr="007D62F1" w:rsidRDefault="007D62F1" w:rsidP="007D62F1">
      <w:pPr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D=0.418×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5</m:t>
              </m:r>
            </m:num>
            <m:den>
              <m:r>
                <w:rPr>
                  <w:rFonts w:ascii="Cambria Math" w:hAnsi="Cambria Math" w:cs="Arial"/>
                </w:rPr>
                <m:t>60</m:t>
              </m:r>
            </m:den>
          </m:f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r>
            <w:rPr>
              <w:rFonts w:ascii="Cambria Math" w:hAnsi="Cambria Math" w:cs="Arial"/>
            </w:rPr>
            <m:t>D≈0.0348</m:t>
          </m:r>
          <m:r>
            <m:rPr>
              <m:nor/>
            </m:rPr>
            <w:rPr>
              <w:rFonts w:ascii="Arial" w:hAnsi="Arial" w:cs="Arial"/>
            </w:rPr>
            <m:t xml:space="preserve"> Sv</m:t>
          </m:r>
          <m:r>
            <w:rPr>
              <w:rFonts w:ascii="Cambria Math" w:hAnsi="Cambria Math" w:cs="Arial"/>
            </w:rPr>
            <m:t>=34.8</m:t>
          </m:r>
          <m:r>
            <m:rPr>
              <m:nor/>
            </m:rPr>
            <w:rPr>
              <w:rFonts w:ascii="Arial" w:hAnsi="Arial" w:cs="Arial"/>
            </w:rPr>
            <m:t xml:space="preserve"> mSv</m:t>
          </m:r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5B444F5F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For </w:t>
      </w:r>
      <w:r w:rsidRPr="007D62F1">
        <w:rPr>
          <w:rFonts w:ascii="Arial" w:hAnsi="Arial" w:cs="Arial"/>
          <w:b/>
          <w:bCs/>
        </w:rPr>
        <w:t>6 minutes</w:t>
      </w:r>
      <w:r w:rsidRPr="007D62F1">
        <w:rPr>
          <w:rFonts w:ascii="Arial" w:hAnsi="Arial" w:cs="Arial"/>
        </w:rPr>
        <w:t>:</w:t>
      </w:r>
    </w:p>
    <w:p w14:paraId="66A5DC01" w14:textId="7A50BD0E" w:rsidR="007D62F1" w:rsidRPr="007D62F1" w:rsidRDefault="007D62F1" w:rsidP="007D62F1">
      <w:pPr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D=0.418×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6</m:t>
              </m:r>
            </m:num>
            <m:den>
              <m:r>
                <w:rPr>
                  <w:rFonts w:ascii="Cambria Math" w:hAnsi="Cambria Math" w:cs="Arial"/>
                </w:rPr>
                <m:t>60</m:t>
              </m:r>
            </m:den>
          </m:f>
          <m:r>
            <m:rPr>
              <m:sty m:val="p"/>
            </m:rPr>
            <w:rPr>
              <w:rFonts w:ascii="Arial" w:hAnsi="Arial" w:cs="Arial"/>
            </w:rPr>
            <w:br/>
          </m:r>
        </m:oMath>
        <m:oMath>
          <m:r>
            <w:rPr>
              <w:rFonts w:ascii="Cambria Math" w:hAnsi="Cambria Math" w:cs="Arial"/>
            </w:rPr>
            <m:t>D≈0.0418</m:t>
          </m:r>
          <m:r>
            <m:rPr>
              <m:nor/>
            </m:rPr>
            <w:rPr>
              <w:rFonts w:ascii="Arial" w:hAnsi="Arial" w:cs="Arial"/>
            </w:rPr>
            <m:t xml:space="preserve"> Sv</m:t>
          </m:r>
          <m:r>
            <w:rPr>
              <w:rFonts w:ascii="Cambria Math" w:hAnsi="Cambria Math" w:cs="Arial"/>
            </w:rPr>
            <m:t>=41.8</m:t>
          </m:r>
          <m:r>
            <m:rPr>
              <m:nor/>
            </m:rPr>
            <w:rPr>
              <w:rFonts w:ascii="Arial" w:hAnsi="Arial" w:cs="Arial"/>
            </w:rPr>
            <m:t xml:space="preserve"> mSv</m:t>
          </m:r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03F6132B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So a defensible dose band is:</w:t>
      </w:r>
    </w:p>
    <w:p w14:paraId="124A1551" w14:textId="03211D31" w:rsidR="007D62F1" w:rsidRPr="007D62F1" w:rsidRDefault="007D62F1" w:rsidP="007D62F1">
      <w:pPr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D≈35</m:t>
          </m:r>
          <m:r>
            <m:rPr>
              <m:nor/>
            </m:rPr>
            <w:rPr>
              <w:rFonts w:ascii="Arial" w:hAnsi="Arial" w:cs="Arial"/>
            </w:rPr>
            <m:t>–</m:t>
          </m:r>
          <m:r>
            <w:rPr>
              <w:rFonts w:ascii="Cambria Math" w:hAnsi="Cambria Math" w:cs="Arial"/>
            </w:rPr>
            <m:t>42</m:t>
          </m:r>
          <m:r>
            <m:rPr>
              <m:nor/>
            </m:rPr>
            <w:rPr>
              <w:rFonts w:ascii="Arial" w:hAnsi="Arial" w:cs="Arial"/>
            </w:rPr>
            <m:t xml:space="preserve"> mSv</m:t>
          </m:r>
          <m:r>
            <m:rPr>
              <m:sty m:val="p"/>
            </m:rPr>
            <w:rPr>
              <w:rFonts w:ascii="Arial" w:hAnsi="Arial" w:cs="Arial"/>
            </w:rPr>
            <w:br/>
          </m:r>
        </m:oMath>
      </m:oMathPara>
    </w:p>
    <w:p w14:paraId="3F207CD9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A useful central estimate is around </w:t>
      </w:r>
      <w:r w:rsidRPr="007D62F1">
        <w:rPr>
          <w:rFonts w:ascii="Arial" w:hAnsi="Arial" w:cs="Arial"/>
          <w:b/>
          <w:bCs/>
        </w:rPr>
        <w:t>38–40 mSv</w:t>
      </w:r>
      <w:r w:rsidRPr="007D62F1">
        <w:rPr>
          <w:rFonts w:ascii="Arial" w:hAnsi="Arial" w:cs="Arial"/>
        </w:rPr>
        <w:t>.</w:t>
      </w:r>
    </w:p>
    <w:p w14:paraId="5C62620E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pict w14:anchorId="57A28258">
          <v:rect id="_x0000_i1031" style="width:0;height:1.5pt" o:hralign="center" o:hrstd="t" o:hr="t" fillcolor="#a0a0a0" stroked="f"/>
        </w:pict>
      </w:r>
    </w:p>
    <w:p w14:paraId="45588907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3. Comparison with recorded dosimetry</w:t>
      </w:r>
    </w:p>
    <w:p w14:paraId="708DB87E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Recorded values were:</w:t>
      </w:r>
    </w:p>
    <w:p w14:paraId="07EBA9A5" w14:textId="77777777" w:rsidR="007D62F1" w:rsidRPr="007D62F1" w:rsidRDefault="007D62F1" w:rsidP="007D62F1">
      <w:pPr>
        <w:numPr>
          <w:ilvl w:val="0"/>
          <w:numId w:val="12"/>
        </w:numPr>
        <w:rPr>
          <w:rFonts w:ascii="Arial" w:hAnsi="Arial" w:cs="Arial"/>
        </w:rPr>
      </w:pPr>
      <w:r w:rsidRPr="007D62F1">
        <w:rPr>
          <w:rFonts w:ascii="Arial" w:hAnsi="Arial" w:cs="Arial"/>
          <w:b/>
          <w:bCs/>
        </w:rPr>
        <w:t>EPD dose: 27.0 mSv</w:t>
      </w:r>
      <w:r w:rsidRPr="007D62F1">
        <w:rPr>
          <w:rFonts w:ascii="Arial" w:hAnsi="Arial" w:cs="Arial"/>
        </w:rPr>
        <w:t xml:space="preserve"> </w:t>
      </w:r>
    </w:p>
    <w:p w14:paraId="76D7D9C2" w14:textId="77777777" w:rsidR="007D62F1" w:rsidRPr="007D62F1" w:rsidRDefault="007D62F1" w:rsidP="007D62F1">
      <w:pPr>
        <w:numPr>
          <w:ilvl w:val="0"/>
          <w:numId w:val="12"/>
        </w:numPr>
        <w:rPr>
          <w:rFonts w:ascii="Arial" w:hAnsi="Arial" w:cs="Arial"/>
        </w:rPr>
      </w:pPr>
      <w:r w:rsidRPr="007D62F1">
        <w:rPr>
          <w:rFonts w:ascii="Arial" w:hAnsi="Arial" w:cs="Arial"/>
          <w:b/>
          <w:bCs/>
        </w:rPr>
        <w:t>TLD dose: 35.6 mSv</w:t>
      </w:r>
      <w:r w:rsidRPr="007D62F1">
        <w:rPr>
          <w:rFonts w:ascii="Arial" w:hAnsi="Arial" w:cs="Arial"/>
        </w:rPr>
        <w:t xml:space="preserve"> </w:t>
      </w:r>
    </w:p>
    <w:p w14:paraId="51C9D7DE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The calculated dose of about </w:t>
      </w:r>
      <w:r w:rsidRPr="007D62F1">
        <w:rPr>
          <w:rFonts w:ascii="Arial" w:hAnsi="Arial" w:cs="Arial"/>
          <w:b/>
          <w:bCs/>
        </w:rPr>
        <w:t>35–42 mSv</w:t>
      </w:r>
      <w:r w:rsidRPr="007D62F1">
        <w:rPr>
          <w:rFonts w:ascii="Arial" w:hAnsi="Arial" w:cs="Arial"/>
        </w:rPr>
        <w:t xml:space="preserve"> is broadly consistent with the recorded dosimetry.</w:t>
      </w:r>
    </w:p>
    <w:p w14:paraId="476B4B2C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This is a good point for discussion rather than over-precision. Credit discussion of:</w:t>
      </w:r>
    </w:p>
    <w:p w14:paraId="7A2FA38F" w14:textId="77777777" w:rsidR="007D62F1" w:rsidRPr="007D62F1" w:rsidRDefault="007D62F1" w:rsidP="007D62F1">
      <w:pPr>
        <w:numPr>
          <w:ilvl w:val="0"/>
          <w:numId w:val="13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non-uniform field geometry, </w:t>
      </w:r>
    </w:p>
    <w:p w14:paraId="10A29738" w14:textId="77777777" w:rsidR="007D62F1" w:rsidRPr="007D62F1" w:rsidRDefault="007D62F1" w:rsidP="007D62F1">
      <w:pPr>
        <w:numPr>
          <w:ilvl w:val="0"/>
          <w:numId w:val="13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possible partial shielding by the projector body and guide tube, </w:t>
      </w:r>
    </w:p>
    <w:p w14:paraId="488FF2F8" w14:textId="77777777" w:rsidR="007D62F1" w:rsidRPr="007D62F1" w:rsidRDefault="007D62F1" w:rsidP="007D62F1">
      <w:pPr>
        <w:numPr>
          <w:ilvl w:val="0"/>
          <w:numId w:val="13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body orientation during dismantling, </w:t>
      </w:r>
    </w:p>
    <w:p w14:paraId="5568F3B4" w14:textId="77777777" w:rsidR="007D62F1" w:rsidRPr="007D62F1" w:rsidRDefault="007D62F1" w:rsidP="007D62F1">
      <w:pPr>
        <w:numPr>
          <w:ilvl w:val="0"/>
          <w:numId w:val="13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difference between chest-mounted EPD and belt-mounted TLD, </w:t>
      </w:r>
    </w:p>
    <w:p w14:paraId="365A118A" w14:textId="77777777" w:rsidR="007D62F1" w:rsidRPr="007D62F1" w:rsidRDefault="007D62F1" w:rsidP="007D62F1">
      <w:pPr>
        <w:numPr>
          <w:ilvl w:val="0"/>
          <w:numId w:val="13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movement during the exposure interval, </w:t>
      </w:r>
    </w:p>
    <w:p w14:paraId="385FAA1C" w14:textId="77777777" w:rsidR="007D62F1" w:rsidRPr="007D62F1" w:rsidRDefault="007D62F1" w:rsidP="007D62F1">
      <w:pPr>
        <w:numPr>
          <w:ilvl w:val="0"/>
          <w:numId w:val="13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and uncertainty in the exact source-to-torso distance. </w:t>
      </w:r>
    </w:p>
    <w:p w14:paraId="490DB8E2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The fact that the </w:t>
      </w:r>
      <w:r w:rsidRPr="007D62F1">
        <w:rPr>
          <w:rFonts w:ascii="Arial" w:hAnsi="Arial" w:cs="Arial"/>
          <w:b/>
          <w:bCs/>
        </w:rPr>
        <w:t>TLD is closer to the calculated range than the EPD</w:t>
      </w:r>
      <w:r w:rsidRPr="007D62F1">
        <w:rPr>
          <w:rFonts w:ascii="Arial" w:hAnsi="Arial" w:cs="Arial"/>
        </w:rPr>
        <w:t xml:space="preserve"> is entirely plausible and should not be treated as a contradiction.</w:t>
      </w:r>
    </w:p>
    <w:p w14:paraId="2E7A7F3C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The best answers explain discrepancy qualitatively rather than forcing exact agreement.</w:t>
      </w:r>
    </w:p>
    <w:p w14:paraId="2C6FDF10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106F4F5A">
          <v:rect id="_x0000_i1032" style="width:0;height:1.5pt" o:hralign="center" o:hrstd="t" o:hr="t" fillcolor="#a0a0a0" stroked="f"/>
        </w:pict>
      </w:r>
    </w:p>
    <w:p w14:paraId="5ACD407A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4. Health implications</w:t>
      </w:r>
    </w:p>
    <w:p w14:paraId="0F2F7618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At doses in the range of </w:t>
      </w:r>
      <w:r w:rsidRPr="007D62F1">
        <w:rPr>
          <w:rFonts w:ascii="Arial" w:hAnsi="Arial" w:cs="Arial"/>
          <w:b/>
          <w:bCs/>
        </w:rPr>
        <w:t>tens of millisievert</w:t>
      </w:r>
      <w:r w:rsidRPr="007D62F1">
        <w:rPr>
          <w:rFonts w:ascii="Arial" w:hAnsi="Arial" w:cs="Arial"/>
        </w:rPr>
        <w:t>:</w:t>
      </w:r>
    </w:p>
    <w:p w14:paraId="2AD22E2B" w14:textId="77777777" w:rsidR="007D62F1" w:rsidRPr="007D62F1" w:rsidRDefault="007D62F1" w:rsidP="007D62F1">
      <w:pPr>
        <w:numPr>
          <w:ilvl w:val="0"/>
          <w:numId w:val="14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deterministic whole-body effects would </w:t>
      </w:r>
      <w:r w:rsidRPr="007D62F1">
        <w:rPr>
          <w:rFonts w:ascii="Arial" w:hAnsi="Arial" w:cs="Arial"/>
          <w:b/>
          <w:bCs/>
        </w:rPr>
        <w:t>not normally be expected</w:t>
      </w:r>
      <w:r w:rsidRPr="007D62F1">
        <w:rPr>
          <w:rFonts w:ascii="Arial" w:hAnsi="Arial" w:cs="Arial"/>
        </w:rPr>
        <w:t xml:space="preserve"> </w:t>
      </w:r>
    </w:p>
    <w:p w14:paraId="5C41EAFB" w14:textId="77777777" w:rsidR="007D62F1" w:rsidRPr="007D62F1" w:rsidRDefault="007D62F1" w:rsidP="007D62F1">
      <w:pPr>
        <w:numPr>
          <w:ilvl w:val="0"/>
          <w:numId w:val="14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the primary radiological consequence is </w:t>
      </w:r>
      <w:r w:rsidRPr="007D62F1">
        <w:rPr>
          <w:rFonts w:ascii="Arial" w:hAnsi="Arial" w:cs="Arial"/>
          <w:b/>
          <w:bCs/>
        </w:rPr>
        <w:t>increased stochastic risk</w:t>
      </w:r>
      <w:r w:rsidRPr="007D62F1">
        <w:rPr>
          <w:rFonts w:ascii="Arial" w:hAnsi="Arial" w:cs="Arial"/>
        </w:rPr>
        <w:t xml:space="preserve"> </w:t>
      </w:r>
    </w:p>
    <w:p w14:paraId="67E08456" w14:textId="77777777" w:rsidR="007D62F1" w:rsidRPr="007D62F1" w:rsidRDefault="007D62F1" w:rsidP="007D62F1">
      <w:pPr>
        <w:numPr>
          <w:ilvl w:val="0"/>
          <w:numId w:val="14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the event is significant in occupational radiological protection terms </w:t>
      </w:r>
    </w:p>
    <w:p w14:paraId="2B41B953" w14:textId="77777777" w:rsidR="007D62F1" w:rsidRPr="007D62F1" w:rsidRDefault="007D62F1" w:rsidP="007D62F1">
      <w:pPr>
        <w:numPr>
          <w:ilvl w:val="0"/>
          <w:numId w:val="14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formal investigation, dose reconstruction and occupational health follow-up are appropriate </w:t>
      </w:r>
    </w:p>
    <w:p w14:paraId="136F7614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Students should avoid overstating acute radiation syndrome or prompt deterministic injury.</w:t>
      </w:r>
    </w:p>
    <w:p w14:paraId="36119756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A balanced answer will note that this is a serious overexposure in regulatory and professional terms, even though it is not a deterministic-injury case.</w:t>
      </w:r>
    </w:p>
    <w:p w14:paraId="5BE78F50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1943D9F5">
          <v:rect id="_x0000_i1033" style="width:0;height:1.5pt" o:hralign="center" o:hrstd="t" o:hr="t" fillcolor="#a0a0a0" stroked="f"/>
        </w:pict>
      </w:r>
    </w:p>
    <w:p w14:paraId="5D71DE6E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5. IRR17 compliance issues likely to be discussed</w:t>
      </w:r>
    </w:p>
    <w:p w14:paraId="746F1127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Likely issues include:</w:t>
      </w:r>
    </w:p>
    <w:p w14:paraId="63F1F449" w14:textId="77777777" w:rsidR="007D62F1" w:rsidRPr="007D62F1" w:rsidRDefault="007D62F1" w:rsidP="007D62F1">
      <w:pPr>
        <w:numPr>
          <w:ilvl w:val="0"/>
          <w:numId w:val="15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failure to maintain source-return arrangements and associated equipment in an efficient state and in good repair, given the progressive internal drive-cable wear and partial strand failure </w:t>
      </w:r>
    </w:p>
    <w:p w14:paraId="54357CBE" w14:textId="77777777" w:rsidR="007D62F1" w:rsidRPr="007D62F1" w:rsidRDefault="007D62F1" w:rsidP="007D62F1">
      <w:pPr>
        <w:numPr>
          <w:ilvl w:val="0"/>
          <w:numId w:val="15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inadequate confirmation of source return before dismantling commenced </w:t>
      </w:r>
    </w:p>
    <w:p w14:paraId="22FF7844" w14:textId="77777777" w:rsidR="007D62F1" w:rsidRPr="007D62F1" w:rsidRDefault="007D62F1" w:rsidP="007D62F1">
      <w:pPr>
        <w:numPr>
          <w:ilvl w:val="0"/>
          <w:numId w:val="15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lastRenderedPageBreak/>
        <w:t xml:space="preserve">failure adequately to restrict exposure so far as reasonably practicable once the true source position was unknown </w:t>
      </w:r>
    </w:p>
    <w:p w14:paraId="3DB58A1E" w14:textId="77777777" w:rsidR="007D62F1" w:rsidRPr="007D62F1" w:rsidRDefault="007D62F1" w:rsidP="007D62F1">
      <w:pPr>
        <w:numPr>
          <w:ilvl w:val="0"/>
          <w:numId w:val="15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weaknesses in operational verification, supervision, or procedural compliance </w:t>
      </w:r>
    </w:p>
    <w:p w14:paraId="78806A53" w14:textId="77777777" w:rsidR="007D62F1" w:rsidRPr="007D62F1" w:rsidRDefault="007D62F1" w:rsidP="007D62F1">
      <w:pPr>
        <w:numPr>
          <w:ilvl w:val="0"/>
          <w:numId w:val="15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the need for formal dose investigation and regulatory communication following the event </w:t>
      </w:r>
    </w:p>
    <w:p w14:paraId="717BF2A7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Better answers will apply IRR17 to the actual circumstances rather than quoting legislation at length.</w:t>
      </w:r>
    </w:p>
    <w:p w14:paraId="3B18DE4A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5B0D5090">
          <v:rect id="_x0000_i1034" style="width:0;height:1.5pt" o:hralign="center" o:hrstd="t" o:hr="t" fillcolor="#a0a0a0" stroked="f"/>
        </w:pict>
      </w:r>
    </w:p>
    <w:p w14:paraId="44148CD5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6. ONR SAP evaluation – indicative points</w:t>
      </w:r>
    </w:p>
    <w:p w14:paraId="636B99F3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Students are asked to evaluate the incident against EKP.5 Defence in Depth and two other SAPs of their choice. Award according to the SAPs they select, but likely themes include:</w:t>
      </w:r>
    </w:p>
    <w:p w14:paraId="31FDDF90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EKP.5 Defence in Depth</w:t>
      </w:r>
    </w:p>
    <w:p w14:paraId="73765A72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Multiple layers failed together:</w:t>
      </w:r>
    </w:p>
    <w:p w14:paraId="1E78BE07" w14:textId="77777777" w:rsidR="007D62F1" w:rsidRPr="007D62F1" w:rsidRDefault="007D62F1" w:rsidP="007D62F1">
      <w:pPr>
        <w:numPr>
          <w:ilvl w:val="0"/>
          <w:numId w:val="16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degraded internal drive cable, </w:t>
      </w:r>
    </w:p>
    <w:p w14:paraId="191EDAB4" w14:textId="77777777" w:rsidR="007D62F1" w:rsidRPr="007D62F1" w:rsidRDefault="007D62F1" w:rsidP="007D62F1">
      <w:pPr>
        <w:numPr>
          <w:ilvl w:val="0"/>
          <w:numId w:val="16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misleading mechanical indication, </w:t>
      </w:r>
    </w:p>
    <w:p w14:paraId="4FB8DBCB" w14:textId="77777777" w:rsidR="007D62F1" w:rsidRPr="007D62F1" w:rsidRDefault="007D62F1" w:rsidP="007D62F1">
      <w:pPr>
        <w:numPr>
          <w:ilvl w:val="0"/>
          <w:numId w:val="16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failure to identify the abnormal source position before close handling, </w:t>
      </w:r>
    </w:p>
    <w:p w14:paraId="01D4E1A0" w14:textId="77777777" w:rsidR="007D62F1" w:rsidRPr="007D62F1" w:rsidRDefault="007D62F1" w:rsidP="007D62F1">
      <w:pPr>
        <w:numPr>
          <w:ilvl w:val="0"/>
          <w:numId w:val="16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and insufficient radiological confirmation before dismantling. </w:t>
      </w:r>
    </w:p>
    <w:p w14:paraId="5EE079A9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Engineering safety / source control</w:t>
      </w:r>
    </w:p>
    <w:p w14:paraId="64A82DA0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A good answer may note that position indication and return verification should be sufficiently robust that incomplete source return cannot readily be mistaken for a safe condition.</w:t>
      </w:r>
    </w:p>
    <w:p w14:paraId="22EB2CD1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Human factors / procedures</w:t>
      </w:r>
    </w:p>
    <w:p w14:paraId="332311A9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The event shows the danger of interpreting a mechanical indicator as sufficient proof of source return without radiological confirmation. The technician’s reliance on an apparently normal end-stop condition is central to the incident.</w:t>
      </w:r>
    </w:p>
    <w:p w14:paraId="63696206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28D885DF">
          <v:rect id="_x0000_i1035" style="width:0;height:1.5pt" o:hralign="center" o:hrstd="t" o:hr="t" fillcolor="#a0a0a0" stroked="f"/>
        </w:pict>
      </w:r>
    </w:p>
    <w:p w14:paraId="5CE27404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7. Proportionate ALARP improvements</w:t>
      </w:r>
    </w:p>
    <w:p w14:paraId="7689B69C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Credit any proportionate, risk-reducing improvements justified in practical ALARP terms. Indicative points include:</w:t>
      </w:r>
    </w:p>
    <w:p w14:paraId="1C2F73DD" w14:textId="77777777" w:rsidR="007D62F1" w:rsidRPr="007D62F1" w:rsidRDefault="007D62F1" w:rsidP="007D62F1">
      <w:pPr>
        <w:numPr>
          <w:ilvl w:val="0"/>
          <w:numId w:val="17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strengthen inspection and preventive maintenance of drive cables and coupling arrangements </w:t>
      </w:r>
    </w:p>
    <w:p w14:paraId="637C9C0E" w14:textId="77777777" w:rsidR="007D62F1" w:rsidRPr="007D62F1" w:rsidRDefault="007D62F1" w:rsidP="007D62F1">
      <w:pPr>
        <w:numPr>
          <w:ilvl w:val="0"/>
          <w:numId w:val="17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replace worn components before continued service </w:t>
      </w:r>
    </w:p>
    <w:p w14:paraId="3E7BBCD2" w14:textId="77777777" w:rsidR="007D62F1" w:rsidRPr="007D62F1" w:rsidRDefault="007D62F1" w:rsidP="007D62F1">
      <w:pPr>
        <w:numPr>
          <w:ilvl w:val="0"/>
          <w:numId w:val="17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improve source-return verification procedures using both mechanical indication and radiation survey </w:t>
      </w:r>
    </w:p>
    <w:p w14:paraId="2C07A82C" w14:textId="77777777" w:rsidR="007D62F1" w:rsidRPr="007D62F1" w:rsidRDefault="007D62F1" w:rsidP="007D62F1">
      <w:pPr>
        <w:numPr>
          <w:ilvl w:val="0"/>
          <w:numId w:val="17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require safe-condition confirmation before dismantling guide tubes and associated equipment </w:t>
      </w:r>
    </w:p>
    <w:p w14:paraId="3CCB5855" w14:textId="77777777" w:rsidR="007D62F1" w:rsidRPr="007D62F1" w:rsidRDefault="007D62F1" w:rsidP="007D62F1">
      <w:pPr>
        <w:numPr>
          <w:ilvl w:val="0"/>
          <w:numId w:val="17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t xml:space="preserve">improve fault reporting, supervision and abnormal-condition escalation </w:t>
      </w:r>
    </w:p>
    <w:p w14:paraId="60087F22" w14:textId="77777777" w:rsidR="007D62F1" w:rsidRPr="007D62F1" w:rsidRDefault="007D62F1" w:rsidP="007D62F1">
      <w:pPr>
        <w:numPr>
          <w:ilvl w:val="0"/>
          <w:numId w:val="17"/>
        </w:numPr>
        <w:rPr>
          <w:rFonts w:ascii="Arial" w:hAnsi="Arial" w:cs="Arial"/>
        </w:rPr>
      </w:pPr>
      <w:r w:rsidRPr="007D62F1">
        <w:rPr>
          <w:rFonts w:ascii="Arial" w:hAnsi="Arial" w:cs="Arial"/>
        </w:rPr>
        <w:lastRenderedPageBreak/>
        <w:t xml:space="preserve">review dosimeter alarms, worker response to elevated readings, and training in source-return anomalies </w:t>
      </w:r>
    </w:p>
    <w:p w14:paraId="4102156A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Any proposed improvement should be justified in terms of meaningful risk reduction for modest engineering or administrative effort.</w:t>
      </w:r>
    </w:p>
    <w:p w14:paraId="07FC6A17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15948286">
          <v:rect id="_x0000_i1036" style="width:0;height:1.5pt" o:hralign="center" o:hrstd="t" o:hr="t" fillcolor="#a0a0a0" stroked="f"/>
        </w:pict>
      </w:r>
    </w:p>
    <w:p w14:paraId="797E9B04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8. Marker guidance on common errors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5"/>
        <w:gridCol w:w="6111"/>
      </w:tblGrid>
      <w:tr w:rsidR="007D62F1" w:rsidRPr="007D62F1" w14:paraId="455D37F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90DDE2B" w14:textId="77777777" w:rsidR="007D62F1" w:rsidRPr="007D62F1" w:rsidRDefault="007D62F1" w:rsidP="007D62F1">
            <w:pPr>
              <w:rPr>
                <w:rFonts w:ascii="Arial" w:hAnsi="Arial" w:cs="Arial"/>
                <w:b/>
                <w:bCs/>
              </w:rPr>
            </w:pPr>
            <w:r w:rsidRPr="007D62F1">
              <w:rPr>
                <w:rFonts w:ascii="Arial" w:hAnsi="Arial" w:cs="Arial"/>
                <w:b/>
                <w:bCs/>
              </w:rPr>
              <w:t>Common issue</w:t>
            </w:r>
          </w:p>
        </w:tc>
        <w:tc>
          <w:tcPr>
            <w:tcW w:w="0" w:type="auto"/>
            <w:vAlign w:val="center"/>
            <w:hideMark/>
          </w:tcPr>
          <w:p w14:paraId="7410D8E1" w14:textId="77777777" w:rsidR="007D62F1" w:rsidRPr="007D62F1" w:rsidRDefault="007D62F1" w:rsidP="007D62F1">
            <w:pPr>
              <w:rPr>
                <w:rFonts w:ascii="Arial" w:hAnsi="Arial" w:cs="Arial"/>
                <w:b/>
                <w:bCs/>
              </w:rPr>
            </w:pPr>
            <w:r w:rsidRPr="007D62F1">
              <w:rPr>
                <w:rFonts w:ascii="Arial" w:hAnsi="Arial" w:cs="Arial"/>
                <w:b/>
                <w:bCs/>
              </w:rPr>
              <w:t>How to treat it</w:t>
            </w:r>
          </w:p>
        </w:tc>
      </w:tr>
      <w:tr w:rsidR="007D62F1" w:rsidRPr="007D62F1" w14:paraId="0B88CC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89489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Using TBq without converting to GBq</w:t>
            </w:r>
          </w:p>
        </w:tc>
        <w:tc>
          <w:tcPr>
            <w:tcW w:w="0" w:type="auto"/>
            <w:vAlign w:val="center"/>
            <w:hideMark/>
          </w:tcPr>
          <w:p w14:paraId="29A72024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Method should lose marks if units are mishandled, but credit structure where possible</w:t>
            </w:r>
          </w:p>
        </w:tc>
      </w:tr>
      <w:tr w:rsidR="007D62F1" w:rsidRPr="007D62F1" w14:paraId="1F8E5D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50E58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Using the wrong elapsed time</w:t>
            </w:r>
          </w:p>
        </w:tc>
        <w:tc>
          <w:tcPr>
            <w:tcW w:w="0" w:type="auto"/>
            <w:vAlign w:val="center"/>
            <w:hideMark/>
          </w:tcPr>
          <w:p w14:paraId="1AA3F8D9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Mark against numerical accuracy but credit the correct equation form</w:t>
            </w:r>
          </w:p>
        </w:tc>
      </w:tr>
      <w:tr w:rsidR="007D62F1" w:rsidRPr="007D62F1" w14:paraId="3BC917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74242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Using the wrong gamma constant</w:t>
            </w:r>
          </w:p>
        </w:tc>
        <w:tc>
          <w:tcPr>
            <w:tcW w:w="0" w:type="auto"/>
            <w:vAlign w:val="center"/>
            <w:hideMark/>
          </w:tcPr>
          <w:p w14:paraId="4CD5A934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Credit method if internally consistent, but mark against the provided guide value where appropriate</w:t>
            </w:r>
          </w:p>
        </w:tc>
      </w:tr>
      <w:tr w:rsidR="007D62F1" w:rsidRPr="007D62F1" w14:paraId="45E06A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3844B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Treating the point-source model as exact</w:t>
            </w:r>
          </w:p>
        </w:tc>
        <w:tc>
          <w:tcPr>
            <w:tcW w:w="0" w:type="auto"/>
            <w:vAlign w:val="center"/>
            <w:hideMark/>
          </w:tcPr>
          <w:p w14:paraId="18170325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Reward students who note its limitations</w:t>
            </w:r>
          </w:p>
        </w:tc>
      </w:tr>
      <w:tr w:rsidR="007D62F1" w:rsidRPr="007D62F1" w14:paraId="4FC108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DA6BD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Overclaiming deterministic injury</w:t>
            </w:r>
          </w:p>
        </w:tc>
        <w:tc>
          <w:tcPr>
            <w:tcW w:w="0" w:type="auto"/>
            <w:vAlign w:val="center"/>
            <w:hideMark/>
          </w:tcPr>
          <w:p w14:paraId="1CD26D8A" w14:textId="77777777" w:rsidR="007D62F1" w:rsidRPr="007D62F1" w:rsidRDefault="007D62F1" w:rsidP="007D62F1">
            <w:pPr>
              <w:rPr>
                <w:rFonts w:ascii="Arial" w:hAnsi="Arial" w:cs="Arial"/>
              </w:rPr>
            </w:pPr>
            <w:r w:rsidRPr="007D62F1">
              <w:rPr>
                <w:rFonts w:ascii="Arial" w:hAnsi="Arial" w:cs="Arial"/>
              </w:rPr>
              <w:t>Correct firmly if students infer acute radiation syndrome from this dose range</w:t>
            </w:r>
          </w:p>
        </w:tc>
      </w:tr>
    </w:tbl>
    <w:p w14:paraId="3B71AC4A" w14:textId="77777777" w:rsidR="007D62F1" w:rsidRPr="007D62F1" w:rsidRDefault="00A77F53" w:rsidP="007D62F1">
      <w:pPr>
        <w:rPr>
          <w:rFonts w:ascii="Arial" w:hAnsi="Arial" w:cs="Arial"/>
        </w:rPr>
      </w:pPr>
      <w:r>
        <w:rPr>
          <w:rFonts w:ascii="Arial" w:hAnsi="Arial" w:cs="Arial"/>
        </w:rPr>
        <w:pict w14:anchorId="7D5FFF3B">
          <v:rect id="_x0000_i1037" style="width:0;height:1.5pt" o:hralign="center" o:hrstd="t" o:hr="t" fillcolor="#a0a0a0" stroked="f"/>
        </w:pict>
      </w:r>
    </w:p>
    <w:p w14:paraId="12EB6D06" w14:textId="77777777" w:rsidR="007D62F1" w:rsidRPr="007D62F1" w:rsidRDefault="007D62F1" w:rsidP="007D62F1">
      <w:pPr>
        <w:rPr>
          <w:rFonts w:ascii="Arial" w:hAnsi="Arial" w:cs="Arial"/>
          <w:b/>
          <w:bCs/>
        </w:rPr>
      </w:pPr>
      <w:r w:rsidRPr="007D62F1">
        <w:rPr>
          <w:rFonts w:ascii="Arial" w:hAnsi="Arial" w:cs="Arial"/>
          <w:b/>
          <w:bCs/>
        </w:rPr>
        <w:t>9. Indicative concluding judgement</w:t>
      </w:r>
    </w:p>
    <w:p w14:paraId="6CC2465C" w14:textId="77777777" w:rsidR="007D62F1" w:rsidRPr="007D62F1" w:rsidRDefault="007D62F1" w:rsidP="007D62F1">
      <w:pPr>
        <w:rPr>
          <w:rFonts w:ascii="Arial" w:hAnsi="Arial" w:cs="Arial"/>
        </w:rPr>
      </w:pPr>
      <w:r w:rsidRPr="007D62F1">
        <w:rPr>
          <w:rFonts w:ascii="Arial" w:hAnsi="Arial" w:cs="Arial"/>
        </w:rPr>
        <w:t>A strong student conclusion would state that the incident arose from progressive wear and partial failure of the internal drive cable, misleading source-position indication, and inadequate verification of safe source return before dismantling began. The resulting exposure was significant and clearly above routine occupational expectations, but not expected to cause deterministic whole-body injury. Nevertheless, it represented a serious radiological protection failure and a breakdown in the engineering, procedural and supervisory controls that should govern industrial gamma radiography.</w:t>
      </w:r>
    </w:p>
    <w:p w14:paraId="6F5E6486" w14:textId="77777777" w:rsidR="00EC70C0" w:rsidRPr="00816D06" w:rsidRDefault="00EC70C0" w:rsidP="007D62F1">
      <w:pPr>
        <w:rPr>
          <w:rFonts w:ascii="Arial" w:hAnsi="Arial" w:cs="Arial"/>
        </w:rPr>
      </w:pPr>
    </w:p>
    <w:sectPr w:rsidR="00EC70C0" w:rsidRPr="00816D0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7243C" w14:textId="77777777" w:rsidR="006621D0" w:rsidRDefault="006621D0" w:rsidP="00816D06">
      <w:pPr>
        <w:spacing w:after="0" w:line="240" w:lineRule="auto"/>
      </w:pPr>
      <w:r>
        <w:separator/>
      </w:r>
    </w:p>
  </w:endnote>
  <w:endnote w:type="continuationSeparator" w:id="0">
    <w:p w14:paraId="40F75137" w14:textId="77777777" w:rsidR="006621D0" w:rsidRDefault="006621D0" w:rsidP="00816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27514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D57ABF" w14:textId="29E44271" w:rsidR="00816D06" w:rsidRDefault="00816D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9A9321" w14:textId="77777777" w:rsidR="00816D06" w:rsidRDefault="00816D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58D99" w14:textId="77777777" w:rsidR="006621D0" w:rsidRDefault="006621D0" w:rsidP="00816D06">
      <w:pPr>
        <w:spacing w:after="0" w:line="240" w:lineRule="auto"/>
      </w:pPr>
      <w:r>
        <w:separator/>
      </w:r>
    </w:p>
  </w:footnote>
  <w:footnote w:type="continuationSeparator" w:id="0">
    <w:p w14:paraId="4CDD2855" w14:textId="77777777" w:rsidR="006621D0" w:rsidRDefault="006621D0" w:rsidP="00816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15C8" w14:textId="016559D9" w:rsidR="00816D06" w:rsidRDefault="00816D06" w:rsidP="00816D06">
    <w:pPr>
      <w:pStyle w:val="Header"/>
      <w:jc w:val="center"/>
    </w:pPr>
    <w:r>
      <w:t>OFFICIAL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D4A6B"/>
    <w:multiLevelType w:val="multilevel"/>
    <w:tmpl w:val="5ADA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43E32"/>
    <w:multiLevelType w:val="multilevel"/>
    <w:tmpl w:val="7D2C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ED4E5D"/>
    <w:multiLevelType w:val="multilevel"/>
    <w:tmpl w:val="F3A6E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E9021D"/>
    <w:multiLevelType w:val="multilevel"/>
    <w:tmpl w:val="A8461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D2963"/>
    <w:multiLevelType w:val="multilevel"/>
    <w:tmpl w:val="F6943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7C33DF"/>
    <w:multiLevelType w:val="multilevel"/>
    <w:tmpl w:val="65B43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FA40F4"/>
    <w:multiLevelType w:val="multilevel"/>
    <w:tmpl w:val="1F36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2D3DDC"/>
    <w:multiLevelType w:val="multilevel"/>
    <w:tmpl w:val="E368B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93071D"/>
    <w:multiLevelType w:val="multilevel"/>
    <w:tmpl w:val="229C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4B5D89"/>
    <w:multiLevelType w:val="multilevel"/>
    <w:tmpl w:val="43E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A1732E"/>
    <w:multiLevelType w:val="multilevel"/>
    <w:tmpl w:val="0B2A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143AE0"/>
    <w:multiLevelType w:val="multilevel"/>
    <w:tmpl w:val="C49E9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355470"/>
    <w:multiLevelType w:val="multilevel"/>
    <w:tmpl w:val="49768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354566"/>
    <w:multiLevelType w:val="multilevel"/>
    <w:tmpl w:val="2FD8F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85766C"/>
    <w:multiLevelType w:val="multilevel"/>
    <w:tmpl w:val="A9243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EF052E"/>
    <w:multiLevelType w:val="multilevel"/>
    <w:tmpl w:val="ECA4F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D54C7F"/>
    <w:multiLevelType w:val="multilevel"/>
    <w:tmpl w:val="D33A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835499">
    <w:abstractNumId w:val="9"/>
  </w:num>
  <w:num w:numId="2" w16cid:durableId="689263522">
    <w:abstractNumId w:val="12"/>
  </w:num>
  <w:num w:numId="3" w16cid:durableId="1548759999">
    <w:abstractNumId w:val="6"/>
  </w:num>
  <w:num w:numId="4" w16cid:durableId="1071268743">
    <w:abstractNumId w:val="0"/>
  </w:num>
  <w:num w:numId="5" w16cid:durableId="165484646">
    <w:abstractNumId w:val="11"/>
  </w:num>
  <w:num w:numId="6" w16cid:durableId="1224948784">
    <w:abstractNumId w:val="5"/>
  </w:num>
  <w:num w:numId="7" w16cid:durableId="824592448">
    <w:abstractNumId w:val="7"/>
  </w:num>
  <w:num w:numId="8" w16cid:durableId="1845968802">
    <w:abstractNumId w:val="14"/>
  </w:num>
  <w:num w:numId="9" w16cid:durableId="1757942385">
    <w:abstractNumId w:val="15"/>
  </w:num>
  <w:num w:numId="10" w16cid:durableId="1726492053">
    <w:abstractNumId w:val="2"/>
  </w:num>
  <w:num w:numId="11" w16cid:durableId="988942580">
    <w:abstractNumId w:val="10"/>
  </w:num>
  <w:num w:numId="12" w16cid:durableId="997809165">
    <w:abstractNumId w:val="8"/>
  </w:num>
  <w:num w:numId="13" w16cid:durableId="181823872">
    <w:abstractNumId w:val="1"/>
  </w:num>
  <w:num w:numId="14" w16cid:durableId="281426193">
    <w:abstractNumId w:val="4"/>
  </w:num>
  <w:num w:numId="15" w16cid:durableId="87507479">
    <w:abstractNumId w:val="16"/>
  </w:num>
  <w:num w:numId="16" w16cid:durableId="1144734943">
    <w:abstractNumId w:val="3"/>
  </w:num>
  <w:num w:numId="17" w16cid:durableId="1302033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D06"/>
    <w:rsid w:val="00273FE2"/>
    <w:rsid w:val="006621D0"/>
    <w:rsid w:val="00774605"/>
    <w:rsid w:val="00785BFD"/>
    <w:rsid w:val="007B0F1F"/>
    <w:rsid w:val="007D62F1"/>
    <w:rsid w:val="00816D06"/>
    <w:rsid w:val="00932009"/>
    <w:rsid w:val="00A77F53"/>
    <w:rsid w:val="00B42579"/>
    <w:rsid w:val="00D35B34"/>
    <w:rsid w:val="00D81D4A"/>
    <w:rsid w:val="00EC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006D0375"/>
  <w15:chartTrackingRefBased/>
  <w15:docId w15:val="{99958A87-CBD3-4122-873D-1EDC4426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D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D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D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D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D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D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D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D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D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D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D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D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D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D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D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D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D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D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D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6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D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6D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D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D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D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6D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D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D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D0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16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D06"/>
  </w:style>
  <w:style w:type="paragraph" w:styleId="Footer">
    <w:name w:val="footer"/>
    <w:basedOn w:val="Normal"/>
    <w:link w:val="FooterChar"/>
    <w:uiPriority w:val="99"/>
    <w:unhideWhenUsed/>
    <w:rsid w:val="00816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1304</Words>
  <Characters>7694</Characters>
  <Application>Microsoft Office Word</Application>
  <DocSecurity>0</DocSecurity>
  <Lines>233</Lines>
  <Paragraphs>166</Paragraphs>
  <ScaleCrop>false</ScaleCrop>
  <Company/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Holloway</dc:creator>
  <cp:keywords/>
  <dc:description/>
  <cp:lastModifiedBy>Holloway, Ian Dr (NAVY PEOPLE-NUC PHYS MGR)</cp:lastModifiedBy>
  <cp:revision>3</cp:revision>
  <dcterms:created xsi:type="dcterms:W3CDTF">2026-03-24T09:10:00Z</dcterms:created>
  <dcterms:modified xsi:type="dcterms:W3CDTF">2026-03-24T09:10:00Z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a60473-494b-4586-a1bb-b0e663054676_Enabled">
    <vt:lpwstr>true</vt:lpwstr>
  </property>
  <property fmtid="{D5CDD505-2E9C-101B-9397-08002B2CF9AE}" pid="3" name="MSIP_Label_d8a60473-494b-4586-a1bb-b0e663054676_SetDate">
    <vt:lpwstr>2026-03-24T09:10:00Z</vt:lpwstr>
  </property>
  <property fmtid="{D5CDD505-2E9C-101B-9397-08002B2CF9AE}" pid="4" name="MSIP_Label_d8a60473-494b-4586-a1bb-b0e663054676_Method">
    <vt:lpwstr>Privileged</vt:lpwstr>
  </property>
  <property fmtid="{D5CDD505-2E9C-101B-9397-08002B2CF9AE}" pid="5" name="MSIP_Label_d8a60473-494b-4586-a1bb-b0e663054676_Name">
    <vt:lpwstr>MOD-1-O-‘UNMARKED’</vt:lpwstr>
  </property>
  <property fmtid="{D5CDD505-2E9C-101B-9397-08002B2CF9AE}" pid="6" name="MSIP_Label_d8a60473-494b-4586-a1bb-b0e663054676_SiteId">
    <vt:lpwstr>be7760ed-5953-484b-ae95-d0a16dfa09e5</vt:lpwstr>
  </property>
  <property fmtid="{D5CDD505-2E9C-101B-9397-08002B2CF9AE}" pid="7" name="MSIP_Label_d8a60473-494b-4586-a1bb-b0e663054676_ActionId">
    <vt:lpwstr>49e73b28-22a6-4f6a-a2e3-69bb7df70359</vt:lpwstr>
  </property>
  <property fmtid="{D5CDD505-2E9C-101B-9397-08002B2CF9AE}" pid="8" name="MSIP_Label_d8a60473-494b-4586-a1bb-b0e663054676_ContentBits">
    <vt:lpwstr>0</vt:lpwstr>
  </property>
  <property fmtid="{D5CDD505-2E9C-101B-9397-08002B2CF9AE}" pid="9" name="MSIP_Label_d8a60473-494b-4586-a1bb-b0e663054676_Tag">
    <vt:lpwstr>10, 0, 1, 1</vt:lpwstr>
  </property>
</Properties>
</file>