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E4643"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7F7CF5C" wp14:editId="58DAD4F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5C9167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245BC5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7F7CF5C"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5C9167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245BC56"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E29BC35" wp14:editId="02263658">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15FB5C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FCD9C7D"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E29BC35"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15FB5C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FCD9C7D"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82A3050"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0EFF6F77" wp14:editId="7863E320">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BE4C178" w14:textId="77777777" w:rsidR="00530E16" w:rsidRDefault="004468F8">
                            <w:pPr>
                              <w:spacing w:after="0" w:line="240" w:lineRule="auto"/>
                              <w:textDirection w:val="btLr"/>
                            </w:pPr>
                            <w:r>
                              <w:rPr>
                                <w:rFonts w:ascii="Play" w:eastAsia="Play" w:hAnsi="Play" w:cs="Play"/>
                                <w:color w:val="262626"/>
                                <w:sz w:val="72"/>
                              </w:rPr>
                              <w:t>Individual Report</w:t>
                            </w:r>
                          </w:p>
                          <w:p w14:paraId="51DEED69" w14:textId="77777777" w:rsidR="00530E16" w:rsidRDefault="004468F8">
                            <w:pPr>
                              <w:spacing w:before="120" w:line="277" w:lineRule="auto"/>
                              <w:textDirection w:val="btLr"/>
                            </w:pPr>
                            <w:r>
                              <w:rPr>
                                <w:color w:val="404040"/>
                                <w:sz w:val="36"/>
                              </w:rPr>
                              <w:t>Module Name: Digital Skills and Research Methods</w:t>
                            </w:r>
                          </w:p>
                          <w:p w14:paraId="7046C6A9" w14:textId="77777777" w:rsidR="00530E16" w:rsidRDefault="004468F8">
                            <w:pPr>
                              <w:spacing w:before="120" w:line="277" w:lineRule="auto"/>
                              <w:textDirection w:val="btLr"/>
                            </w:pPr>
                            <w:r>
                              <w:rPr>
                                <w:color w:val="404040"/>
                                <w:sz w:val="36"/>
                              </w:rPr>
                              <w:t>Module Code: LCHS 4007</w:t>
                            </w:r>
                          </w:p>
                          <w:p w14:paraId="6640225A" w14:textId="4346048C" w:rsidR="00530E16" w:rsidRDefault="004468F8">
                            <w:pPr>
                              <w:spacing w:before="120" w:line="277" w:lineRule="auto"/>
                              <w:textDirection w:val="btLr"/>
                            </w:pPr>
                            <w:r>
                              <w:rPr>
                                <w:color w:val="404040"/>
                                <w:sz w:val="36"/>
                              </w:rPr>
                              <w:t xml:space="preserve">Student name: </w:t>
                            </w:r>
                            <w:r w:rsidR="008478E6">
                              <w:rPr>
                                <w:color w:val="404040"/>
                                <w:sz w:val="36"/>
                              </w:rPr>
                              <w:t>Ariana Monteiro</w:t>
                            </w:r>
                          </w:p>
                          <w:p w14:paraId="4572B255" w14:textId="6A0916F1" w:rsidR="00530E16" w:rsidRDefault="004468F8">
                            <w:pPr>
                              <w:spacing w:before="120" w:line="277" w:lineRule="auto"/>
                              <w:textDirection w:val="btLr"/>
                            </w:pPr>
                            <w:r>
                              <w:rPr>
                                <w:color w:val="404040"/>
                                <w:sz w:val="36"/>
                              </w:rPr>
                              <w:t>Student ID:</w:t>
                            </w:r>
                            <w:r w:rsidR="008478E6">
                              <w:rPr>
                                <w:color w:val="404040"/>
                                <w:sz w:val="36"/>
                              </w:rPr>
                              <w:t xml:space="preserve"> 2526079</w:t>
                            </w:r>
                          </w:p>
                          <w:p w14:paraId="5C304656" w14:textId="6D873416" w:rsidR="00530E16" w:rsidRDefault="004468F8">
                            <w:pPr>
                              <w:spacing w:before="120" w:line="277" w:lineRule="auto"/>
                              <w:textDirection w:val="btLr"/>
                            </w:pPr>
                            <w:r>
                              <w:rPr>
                                <w:color w:val="404040"/>
                                <w:sz w:val="36"/>
                              </w:rPr>
                              <w:t xml:space="preserve">Lecturer’s Name: </w:t>
                            </w:r>
                            <w:r w:rsidR="00A704BB">
                              <w:rPr>
                                <w:color w:val="404040"/>
                                <w:sz w:val="36"/>
                              </w:rPr>
                              <w:t>R</w:t>
                            </w:r>
                            <w:r w:rsidR="008478E6">
                              <w:rPr>
                                <w:color w:val="404040"/>
                                <w:sz w:val="36"/>
                              </w:rPr>
                              <w:t>ajeev Nath</w:t>
                            </w:r>
                          </w:p>
                        </w:txbxContent>
                      </wps:txbx>
                      <wps:bodyPr spcFirstLastPara="1" wrap="square" lIns="0" tIns="0" rIns="0" bIns="0" anchor="t" anchorCtr="0">
                        <a:noAutofit/>
                      </wps:bodyPr>
                    </wps:wsp>
                  </a:graphicData>
                </a:graphic>
              </wp:anchor>
            </w:drawing>
          </mc:Choice>
          <mc:Fallback>
            <w:pict>
              <v:rect w14:anchorId="0EFF6F77"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BE4C178" w14:textId="77777777" w:rsidR="00530E16" w:rsidRDefault="004468F8">
                      <w:pPr>
                        <w:spacing w:after="0" w:line="240" w:lineRule="auto"/>
                        <w:textDirection w:val="btLr"/>
                      </w:pPr>
                      <w:r>
                        <w:rPr>
                          <w:rFonts w:ascii="Play" w:eastAsia="Play" w:hAnsi="Play" w:cs="Play"/>
                          <w:color w:val="262626"/>
                          <w:sz w:val="72"/>
                        </w:rPr>
                        <w:t>Individual Report</w:t>
                      </w:r>
                    </w:p>
                    <w:p w14:paraId="51DEED69" w14:textId="77777777" w:rsidR="00530E16" w:rsidRDefault="004468F8">
                      <w:pPr>
                        <w:spacing w:before="120" w:line="277" w:lineRule="auto"/>
                        <w:textDirection w:val="btLr"/>
                      </w:pPr>
                      <w:r>
                        <w:rPr>
                          <w:color w:val="404040"/>
                          <w:sz w:val="36"/>
                        </w:rPr>
                        <w:t>Module Name: Digital Skills and Research Methods</w:t>
                      </w:r>
                    </w:p>
                    <w:p w14:paraId="7046C6A9" w14:textId="77777777" w:rsidR="00530E16" w:rsidRDefault="004468F8">
                      <w:pPr>
                        <w:spacing w:before="120" w:line="277" w:lineRule="auto"/>
                        <w:textDirection w:val="btLr"/>
                      </w:pPr>
                      <w:r>
                        <w:rPr>
                          <w:color w:val="404040"/>
                          <w:sz w:val="36"/>
                        </w:rPr>
                        <w:t>Module Code: LCHS 4007</w:t>
                      </w:r>
                    </w:p>
                    <w:p w14:paraId="6640225A" w14:textId="4346048C" w:rsidR="00530E16" w:rsidRDefault="004468F8">
                      <w:pPr>
                        <w:spacing w:before="120" w:line="277" w:lineRule="auto"/>
                        <w:textDirection w:val="btLr"/>
                      </w:pPr>
                      <w:r>
                        <w:rPr>
                          <w:color w:val="404040"/>
                          <w:sz w:val="36"/>
                        </w:rPr>
                        <w:t xml:space="preserve">Student name: </w:t>
                      </w:r>
                      <w:r w:rsidR="008478E6">
                        <w:rPr>
                          <w:color w:val="404040"/>
                          <w:sz w:val="36"/>
                        </w:rPr>
                        <w:t>Ariana Monteiro</w:t>
                      </w:r>
                    </w:p>
                    <w:p w14:paraId="4572B255" w14:textId="6A0916F1" w:rsidR="00530E16" w:rsidRDefault="004468F8">
                      <w:pPr>
                        <w:spacing w:before="120" w:line="277" w:lineRule="auto"/>
                        <w:textDirection w:val="btLr"/>
                      </w:pPr>
                      <w:r>
                        <w:rPr>
                          <w:color w:val="404040"/>
                          <w:sz w:val="36"/>
                        </w:rPr>
                        <w:t>Student ID:</w:t>
                      </w:r>
                      <w:r w:rsidR="008478E6">
                        <w:rPr>
                          <w:color w:val="404040"/>
                          <w:sz w:val="36"/>
                        </w:rPr>
                        <w:t xml:space="preserve"> 2526079</w:t>
                      </w:r>
                    </w:p>
                    <w:p w14:paraId="5C304656" w14:textId="6D873416" w:rsidR="00530E16" w:rsidRDefault="004468F8">
                      <w:pPr>
                        <w:spacing w:before="120" w:line="277" w:lineRule="auto"/>
                        <w:textDirection w:val="btLr"/>
                      </w:pPr>
                      <w:r>
                        <w:rPr>
                          <w:color w:val="404040"/>
                          <w:sz w:val="36"/>
                        </w:rPr>
                        <w:t xml:space="preserve">Lecturer’s Name: </w:t>
                      </w:r>
                      <w:r w:rsidR="00A704BB">
                        <w:rPr>
                          <w:color w:val="404040"/>
                          <w:sz w:val="36"/>
                        </w:rPr>
                        <w:t>R</w:t>
                      </w:r>
                      <w:r w:rsidR="008478E6">
                        <w:rPr>
                          <w:color w:val="404040"/>
                          <w:sz w:val="36"/>
                        </w:rPr>
                        <w:t>ajeev Nath</w:t>
                      </w:r>
                    </w:p>
                  </w:txbxContent>
                </v:textbox>
                <w10:wrap anchorx="page" anchory="page"/>
              </v:rect>
            </w:pict>
          </mc:Fallback>
        </mc:AlternateContent>
      </w:r>
      <w:r>
        <w:br w:type="page"/>
      </w:r>
    </w:p>
    <w:p w14:paraId="158C3AD7" w14:textId="77777777" w:rsidR="00530E16" w:rsidRDefault="00530E16">
      <w:pPr>
        <w:rPr>
          <w:rFonts w:ascii="Arial" w:eastAsia="Arial" w:hAnsi="Arial" w:cs="Arial"/>
        </w:rPr>
      </w:pPr>
    </w:p>
    <w:p w14:paraId="3FBA1269"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0612AD9"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0AB5A57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7599AFE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23FD28E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4217CC03"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25FA669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123F282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1BF3D32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73F781F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7941A68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669FC73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1AAB62C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3BF92A2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60D4284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46196E5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58AB4EA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3EF471D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42BF5E61"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29487F4" w14:textId="77777777" w:rsidR="00530E16" w:rsidRPr="00CF650B" w:rsidRDefault="004468F8">
          <w:r>
            <w:fldChar w:fldCharType="end"/>
          </w:r>
        </w:p>
      </w:sdtContent>
    </w:sdt>
    <w:p w14:paraId="573077E0" w14:textId="77777777" w:rsidR="00530E16" w:rsidRDefault="00530E16">
      <w:pPr>
        <w:rPr>
          <w:rFonts w:ascii="Arial" w:eastAsia="Arial" w:hAnsi="Arial" w:cs="Arial"/>
        </w:rPr>
      </w:pPr>
    </w:p>
    <w:p w14:paraId="7973BD37" w14:textId="77777777" w:rsidR="00530E16" w:rsidRDefault="00530E16">
      <w:pPr>
        <w:rPr>
          <w:rFonts w:ascii="Arial" w:eastAsia="Arial" w:hAnsi="Arial" w:cs="Arial"/>
        </w:rPr>
      </w:pPr>
    </w:p>
    <w:p w14:paraId="682ED5F2" w14:textId="77777777" w:rsidR="00530E16" w:rsidRDefault="00530E16">
      <w:pPr>
        <w:rPr>
          <w:rFonts w:ascii="Arial" w:eastAsia="Arial" w:hAnsi="Arial" w:cs="Arial"/>
        </w:rPr>
      </w:pPr>
    </w:p>
    <w:p w14:paraId="67D2A590" w14:textId="77777777" w:rsidR="00530E16" w:rsidRDefault="00530E16">
      <w:pPr>
        <w:rPr>
          <w:rFonts w:ascii="Arial" w:eastAsia="Arial" w:hAnsi="Arial" w:cs="Arial"/>
        </w:rPr>
      </w:pPr>
    </w:p>
    <w:p w14:paraId="172680CC" w14:textId="77777777" w:rsidR="00530E16" w:rsidRDefault="00530E16">
      <w:pPr>
        <w:rPr>
          <w:rFonts w:ascii="Arial" w:eastAsia="Arial" w:hAnsi="Arial" w:cs="Arial"/>
        </w:rPr>
      </w:pPr>
    </w:p>
    <w:p w14:paraId="3B27D2C6" w14:textId="77777777" w:rsidR="00530E16" w:rsidRDefault="00530E16">
      <w:pPr>
        <w:rPr>
          <w:rFonts w:ascii="Arial" w:eastAsia="Arial" w:hAnsi="Arial" w:cs="Arial"/>
        </w:rPr>
      </w:pPr>
    </w:p>
    <w:p w14:paraId="01CDC668" w14:textId="77777777" w:rsidR="00530E16" w:rsidRDefault="00530E16">
      <w:pPr>
        <w:rPr>
          <w:rFonts w:ascii="Arial" w:eastAsia="Arial" w:hAnsi="Arial" w:cs="Arial"/>
        </w:rPr>
      </w:pPr>
    </w:p>
    <w:p w14:paraId="4E413A67" w14:textId="77777777" w:rsidR="00530E16" w:rsidRDefault="00530E16">
      <w:pPr>
        <w:rPr>
          <w:rFonts w:ascii="Arial" w:eastAsia="Arial" w:hAnsi="Arial" w:cs="Arial"/>
        </w:rPr>
      </w:pPr>
    </w:p>
    <w:p w14:paraId="376A6B38" w14:textId="77777777" w:rsidR="00530E16" w:rsidRDefault="00530E16">
      <w:pPr>
        <w:rPr>
          <w:rFonts w:ascii="Arial" w:eastAsia="Arial" w:hAnsi="Arial" w:cs="Arial"/>
        </w:rPr>
      </w:pPr>
    </w:p>
    <w:p w14:paraId="08A0201C"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1FC80B5" w14:textId="77777777" w:rsidR="00530E16" w:rsidRDefault="00530E16">
      <w:pPr>
        <w:rPr>
          <w:rFonts w:ascii="Arial" w:eastAsia="Arial" w:hAnsi="Arial" w:cs="Arial"/>
        </w:rPr>
      </w:pPr>
    </w:p>
    <w:p w14:paraId="4EE24B83" w14:textId="77777777" w:rsidR="00575E73" w:rsidRPr="00E003BE" w:rsidRDefault="00575E73" w:rsidP="00575E73">
      <w:pPr>
        <w:pStyle w:val="Heading1"/>
        <w:rPr>
          <w:rFonts w:ascii="Arial" w:eastAsia="Arial" w:hAnsi="Arial" w:cs="Arial"/>
          <w:sz w:val="22"/>
          <w:szCs w:val="22"/>
        </w:rPr>
      </w:pPr>
      <w:bookmarkStart w:id="0" w:name="_Toc225024735"/>
      <w:r w:rsidRPr="00E003BE">
        <w:rPr>
          <w:rFonts w:ascii="Arial" w:eastAsia="Arial" w:hAnsi="Arial" w:cs="Arial"/>
          <w:sz w:val="22"/>
          <w:szCs w:val="22"/>
        </w:rPr>
        <w:lastRenderedPageBreak/>
        <w:t>Introduction</w:t>
      </w:r>
      <w:bookmarkEnd w:id="0"/>
      <w:r w:rsidRPr="00E003BE">
        <w:rPr>
          <w:rFonts w:ascii="Arial" w:eastAsia="Arial" w:hAnsi="Arial" w:cs="Arial"/>
          <w:sz w:val="22"/>
          <w:szCs w:val="22"/>
        </w:rPr>
        <w:t xml:space="preserve">  </w:t>
      </w:r>
    </w:p>
    <w:p w14:paraId="60FBC29E"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 xml:space="preserve">This report examines the issue of digital exclusion among older adults within the UK healthcare system. As the NHS increasingly adopts a “digital-first” approach, concerns have appeared around the accessibility of services for individuals who lack digital skills, access, or confidence. This report evaluates relevant literature, </w:t>
      </w:r>
      <w:bookmarkStart w:id="1" w:name="_Int_NhzZEaBf"/>
      <w:r w:rsidRPr="00E003BE">
        <w:rPr>
          <w:rFonts w:ascii="Arial" w:hAnsi="Arial" w:cs="Arial"/>
          <w:color w:val="000000"/>
          <w:sz w:val="22"/>
          <w:szCs w:val="22"/>
        </w:rPr>
        <w:t>identifies</w:t>
      </w:r>
      <w:bookmarkEnd w:id="1"/>
      <w:r w:rsidRPr="00E003BE">
        <w:rPr>
          <w:rFonts w:ascii="Arial" w:hAnsi="Arial" w:cs="Arial"/>
          <w:color w:val="000000"/>
          <w:sz w:val="22"/>
          <w:szCs w:val="22"/>
        </w:rPr>
        <w:t xml:space="preserve"> gaps in current research, and critically justifies a proper research method and data collection strategy to explore this issue further.</w:t>
      </w:r>
    </w:p>
    <w:p w14:paraId="3EFE272A" w14:textId="77777777" w:rsidR="00575E73" w:rsidRPr="00E003BE" w:rsidRDefault="00575E73" w:rsidP="00575E73">
      <w:pPr>
        <w:rPr>
          <w:rFonts w:ascii="Arial" w:eastAsia="Arial" w:hAnsi="Arial" w:cs="Arial"/>
          <w:sz w:val="22"/>
          <w:szCs w:val="22"/>
        </w:rPr>
      </w:pPr>
    </w:p>
    <w:p w14:paraId="3731544B" w14:textId="77777777" w:rsidR="00575E73" w:rsidRPr="00E003BE" w:rsidRDefault="00575E73" w:rsidP="00575E73">
      <w:pPr>
        <w:pStyle w:val="Heading1"/>
        <w:rPr>
          <w:rFonts w:ascii="Arial" w:eastAsia="Arial" w:hAnsi="Arial" w:cs="Arial"/>
          <w:sz w:val="22"/>
          <w:szCs w:val="22"/>
        </w:rPr>
      </w:pPr>
      <w:bookmarkStart w:id="2" w:name="_Toc225024736"/>
      <w:r w:rsidRPr="00E003BE">
        <w:rPr>
          <w:rFonts w:ascii="Arial" w:eastAsia="Arial" w:hAnsi="Arial" w:cs="Arial"/>
          <w:sz w:val="22"/>
          <w:szCs w:val="22"/>
        </w:rPr>
        <w:t>Task 1 – Selection of a Research Topic</w:t>
      </w:r>
      <w:bookmarkEnd w:id="2"/>
      <w:r w:rsidRPr="00E003BE">
        <w:rPr>
          <w:rFonts w:ascii="Arial" w:eastAsia="Arial" w:hAnsi="Arial" w:cs="Arial"/>
          <w:sz w:val="22"/>
          <w:szCs w:val="22"/>
        </w:rPr>
        <w:t xml:space="preserve"> </w:t>
      </w:r>
    </w:p>
    <w:p w14:paraId="7A7B9982" w14:textId="77777777" w:rsidR="00575E73" w:rsidRPr="00E003BE" w:rsidRDefault="00575E73" w:rsidP="00575E73">
      <w:pPr>
        <w:pStyle w:val="Heading2"/>
        <w:rPr>
          <w:rFonts w:ascii="Arial" w:eastAsia="Arial" w:hAnsi="Arial" w:cs="Arial"/>
          <w:sz w:val="22"/>
          <w:szCs w:val="22"/>
        </w:rPr>
      </w:pPr>
      <w:bookmarkStart w:id="3" w:name="_Toc225024737"/>
      <w:r w:rsidRPr="00E003BE">
        <w:rPr>
          <w:rFonts w:ascii="Arial" w:eastAsia="Arial" w:hAnsi="Arial" w:cs="Arial"/>
          <w:sz w:val="22"/>
          <w:szCs w:val="22"/>
        </w:rPr>
        <w:t>1.1 The Issue and Why It Matters</w:t>
      </w:r>
      <w:bookmarkEnd w:id="3"/>
    </w:p>
    <w:p w14:paraId="36D3CA9A"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bookmarkStart w:id="4" w:name="_Toc225024738"/>
      <w:r w:rsidRPr="00E003BE">
        <w:rPr>
          <w:rFonts w:ascii="Arial" w:hAnsi="Arial" w:cs="Arial"/>
          <w:color w:val="000000"/>
          <w:sz w:val="22"/>
          <w:szCs w:val="22"/>
        </w:rPr>
        <w:t>Digital exclusion among older adults is a significant barrier to fair healthcare access in the UK. While digital technologies improve efficiency and service delivery, they can simultaneously marginalise individuals who are unable to engage with online platforms. According to Age UK (2023), millions of people over the age of 65 are still offline, limiting their ability to access essential services such as GP appointments and prescription management.</w:t>
      </w:r>
    </w:p>
    <w:p w14:paraId="761045D1"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This issue is particularly important as it highlights a growing inequality within a system designed to provide universal care. If digital healthcare services are not inclusive, they risk worsening existing health disparities, particularly among vulnerable populations who may already face socio-economic disadvantages.</w:t>
      </w:r>
    </w:p>
    <w:p w14:paraId="3B7B64AC" w14:textId="77777777" w:rsidR="00575E73" w:rsidRPr="00E003BE" w:rsidRDefault="00575E73" w:rsidP="00575E73">
      <w:pPr>
        <w:pStyle w:val="Heading2"/>
        <w:rPr>
          <w:rFonts w:ascii="Arial" w:eastAsia="Arial" w:hAnsi="Arial" w:cs="Arial"/>
          <w:sz w:val="22"/>
          <w:szCs w:val="22"/>
        </w:rPr>
      </w:pPr>
      <w:r w:rsidRPr="00E003BE">
        <w:rPr>
          <w:rFonts w:ascii="Arial" w:eastAsia="Arial" w:hAnsi="Arial" w:cs="Arial"/>
          <w:sz w:val="22"/>
          <w:szCs w:val="22"/>
        </w:rPr>
        <w:t>1.2 Personal Reflection – Why I Chose This Topic</w:t>
      </w:r>
      <w:bookmarkEnd w:id="4"/>
    </w:p>
    <w:p w14:paraId="1DF717CA"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 xml:space="preserve">This topic </w:t>
      </w:r>
      <w:bookmarkStart w:id="5" w:name="_Int_82UoZd1s"/>
      <w:r w:rsidRPr="00E003BE">
        <w:rPr>
          <w:rFonts w:ascii="Arial" w:hAnsi="Arial" w:cs="Arial"/>
          <w:color w:val="000000"/>
          <w:sz w:val="22"/>
          <w:szCs w:val="22"/>
        </w:rPr>
        <w:t>was chosen</w:t>
      </w:r>
      <w:bookmarkEnd w:id="5"/>
      <w:r w:rsidRPr="00E003BE">
        <w:rPr>
          <w:rFonts w:ascii="Arial" w:hAnsi="Arial" w:cs="Arial"/>
          <w:color w:val="000000"/>
          <w:sz w:val="22"/>
          <w:szCs w:val="22"/>
        </w:rPr>
        <w:t xml:space="preserve"> due to a strong interest in health equality and inclusive service design. As someone pursuing a career in health and social care, understanding the barriers faced by elderly populations is essential for delivering patient-centred care.</w:t>
      </w:r>
    </w:p>
    <w:p w14:paraId="2B585E93"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Additionally, individual experiences with elderly family members struggling to use digital healthcare platforms have highlighted the real-world impact of this issue. These experiences reinforced the importance of investigating not only technological barriers but also the emotional and psychological challenges associated with digital engagement.</w:t>
      </w:r>
    </w:p>
    <w:p w14:paraId="42AD9B1A" w14:textId="77777777" w:rsidR="00575E73" w:rsidRPr="00E003BE" w:rsidRDefault="00575E73" w:rsidP="00575E73">
      <w:pPr>
        <w:rPr>
          <w:rFonts w:ascii="Arial" w:eastAsia="Arial" w:hAnsi="Arial" w:cs="Arial"/>
          <w:sz w:val="22"/>
          <w:szCs w:val="22"/>
        </w:rPr>
      </w:pPr>
    </w:p>
    <w:p w14:paraId="19240692" w14:textId="77777777" w:rsidR="00575E73" w:rsidRPr="00E003BE" w:rsidRDefault="00575E73" w:rsidP="00575E73">
      <w:pPr>
        <w:pStyle w:val="Heading1"/>
        <w:rPr>
          <w:rFonts w:ascii="Arial" w:eastAsia="Arial" w:hAnsi="Arial" w:cs="Arial"/>
          <w:sz w:val="22"/>
          <w:szCs w:val="22"/>
        </w:rPr>
      </w:pPr>
      <w:bookmarkStart w:id="6" w:name="_Toc225024739"/>
      <w:r w:rsidRPr="00E003BE">
        <w:rPr>
          <w:rFonts w:ascii="Arial" w:eastAsia="Arial" w:hAnsi="Arial" w:cs="Arial"/>
          <w:sz w:val="22"/>
          <w:szCs w:val="22"/>
        </w:rPr>
        <w:t>Task 2 – Evaluating Information Sources</w:t>
      </w:r>
      <w:bookmarkEnd w:id="6"/>
      <w:r w:rsidRPr="00E003BE">
        <w:rPr>
          <w:rFonts w:ascii="Arial" w:eastAsia="Arial" w:hAnsi="Arial" w:cs="Arial"/>
          <w:sz w:val="22"/>
          <w:szCs w:val="22"/>
        </w:rPr>
        <w:t xml:space="preserve">  </w:t>
      </w:r>
    </w:p>
    <w:p w14:paraId="161CC584" w14:textId="77777777" w:rsidR="00575E73" w:rsidRPr="00E003BE" w:rsidRDefault="00575E73" w:rsidP="00575E73">
      <w:pPr>
        <w:pStyle w:val="Heading2"/>
        <w:rPr>
          <w:rFonts w:ascii="Arial" w:eastAsia="Arial" w:hAnsi="Arial" w:cs="Arial"/>
          <w:sz w:val="22"/>
          <w:szCs w:val="22"/>
        </w:rPr>
      </w:pPr>
      <w:bookmarkStart w:id="7" w:name="_Toc225024740"/>
      <w:r w:rsidRPr="00E003BE">
        <w:rPr>
          <w:rFonts w:ascii="Arial" w:eastAsia="Arial" w:hAnsi="Arial" w:cs="Arial"/>
          <w:sz w:val="22"/>
          <w:szCs w:val="22"/>
        </w:rPr>
        <w:t>2.1 Source 1</w:t>
      </w:r>
      <w:bookmarkEnd w:id="7"/>
    </w:p>
    <w:p w14:paraId="64F6696D" w14:textId="515F4C78" w:rsidR="004B4CF7" w:rsidRPr="00E003BE" w:rsidRDefault="00E003BE" w:rsidP="004B4CF7">
      <w:pPr>
        <w:spacing w:before="100" w:beforeAutospacing="1" w:after="100" w:afterAutospacing="1" w:line="240" w:lineRule="auto"/>
        <w:rPr>
          <w:rFonts w:ascii="Arial" w:hAnsi="Arial" w:cs="Arial"/>
          <w:color w:val="000000"/>
          <w:sz w:val="22"/>
          <w:szCs w:val="22"/>
        </w:rPr>
      </w:pPr>
      <w:bookmarkStart w:id="8" w:name="_Toc225024741"/>
      <w:r w:rsidRPr="00E003BE">
        <w:rPr>
          <w:rFonts w:ascii="Arial" w:hAnsi="Arial" w:cs="Arial"/>
          <w:color w:val="000000"/>
          <w:sz w:val="22"/>
          <w:szCs w:val="22"/>
        </w:rPr>
        <w:t>Age UK (2023) </w:t>
      </w:r>
      <w:r w:rsidRPr="00E003BE">
        <w:rPr>
          <w:rFonts w:ascii="Arial" w:hAnsi="Arial" w:cs="Arial"/>
          <w:i/>
          <w:iCs/>
          <w:color w:val="000000"/>
          <w:sz w:val="22"/>
          <w:szCs w:val="22"/>
        </w:rPr>
        <w:t>Offline and left behind: Digital exclusion among older people</w:t>
      </w:r>
      <w:r w:rsidRPr="00E003BE">
        <w:rPr>
          <w:rFonts w:ascii="Arial" w:hAnsi="Arial" w:cs="Arial"/>
          <w:color w:val="000000"/>
          <w:sz w:val="22"/>
          <w:szCs w:val="22"/>
        </w:rPr>
        <w:t>. Available at: </w:t>
      </w:r>
      <w:hyperlink r:id="rId10" w:history="1">
        <w:r w:rsidRPr="00E003BE">
          <w:rPr>
            <w:rFonts w:ascii="Arial" w:hAnsi="Arial" w:cs="Arial"/>
            <w:color w:val="0000FF"/>
            <w:sz w:val="22"/>
            <w:szCs w:val="22"/>
            <w:u w:val="single"/>
          </w:rPr>
          <w:t>https://www.ageuk.org.uk/globalassets/age-uk/documents/reports-and-publications/reports-and-briefings/active-communities/digital-exclusion-report-2023.pdf</w:t>
        </w:r>
      </w:hyperlink>
      <w:r w:rsidRPr="00E003BE">
        <w:rPr>
          <w:rFonts w:ascii="Arial" w:hAnsi="Arial" w:cs="Arial"/>
          <w:sz w:val="22"/>
          <w:szCs w:val="22"/>
        </w:rPr>
        <w:t xml:space="preserve"> </w:t>
      </w:r>
      <w:r w:rsidR="004B4CF7" w:rsidRPr="00E003BE">
        <w:rPr>
          <w:rFonts w:ascii="Arial" w:hAnsi="Arial" w:cs="Arial"/>
          <w:color w:val="000000"/>
          <w:sz w:val="22"/>
          <w:szCs w:val="22"/>
        </w:rPr>
        <w:t>provides a comprehensive report on digital exclusion among older adults in the UK. The source is highly credible due to its status as a leading national charity specialising in elderly welfare. It presents statistical evidence showing the scale of digital exclusion and highlights its implications for access to healthcare services.</w:t>
      </w:r>
    </w:p>
    <w:p w14:paraId="5C376AFD"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lastRenderedPageBreak/>
        <w:t>However, while the report is valuable in quantifying the issue, it is primarily descriptive and offers limited exploration of the underlying behavioural and psychological factors influencing digital disengagement.</w:t>
      </w:r>
    </w:p>
    <w:p w14:paraId="3BB3DF39" w14:textId="77777777" w:rsidR="00575E73" w:rsidRPr="00E003BE" w:rsidRDefault="00575E73" w:rsidP="00575E73">
      <w:pPr>
        <w:pStyle w:val="Heading2"/>
        <w:rPr>
          <w:rFonts w:ascii="Arial" w:eastAsia="Arial" w:hAnsi="Arial" w:cs="Arial"/>
          <w:sz w:val="22"/>
          <w:szCs w:val="22"/>
        </w:rPr>
      </w:pPr>
      <w:r w:rsidRPr="00E003BE">
        <w:rPr>
          <w:rFonts w:ascii="Arial" w:eastAsia="Arial" w:hAnsi="Arial" w:cs="Arial"/>
          <w:sz w:val="22"/>
          <w:szCs w:val="22"/>
        </w:rPr>
        <w:t>2.2 Source 2</w:t>
      </w:r>
      <w:bookmarkEnd w:id="8"/>
    </w:p>
    <w:p w14:paraId="189A11DE" w14:textId="352F5C1B" w:rsidR="004B4CF7" w:rsidRPr="00E003BE" w:rsidRDefault="00E003BE" w:rsidP="004B4CF7">
      <w:pPr>
        <w:spacing w:before="100" w:beforeAutospacing="1" w:after="100" w:afterAutospacing="1" w:line="240" w:lineRule="auto"/>
        <w:rPr>
          <w:rFonts w:ascii="Arial" w:hAnsi="Arial" w:cs="Arial"/>
          <w:color w:val="000000"/>
          <w:sz w:val="22"/>
          <w:szCs w:val="22"/>
        </w:rPr>
      </w:pPr>
      <w:bookmarkStart w:id="9" w:name="_Toc225024742"/>
      <w:r w:rsidRPr="00E003BE">
        <w:rPr>
          <w:rFonts w:ascii="Arial" w:hAnsi="Arial" w:cs="Arial"/>
          <w:color w:val="000000"/>
          <w:sz w:val="22"/>
          <w:szCs w:val="22"/>
        </w:rPr>
        <w:t>Helsper, E.J. (2021) </w:t>
      </w:r>
      <w:r w:rsidRPr="00E003BE">
        <w:rPr>
          <w:rFonts w:ascii="Arial" w:hAnsi="Arial" w:cs="Arial"/>
          <w:i/>
          <w:iCs/>
          <w:color w:val="000000"/>
          <w:sz w:val="22"/>
          <w:szCs w:val="22"/>
        </w:rPr>
        <w:t>The Digital Disconnect</w:t>
      </w:r>
      <w:r w:rsidRPr="00E003BE">
        <w:rPr>
          <w:rFonts w:ascii="Arial" w:hAnsi="Arial" w:cs="Arial"/>
          <w:color w:val="000000"/>
          <w:sz w:val="22"/>
          <w:szCs w:val="22"/>
        </w:rPr>
        <w:t>. London: SAGE. Available at: </w:t>
      </w:r>
      <w:hyperlink r:id="rId11" w:history="1">
        <w:r w:rsidRPr="00E003BE">
          <w:rPr>
            <w:rFonts w:ascii="Arial" w:hAnsi="Arial" w:cs="Arial"/>
            <w:color w:val="0000FF"/>
            <w:sz w:val="22"/>
            <w:szCs w:val="22"/>
            <w:u w:val="single"/>
          </w:rPr>
          <w:t>https://www.sagepub.com/en-gb/eur/the-digital-disconnect/book262858</w:t>
        </w:r>
      </w:hyperlink>
      <w:r w:rsidRPr="00E003BE">
        <w:rPr>
          <w:rFonts w:ascii="Arial" w:hAnsi="Arial" w:cs="Arial"/>
          <w:sz w:val="22"/>
          <w:szCs w:val="22"/>
        </w:rPr>
        <w:t xml:space="preserve"> </w:t>
      </w:r>
      <w:r w:rsidR="004B4CF7" w:rsidRPr="00E003BE">
        <w:rPr>
          <w:rFonts w:ascii="Arial" w:hAnsi="Arial" w:cs="Arial"/>
          <w:color w:val="000000"/>
          <w:sz w:val="22"/>
          <w:szCs w:val="22"/>
        </w:rPr>
        <w:t>offers a theoretical framework through a sociological lens, arguing that digital exclusion is multidimensional, encompassing not only access but also skills, motivation, and social support. This academic source adds depth to the discussion by moving beyond statistics and exploring the complexity of digital inequality.</w:t>
      </w:r>
    </w:p>
    <w:p w14:paraId="69AC1E3B"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A key strength of this source is its critical perspective; however, it is less focused on healthcare specifically, requiring application and interpretation within the context of NHS services.</w:t>
      </w:r>
    </w:p>
    <w:p w14:paraId="04AB413A" w14:textId="77777777" w:rsidR="00575E73" w:rsidRPr="00E003BE" w:rsidRDefault="00432D05" w:rsidP="00432D05">
      <w:pPr>
        <w:pStyle w:val="Heading2"/>
        <w:rPr>
          <w:rFonts w:ascii="Arial" w:eastAsia="Arial" w:hAnsi="Arial" w:cs="Arial"/>
          <w:sz w:val="22"/>
          <w:szCs w:val="22"/>
        </w:rPr>
      </w:pPr>
      <w:r w:rsidRPr="00E003BE">
        <w:rPr>
          <w:rFonts w:ascii="Arial" w:eastAsia="Arial" w:hAnsi="Arial" w:cs="Arial"/>
          <w:sz w:val="22"/>
          <w:szCs w:val="22"/>
        </w:rPr>
        <w:t>2.3 Source</w:t>
      </w:r>
      <w:r w:rsidR="00575E73" w:rsidRPr="00E003BE">
        <w:rPr>
          <w:rFonts w:ascii="Arial" w:eastAsia="Arial" w:hAnsi="Arial" w:cs="Arial"/>
          <w:sz w:val="22"/>
          <w:szCs w:val="22"/>
        </w:rPr>
        <w:t xml:space="preserve"> 3</w:t>
      </w:r>
      <w:bookmarkEnd w:id="9"/>
    </w:p>
    <w:p w14:paraId="45509FB5" w14:textId="4953F6C9" w:rsidR="004B4CF7" w:rsidRPr="00E003BE" w:rsidRDefault="00E003BE"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NHS England (2022) </w:t>
      </w:r>
      <w:r w:rsidRPr="00E003BE">
        <w:rPr>
          <w:rFonts w:ascii="Arial" w:hAnsi="Arial" w:cs="Arial"/>
          <w:i/>
          <w:iCs/>
          <w:color w:val="000000"/>
          <w:sz w:val="22"/>
          <w:szCs w:val="22"/>
        </w:rPr>
        <w:t>NHS Digital Inclusion Framework</w:t>
      </w:r>
      <w:r w:rsidRPr="00E003BE">
        <w:rPr>
          <w:rFonts w:ascii="Arial" w:hAnsi="Arial" w:cs="Arial"/>
          <w:color w:val="000000"/>
          <w:sz w:val="22"/>
          <w:szCs w:val="22"/>
        </w:rPr>
        <w:t>. Available at: </w:t>
      </w:r>
      <w:hyperlink r:id="rId12" w:history="1">
        <w:r w:rsidRPr="00E003BE">
          <w:rPr>
            <w:rFonts w:ascii="Arial" w:hAnsi="Arial" w:cs="Arial"/>
            <w:color w:val="0000FF"/>
            <w:sz w:val="22"/>
            <w:szCs w:val="22"/>
            <w:u w:val="single"/>
          </w:rPr>
          <w:t>https://www.england.nhs.uk/publication/nhs-digital-inclusion-framework/</w:t>
        </w:r>
      </w:hyperlink>
      <w:r w:rsidRPr="00E003BE">
        <w:rPr>
          <w:rFonts w:ascii="Arial" w:hAnsi="Arial" w:cs="Arial"/>
          <w:sz w:val="22"/>
          <w:szCs w:val="22"/>
        </w:rPr>
        <w:t xml:space="preserve"> </w:t>
      </w:r>
      <w:r w:rsidR="004B4CF7" w:rsidRPr="00E003BE">
        <w:rPr>
          <w:rFonts w:ascii="Arial" w:hAnsi="Arial" w:cs="Arial"/>
          <w:color w:val="000000"/>
          <w:sz w:val="22"/>
          <w:szCs w:val="22"/>
        </w:rPr>
        <w:t>provides a policy-level perspective through its Digital Inclusion Framework. This source is highly authoritative and essential for understanding institutional responses to digital exclusion.</w:t>
      </w:r>
    </w:p>
    <w:p w14:paraId="410BC117"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While it outlines strategic goals and intended interventions, it lacks evaluative evidence about the effectiveness of these initiatives. This limits its usefulness in assessing real-world impact.</w:t>
      </w:r>
    </w:p>
    <w:p w14:paraId="68F2087D" w14:textId="77777777" w:rsidR="00575E73" w:rsidRPr="00E003BE" w:rsidRDefault="00575E73" w:rsidP="00575E73">
      <w:pPr>
        <w:rPr>
          <w:rFonts w:ascii="Arial" w:eastAsia="Arial" w:hAnsi="Arial" w:cs="Arial"/>
          <w:sz w:val="22"/>
          <w:szCs w:val="22"/>
        </w:rPr>
      </w:pPr>
    </w:p>
    <w:p w14:paraId="283C7FB9" w14:textId="77777777" w:rsidR="00575E73" w:rsidRPr="00E003BE" w:rsidRDefault="00432D05" w:rsidP="00432D05">
      <w:pPr>
        <w:pStyle w:val="Heading2"/>
        <w:rPr>
          <w:rFonts w:ascii="Arial" w:eastAsia="Arial" w:hAnsi="Arial" w:cs="Arial"/>
          <w:sz w:val="22"/>
          <w:szCs w:val="22"/>
        </w:rPr>
      </w:pPr>
      <w:bookmarkStart w:id="10" w:name="_Toc225024743"/>
      <w:r w:rsidRPr="00E003BE">
        <w:rPr>
          <w:rFonts w:ascii="Arial" w:eastAsia="Arial" w:hAnsi="Arial" w:cs="Arial"/>
          <w:sz w:val="22"/>
          <w:szCs w:val="22"/>
        </w:rPr>
        <w:t xml:space="preserve">2.4 </w:t>
      </w:r>
      <w:r w:rsidR="00575E73" w:rsidRPr="00E003BE">
        <w:rPr>
          <w:rFonts w:ascii="Arial" w:eastAsia="Arial" w:hAnsi="Arial" w:cs="Arial"/>
          <w:sz w:val="22"/>
          <w:szCs w:val="22"/>
        </w:rPr>
        <w:t>Gaps in Current Research</w:t>
      </w:r>
      <w:bookmarkEnd w:id="10"/>
    </w:p>
    <w:p w14:paraId="4D3FCE60"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bookmarkStart w:id="11" w:name="_Toc225024744"/>
      <w:r w:rsidRPr="00E003BE">
        <w:rPr>
          <w:rFonts w:ascii="Arial" w:hAnsi="Arial" w:cs="Arial"/>
          <w:color w:val="000000"/>
          <w:sz w:val="22"/>
          <w:szCs w:val="22"/>
        </w:rPr>
        <w:t xml:space="preserve">Although existing literature provides strong statistical and policy-based insights, significant gaps stay. Most notably, there </w:t>
      </w:r>
      <w:bookmarkStart w:id="12" w:name="_Int_vMqushlc"/>
      <w:r w:rsidRPr="00E003BE">
        <w:rPr>
          <w:rFonts w:ascii="Arial" w:hAnsi="Arial" w:cs="Arial"/>
          <w:color w:val="000000"/>
          <w:sz w:val="22"/>
          <w:szCs w:val="22"/>
        </w:rPr>
        <w:t>is limited</w:t>
      </w:r>
      <w:bookmarkEnd w:id="12"/>
      <w:r w:rsidRPr="00E003BE">
        <w:rPr>
          <w:rFonts w:ascii="Arial" w:hAnsi="Arial" w:cs="Arial"/>
          <w:color w:val="000000"/>
          <w:sz w:val="22"/>
          <w:szCs w:val="22"/>
        </w:rPr>
        <w:t xml:space="preserve"> qualitative research exploring the emotional and psychological barriers that prevent older adults from engaging with digital healthcare services. Issues such as fear, lack of confidence, and distrust in technology </w:t>
      </w:r>
      <w:bookmarkStart w:id="13" w:name="_Int_XgKjnL3V"/>
      <w:r w:rsidRPr="00E003BE">
        <w:rPr>
          <w:rFonts w:ascii="Arial" w:hAnsi="Arial" w:cs="Arial"/>
          <w:color w:val="000000"/>
          <w:sz w:val="22"/>
          <w:szCs w:val="22"/>
        </w:rPr>
        <w:t>are acknowledged</w:t>
      </w:r>
      <w:bookmarkEnd w:id="13"/>
      <w:r w:rsidRPr="00E003BE">
        <w:rPr>
          <w:rFonts w:ascii="Arial" w:hAnsi="Arial" w:cs="Arial"/>
          <w:color w:val="000000"/>
          <w:sz w:val="22"/>
          <w:szCs w:val="22"/>
        </w:rPr>
        <w:t xml:space="preserve"> but insufficiently examined.</w:t>
      </w:r>
    </w:p>
    <w:p w14:paraId="23DD0920"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Additionally, there is a lack of localised research capturing the diverse experiences of elderly populations across different socio-economic and cultural contexts. National-level data may overlook important variations in access and support systems.</w:t>
      </w:r>
    </w:p>
    <w:p w14:paraId="71B3D8B4"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Finally, there is limited evaluation of current digital inclusion initiatives, raising questions about their effectiveness in addressing the needs of the most vulnerable groups. These gaps highlight the need for research that prioritises lived experiences and contextual understanding.</w:t>
      </w:r>
    </w:p>
    <w:p w14:paraId="72D71332" w14:textId="77777777" w:rsidR="00575E73" w:rsidRPr="00E003BE" w:rsidRDefault="00575E73" w:rsidP="00432D05">
      <w:pPr>
        <w:pStyle w:val="Heading1"/>
        <w:rPr>
          <w:rFonts w:ascii="Arial" w:eastAsia="Arial" w:hAnsi="Arial" w:cs="Arial"/>
          <w:sz w:val="22"/>
          <w:szCs w:val="22"/>
        </w:rPr>
      </w:pPr>
      <w:r w:rsidRPr="00E003BE">
        <w:rPr>
          <w:rFonts w:ascii="Arial" w:eastAsia="Arial" w:hAnsi="Arial" w:cs="Arial"/>
          <w:sz w:val="22"/>
          <w:szCs w:val="22"/>
        </w:rPr>
        <w:t>Task 3 – Research Methodologies</w:t>
      </w:r>
      <w:bookmarkEnd w:id="11"/>
      <w:r w:rsidRPr="00E003BE">
        <w:rPr>
          <w:rFonts w:ascii="Arial" w:eastAsia="Arial" w:hAnsi="Arial" w:cs="Arial"/>
          <w:sz w:val="22"/>
          <w:szCs w:val="22"/>
        </w:rPr>
        <w:t xml:space="preserve">  </w:t>
      </w:r>
    </w:p>
    <w:p w14:paraId="4008690A" w14:textId="77777777" w:rsidR="00575E73" w:rsidRPr="00E003BE" w:rsidRDefault="00432D05" w:rsidP="00432D05">
      <w:pPr>
        <w:pStyle w:val="Heading2"/>
        <w:rPr>
          <w:rFonts w:ascii="Arial" w:eastAsia="Arial" w:hAnsi="Arial" w:cs="Arial"/>
          <w:sz w:val="22"/>
          <w:szCs w:val="22"/>
        </w:rPr>
      </w:pPr>
      <w:bookmarkStart w:id="14" w:name="_Toc225024745"/>
      <w:r w:rsidRPr="00E003BE">
        <w:rPr>
          <w:rFonts w:ascii="Arial" w:eastAsia="Arial" w:hAnsi="Arial" w:cs="Arial"/>
          <w:sz w:val="22"/>
          <w:szCs w:val="22"/>
        </w:rPr>
        <w:t xml:space="preserve">3.1 </w:t>
      </w:r>
      <w:r w:rsidR="00575E73" w:rsidRPr="00E003BE">
        <w:rPr>
          <w:rFonts w:ascii="Arial" w:eastAsia="Arial" w:hAnsi="Arial" w:cs="Arial"/>
          <w:sz w:val="22"/>
          <w:szCs w:val="22"/>
        </w:rPr>
        <w:t>Definitions and Examples</w:t>
      </w:r>
      <w:bookmarkEnd w:id="14"/>
    </w:p>
    <w:p w14:paraId="7E988C3B"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bookmarkStart w:id="15" w:name="_Toc225024746"/>
      <w:r w:rsidRPr="00E003BE">
        <w:rPr>
          <w:rFonts w:ascii="Arial" w:hAnsi="Arial" w:cs="Arial"/>
          <w:color w:val="000000"/>
          <w:sz w:val="22"/>
          <w:szCs w:val="22"/>
        </w:rPr>
        <w:t>Quantitative research focuses on numerical data to find patterns and relationships, such as surveys measuring NHS App usage among older adults.</w:t>
      </w:r>
    </w:p>
    <w:p w14:paraId="3D48C16C"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lastRenderedPageBreak/>
        <w:t>Qualitative research explores experiences and meanings through methods such as interviews, providing insight into individual perspectives.</w:t>
      </w:r>
    </w:p>
    <w:p w14:paraId="2B312E2B"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Mixed-methods research combines both approaches, for example, using surveys alongside focus groups to gain a comprehensive understanding of an issue.</w:t>
      </w:r>
    </w:p>
    <w:p w14:paraId="37811B86" w14:textId="77777777" w:rsidR="00575E73" w:rsidRPr="00E003BE" w:rsidRDefault="00432D05" w:rsidP="00432D05">
      <w:pPr>
        <w:pStyle w:val="Heading2"/>
        <w:rPr>
          <w:rFonts w:ascii="Arial" w:eastAsia="Arial" w:hAnsi="Arial" w:cs="Arial"/>
          <w:sz w:val="22"/>
          <w:szCs w:val="22"/>
        </w:rPr>
      </w:pPr>
      <w:r w:rsidRPr="00E003BE">
        <w:rPr>
          <w:rFonts w:ascii="Arial" w:eastAsia="Arial" w:hAnsi="Arial" w:cs="Arial"/>
          <w:sz w:val="22"/>
          <w:szCs w:val="22"/>
        </w:rPr>
        <w:t xml:space="preserve">3.2 </w:t>
      </w:r>
      <w:r w:rsidR="00575E73" w:rsidRPr="00E003BE">
        <w:rPr>
          <w:rFonts w:ascii="Arial" w:eastAsia="Arial" w:hAnsi="Arial" w:cs="Arial"/>
          <w:sz w:val="22"/>
          <w:szCs w:val="22"/>
        </w:rPr>
        <w:t>Chosen Methodology and Justification</w:t>
      </w:r>
      <w:bookmarkEnd w:id="15"/>
    </w:p>
    <w:p w14:paraId="2CB6E8F1"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bookmarkStart w:id="16" w:name="_Toc225024747"/>
      <w:r w:rsidRPr="00E003BE">
        <w:rPr>
          <w:rFonts w:ascii="Arial" w:hAnsi="Arial" w:cs="Arial"/>
          <w:color w:val="000000"/>
          <w:sz w:val="22"/>
          <w:szCs w:val="22"/>
        </w:rPr>
        <w:t>A qualitative method is the rightest approach for this study. While quantitative data can prove the scale of digital exclusion, it does not capture the underlying reasons behind it.</w:t>
      </w:r>
    </w:p>
    <w:p w14:paraId="0013277E"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Qualitative methods, such as semi-structured interviews, allow for in-depth exploration of individual experiences, attitudes, and emotional barriers. This aligns directly with the identified research gaps and enables a more nuanced understanding of the issue, which is essential for developing effective and inclusive healthcare interventions.</w:t>
      </w:r>
    </w:p>
    <w:p w14:paraId="12559061" w14:textId="77777777" w:rsidR="00575E73" w:rsidRPr="00E003BE" w:rsidRDefault="00575E73" w:rsidP="00432D05">
      <w:pPr>
        <w:pStyle w:val="Heading1"/>
        <w:rPr>
          <w:rFonts w:ascii="Arial" w:eastAsia="Arial" w:hAnsi="Arial" w:cs="Arial"/>
          <w:sz w:val="22"/>
          <w:szCs w:val="22"/>
        </w:rPr>
      </w:pPr>
      <w:r w:rsidRPr="00E003BE">
        <w:rPr>
          <w:rFonts w:ascii="Arial" w:eastAsia="Arial" w:hAnsi="Arial" w:cs="Arial"/>
          <w:sz w:val="22"/>
          <w:szCs w:val="22"/>
        </w:rPr>
        <w:t>Task 4 – Data Collection</w:t>
      </w:r>
      <w:bookmarkEnd w:id="16"/>
      <w:r w:rsidRPr="00E003BE">
        <w:rPr>
          <w:rFonts w:ascii="Arial" w:eastAsia="Arial" w:hAnsi="Arial" w:cs="Arial"/>
          <w:sz w:val="22"/>
          <w:szCs w:val="22"/>
        </w:rPr>
        <w:t xml:space="preserve">  </w:t>
      </w:r>
    </w:p>
    <w:p w14:paraId="77909AA6" w14:textId="77777777" w:rsidR="00575E73" w:rsidRPr="00E003BE" w:rsidRDefault="00432D05" w:rsidP="00432D05">
      <w:pPr>
        <w:pStyle w:val="Heading2"/>
        <w:rPr>
          <w:rFonts w:ascii="Arial" w:eastAsia="Arial" w:hAnsi="Arial" w:cs="Arial"/>
          <w:sz w:val="22"/>
          <w:szCs w:val="22"/>
        </w:rPr>
      </w:pPr>
      <w:bookmarkStart w:id="17" w:name="_Toc225024748"/>
      <w:r w:rsidRPr="00E003BE">
        <w:rPr>
          <w:rFonts w:ascii="Arial" w:eastAsia="Arial" w:hAnsi="Arial" w:cs="Arial"/>
          <w:sz w:val="22"/>
          <w:szCs w:val="22"/>
        </w:rPr>
        <w:t xml:space="preserve">4.1 </w:t>
      </w:r>
      <w:r w:rsidR="00575E73" w:rsidRPr="00E003BE">
        <w:rPr>
          <w:rFonts w:ascii="Arial" w:eastAsia="Arial" w:hAnsi="Arial" w:cs="Arial"/>
          <w:sz w:val="22"/>
          <w:szCs w:val="22"/>
        </w:rPr>
        <w:t>Primary vs Secondary Data</w:t>
      </w:r>
      <w:bookmarkEnd w:id="17"/>
    </w:p>
    <w:p w14:paraId="012FE506"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bookmarkStart w:id="18" w:name="_Toc225024749"/>
      <w:r w:rsidRPr="00E003BE">
        <w:rPr>
          <w:rFonts w:ascii="Arial" w:hAnsi="Arial" w:cs="Arial"/>
          <w:color w:val="000000"/>
          <w:sz w:val="22"/>
          <w:szCs w:val="22"/>
        </w:rPr>
        <w:t>Primary data refers to original data collected directly by the researcher, such as interviews or surveys conducted for a specific study. Secondary data refers to existing data collected by other researchers or organisations, including reports, statistics, and academic literature.</w:t>
      </w:r>
    </w:p>
    <w:p w14:paraId="5131573C" w14:textId="77777777" w:rsidR="00575E73" w:rsidRPr="00E003BE" w:rsidRDefault="00432D05" w:rsidP="00432D05">
      <w:pPr>
        <w:pStyle w:val="Heading2"/>
        <w:rPr>
          <w:rFonts w:ascii="Arial" w:eastAsia="Arial" w:hAnsi="Arial" w:cs="Arial"/>
          <w:sz w:val="22"/>
          <w:szCs w:val="22"/>
        </w:rPr>
      </w:pPr>
      <w:r w:rsidRPr="00E003BE">
        <w:rPr>
          <w:rFonts w:ascii="Arial" w:eastAsia="Arial" w:hAnsi="Arial" w:cs="Arial"/>
          <w:sz w:val="22"/>
          <w:szCs w:val="22"/>
        </w:rPr>
        <w:t xml:space="preserve">4.2 </w:t>
      </w:r>
      <w:r w:rsidR="00575E73" w:rsidRPr="00E003BE">
        <w:rPr>
          <w:rFonts w:ascii="Arial" w:eastAsia="Arial" w:hAnsi="Arial" w:cs="Arial"/>
          <w:sz w:val="22"/>
          <w:szCs w:val="22"/>
        </w:rPr>
        <w:t>Chosen Data Type and Justification</w:t>
      </w:r>
      <w:bookmarkEnd w:id="18"/>
    </w:p>
    <w:p w14:paraId="14E99B4A"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bookmarkStart w:id="19" w:name="_Toc225024750"/>
      <w:r w:rsidRPr="00E003BE">
        <w:rPr>
          <w:rFonts w:ascii="Arial" w:hAnsi="Arial" w:cs="Arial"/>
          <w:color w:val="000000"/>
          <w:sz w:val="22"/>
          <w:szCs w:val="22"/>
        </w:rPr>
        <w:t xml:space="preserve">Primary data will </w:t>
      </w:r>
      <w:bookmarkStart w:id="20" w:name="_Int_pDsRtf0I"/>
      <w:r w:rsidRPr="00E003BE">
        <w:rPr>
          <w:rFonts w:ascii="Arial" w:hAnsi="Arial" w:cs="Arial"/>
          <w:color w:val="000000"/>
          <w:sz w:val="22"/>
          <w:szCs w:val="22"/>
        </w:rPr>
        <w:t>be used</w:t>
      </w:r>
      <w:bookmarkEnd w:id="20"/>
      <w:r w:rsidRPr="00E003BE">
        <w:rPr>
          <w:rFonts w:ascii="Arial" w:hAnsi="Arial" w:cs="Arial"/>
          <w:color w:val="000000"/>
          <w:sz w:val="22"/>
          <w:szCs w:val="22"/>
        </w:rPr>
        <w:t xml:space="preserve"> in this study, collected through semi-structured interviews with elderly participants. This approach allows for the collection of rich, detailed data tailored to the research goals.</w:t>
      </w:r>
    </w:p>
    <w:p w14:paraId="60F7159C" w14:textId="77777777" w:rsidR="004B4CF7" w:rsidRPr="00E003BE" w:rsidRDefault="004B4CF7" w:rsidP="004B4CF7">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 xml:space="preserve">It is particularly suitable for exploring emotional and psychological barriers, as participants can express their experiences in their own words, providing insights that cannot </w:t>
      </w:r>
      <w:bookmarkStart w:id="21" w:name="_Int_SPlFPDsp"/>
      <w:r w:rsidRPr="00E003BE">
        <w:rPr>
          <w:rFonts w:ascii="Arial" w:hAnsi="Arial" w:cs="Arial"/>
          <w:color w:val="000000"/>
          <w:sz w:val="22"/>
          <w:szCs w:val="22"/>
        </w:rPr>
        <w:t>be captured</w:t>
      </w:r>
      <w:bookmarkEnd w:id="21"/>
      <w:r w:rsidRPr="00E003BE">
        <w:rPr>
          <w:rFonts w:ascii="Arial" w:hAnsi="Arial" w:cs="Arial"/>
          <w:color w:val="000000"/>
          <w:sz w:val="22"/>
          <w:szCs w:val="22"/>
        </w:rPr>
        <w:t xml:space="preserve"> through secondary data alone.</w:t>
      </w:r>
    </w:p>
    <w:p w14:paraId="2119901C" w14:textId="77777777" w:rsidR="00575E73" w:rsidRPr="00E003BE" w:rsidRDefault="00432D05" w:rsidP="00432D05">
      <w:pPr>
        <w:pStyle w:val="Heading2"/>
        <w:rPr>
          <w:rFonts w:ascii="Arial" w:eastAsia="Arial" w:hAnsi="Arial" w:cs="Arial"/>
          <w:sz w:val="22"/>
          <w:szCs w:val="22"/>
        </w:rPr>
      </w:pPr>
      <w:r w:rsidRPr="00E003BE">
        <w:rPr>
          <w:rFonts w:ascii="Arial" w:eastAsia="Arial" w:hAnsi="Arial" w:cs="Arial"/>
          <w:sz w:val="22"/>
          <w:szCs w:val="22"/>
        </w:rPr>
        <w:t xml:space="preserve">4.3 </w:t>
      </w:r>
      <w:r w:rsidR="00575E73" w:rsidRPr="00E003BE">
        <w:rPr>
          <w:rFonts w:ascii="Arial" w:eastAsia="Arial" w:hAnsi="Arial" w:cs="Arial"/>
          <w:sz w:val="22"/>
          <w:szCs w:val="22"/>
        </w:rPr>
        <w:t>Advantages and Challenges</w:t>
      </w:r>
      <w:bookmarkEnd w:id="19"/>
    </w:p>
    <w:p w14:paraId="786DC4D3"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 xml:space="preserve">One key advantage of primary data is its relevance and specificity to the research topic. It also enables a deeper understanding of </w:t>
      </w:r>
      <w:bookmarkStart w:id="22" w:name="_Int_s3yTB9js"/>
      <w:proofErr w:type="gramStart"/>
      <w:r w:rsidRPr="00E003BE">
        <w:rPr>
          <w:rFonts w:ascii="Arial" w:hAnsi="Arial" w:cs="Arial"/>
          <w:color w:val="000000"/>
          <w:sz w:val="22"/>
          <w:szCs w:val="22"/>
        </w:rPr>
        <w:t>participants’</w:t>
      </w:r>
      <w:bookmarkEnd w:id="22"/>
      <w:proofErr w:type="gramEnd"/>
      <w:r w:rsidRPr="00E003BE">
        <w:rPr>
          <w:rFonts w:ascii="Arial" w:hAnsi="Arial" w:cs="Arial"/>
          <w:color w:val="000000"/>
          <w:sz w:val="22"/>
          <w:szCs w:val="22"/>
        </w:rPr>
        <w:t xml:space="preserve"> lived experiences.</w:t>
      </w:r>
    </w:p>
    <w:p w14:paraId="2624CE23"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However, challenges include potential ethical considerations, such as obtaining informed consent and ensuring participant confidentiality. Additionally, data collection can be time-consuming and may involve difficulties in recruiting participants, particularly within older populations.</w:t>
      </w:r>
    </w:p>
    <w:p w14:paraId="50F1F20E" w14:textId="77777777" w:rsidR="00575E73" w:rsidRPr="00E003BE" w:rsidRDefault="00575E73" w:rsidP="00575E73">
      <w:pPr>
        <w:rPr>
          <w:rFonts w:ascii="Arial" w:eastAsia="Arial" w:hAnsi="Arial" w:cs="Arial"/>
          <w:sz w:val="22"/>
          <w:szCs w:val="22"/>
        </w:rPr>
      </w:pPr>
    </w:p>
    <w:p w14:paraId="6CDFDF8C" w14:textId="77777777" w:rsidR="00575E73" w:rsidRPr="00E003BE" w:rsidRDefault="00575E73" w:rsidP="00432D05">
      <w:pPr>
        <w:pStyle w:val="Heading1"/>
        <w:rPr>
          <w:rFonts w:ascii="Arial" w:eastAsia="Arial" w:hAnsi="Arial" w:cs="Arial"/>
          <w:sz w:val="22"/>
          <w:szCs w:val="22"/>
        </w:rPr>
      </w:pPr>
      <w:bookmarkStart w:id="23" w:name="_Toc225024751"/>
      <w:r w:rsidRPr="00E003BE">
        <w:rPr>
          <w:rFonts w:ascii="Arial" w:eastAsia="Arial" w:hAnsi="Arial" w:cs="Arial"/>
          <w:sz w:val="22"/>
          <w:szCs w:val="22"/>
        </w:rPr>
        <w:t>Conclusion</w:t>
      </w:r>
      <w:bookmarkEnd w:id="23"/>
      <w:r w:rsidRPr="00E003BE">
        <w:rPr>
          <w:rFonts w:ascii="Arial" w:eastAsia="Arial" w:hAnsi="Arial" w:cs="Arial"/>
          <w:sz w:val="22"/>
          <w:szCs w:val="22"/>
        </w:rPr>
        <w:t xml:space="preserve">  </w:t>
      </w:r>
    </w:p>
    <w:p w14:paraId="36CCCC31"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bookmarkStart w:id="24" w:name="_Toc225024752"/>
      <w:r w:rsidRPr="00E003BE">
        <w:rPr>
          <w:rFonts w:ascii="Arial" w:hAnsi="Arial" w:cs="Arial"/>
          <w:color w:val="000000"/>
          <w:sz w:val="22"/>
          <w:szCs w:val="22"/>
        </w:rPr>
        <w:t>In conclusion, digital exclusion among older adults presents a significant challenge to healthcare accessibility in the UK. While existing research highlights the scale of the issue, there is a clear need for more in-depth, qualitative investigation into the underlying causes of exclusion.</w:t>
      </w:r>
    </w:p>
    <w:p w14:paraId="69C25043"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lastRenderedPageBreak/>
        <w:t>By adopting a qualitative method and primary data collection approach, this study aims to address these gaps and contribute to a more inclusive and fair healthcare system.</w:t>
      </w:r>
    </w:p>
    <w:p w14:paraId="778BE337" w14:textId="77777777" w:rsidR="00A704BB" w:rsidRPr="00E003BE" w:rsidRDefault="00A704BB" w:rsidP="00432D05">
      <w:pPr>
        <w:pStyle w:val="Heading1"/>
        <w:rPr>
          <w:rFonts w:ascii="Arial" w:eastAsia="Arial" w:hAnsi="Arial" w:cs="Arial"/>
          <w:sz w:val="22"/>
          <w:szCs w:val="22"/>
        </w:rPr>
      </w:pPr>
    </w:p>
    <w:p w14:paraId="19A51B3D" w14:textId="77777777" w:rsidR="00A704BB" w:rsidRPr="00E003BE" w:rsidRDefault="00A704BB" w:rsidP="00432D05">
      <w:pPr>
        <w:pStyle w:val="Heading1"/>
        <w:rPr>
          <w:rFonts w:ascii="Arial" w:eastAsia="Arial" w:hAnsi="Arial" w:cs="Arial"/>
          <w:sz w:val="22"/>
          <w:szCs w:val="22"/>
        </w:rPr>
      </w:pPr>
    </w:p>
    <w:p w14:paraId="5CAF2B76" w14:textId="77777777" w:rsidR="00A704BB" w:rsidRPr="00E003BE" w:rsidRDefault="00A704BB" w:rsidP="00432D05">
      <w:pPr>
        <w:pStyle w:val="Heading1"/>
        <w:rPr>
          <w:rFonts w:ascii="Arial" w:eastAsia="Arial" w:hAnsi="Arial" w:cs="Arial"/>
          <w:sz w:val="22"/>
          <w:szCs w:val="22"/>
        </w:rPr>
      </w:pPr>
    </w:p>
    <w:p w14:paraId="799C7AFB" w14:textId="77777777" w:rsidR="0006014E" w:rsidRPr="00E003BE" w:rsidRDefault="0006014E" w:rsidP="0006014E">
      <w:pPr>
        <w:rPr>
          <w:rFonts w:ascii="Arial" w:hAnsi="Arial" w:cs="Arial"/>
          <w:sz w:val="22"/>
          <w:szCs w:val="22"/>
        </w:rPr>
      </w:pPr>
    </w:p>
    <w:p w14:paraId="063C2BFE" w14:textId="77777777" w:rsidR="0006014E" w:rsidRPr="00E003BE" w:rsidRDefault="0006014E" w:rsidP="0006014E">
      <w:pPr>
        <w:rPr>
          <w:rFonts w:ascii="Arial" w:hAnsi="Arial" w:cs="Arial"/>
          <w:sz w:val="22"/>
          <w:szCs w:val="22"/>
        </w:rPr>
      </w:pPr>
    </w:p>
    <w:p w14:paraId="69758057" w14:textId="77777777" w:rsidR="0006014E" w:rsidRPr="00E003BE" w:rsidRDefault="0006014E" w:rsidP="0006014E">
      <w:pPr>
        <w:rPr>
          <w:rFonts w:ascii="Arial" w:hAnsi="Arial" w:cs="Arial"/>
          <w:sz w:val="22"/>
          <w:szCs w:val="22"/>
        </w:rPr>
      </w:pPr>
    </w:p>
    <w:p w14:paraId="59464F15" w14:textId="77777777" w:rsidR="0006014E" w:rsidRPr="00E003BE" w:rsidRDefault="0006014E" w:rsidP="0006014E">
      <w:pPr>
        <w:rPr>
          <w:rFonts w:ascii="Arial" w:hAnsi="Arial" w:cs="Arial"/>
          <w:sz w:val="22"/>
          <w:szCs w:val="22"/>
        </w:rPr>
      </w:pPr>
    </w:p>
    <w:p w14:paraId="44579459" w14:textId="77777777" w:rsidR="0006014E" w:rsidRPr="00E003BE" w:rsidRDefault="0006014E" w:rsidP="0006014E">
      <w:pPr>
        <w:rPr>
          <w:rFonts w:ascii="Arial" w:hAnsi="Arial" w:cs="Arial"/>
          <w:sz w:val="22"/>
          <w:szCs w:val="22"/>
        </w:rPr>
      </w:pPr>
    </w:p>
    <w:p w14:paraId="13A70EB2" w14:textId="77777777" w:rsidR="0006014E" w:rsidRPr="00E003BE" w:rsidRDefault="0006014E" w:rsidP="0006014E">
      <w:pPr>
        <w:rPr>
          <w:rFonts w:ascii="Arial" w:hAnsi="Arial" w:cs="Arial"/>
          <w:sz w:val="22"/>
          <w:szCs w:val="22"/>
        </w:rPr>
      </w:pPr>
    </w:p>
    <w:p w14:paraId="05459E95" w14:textId="77777777" w:rsidR="0006014E" w:rsidRPr="00E003BE" w:rsidRDefault="0006014E" w:rsidP="0006014E">
      <w:pPr>
        <w:rPr>
          <w:rFonts w:ascii="Arial" w:hAnsi="Arial" w:cs="Arial"/>
          <w:sz w:val="22"/>
          <w:szCs w:val="22"/>
        </w:rPr>
      </w:pPr>
    </w:p>
    <w:p w14:paraId="1616DAE5" w14:textId="77777777" w:rsidR="0006014E" w:rsidRPr="00E003BE" w:rsidRDefault="0006014E" w:rsidP="0006014E">
      <w:pPr>
        <w:rPr>
          <w:rFonts w:ascii="Arial" w:hAnsi="Arial" w:cs="Arial"/>
          <w:sz w:val="22"/>
          <w:szCs w:val="22"/>
        </w:rPr>
      </w:pPr>
    </w:p>
    <w:p w14:paraId="5636E771" w14:textId="77777777" w:rsidR="0006014E" w:rsidRPr="00E003BE" w:rsidRDefault="0006014E" w:rsidP="0006014E">
      <w:pPr>
        <w:rPr>
          <w:rFonts w:ascii="Arial" w:hAnsi="Arial" w:cs="Arial"/>
          <w:sz w:val="22"/>
          <w:szCs w:val="22"/>
        </w:rPr>
      </w:pPr>
    </w:p>
    <w:p w14:paraId="760EA433" w14:textId="77777777" w:rsidR="0006014E" w:rsidRPr="00E003BE" w:rsidRDefault="0006014E" w:rsidP="0006014E">
      <w:pPr>
        <w:rPr>
          <w:rFonts w:ascii="Arial" w:hAnsi="Arial" w:cs="Arial"/>
          <w:sz w:val="22"/>
          <w:szCs w:val="22"/>
        </w:rPr>
      </w:pPr>
    </w:p>
    <w:p w14:paraId="68E3AEB4" w14:textId="77777777" w:rsidR="00E003BE" w:rsidRDefault="00E003BE" w:rsidP="00432D05">
      <w:pPr>
        <w:pStyle w:val="Heading1"/>
        <w:rPr>
          <w:rFonts w:ascii="Arial" w:eastAsia="Arial" w:hAnsi="Arial" w:cs="Arial"/>
          <w:sz w:val="22"/>
          <w:szCs w:val="22"/>
        </w:rPr>
      </w:pPr>
    </w:p>
    <w:p w14:paraId="2912ABD6" w14:textId="77777777" w:rsidR="00E003BE" w:rsidRDefault="00E003BE" w:rsidP="00432D05">
      <w:pPr>
        <w:pStyle w:val="Heading1"/>
        <w:rPr>
          <w:rFonts w:ascii="Arial" w:eastAsia="Arial" w:hAnsi="Arial" w:cs="Arial"/>
          <w:sz w:val="22"/>
          <w:szCs w:val="22"/>
        </w:rPr>
      </w:pPr>
    </w:p>
    <w:p w14:paraId="3F7D9E7D" w14:textId="77777777" w:rsidR="00E003BE" w:rsidRDefault="00E003BE" w:rsidP="00432D05">
      <w:pPr>
        <w:pStyle w:val="Heading1"/>
        <w:rPr>
          <w:rFonts w:ascii="Arial" w:eastAsia="Arial" w:hAnsi="Arial" w:cs="Arial"/>
          <w:sz w:val="22"/>
          <w:szCs w:val="22"/>
        </w:rPr>
      </w:pPr>
    </w:p>
    <w:p w14:paraId="1F5C1345" w14:textId="77777777" w:rsidR="00E003BE" w:rsidRDefault="00E003BE" w:rsidP="00432D05">
      <w:pPr>
        <w:pStyle w:val="Heading1"/>
        <w:rPr>
          <w:rFonts w:ascii="Arial" w:eastAsia="Arial" w:hAnsi="Arial" w:cs="Arial"/>
          <w:sz w:val="22"/>
          <w:szCs w:val="22"/>
        </w:rPr>
      </w:pPr>
    </w:p>
    <w:p w14:paraId="25006B27" w14:textId="77777777" w:rsidR="00E003BE" w:rsidRDefault="00E003BE" w:rsidP="00432D05">
      <w:pPr>
        <w:pStyle w:val="Heading1"/>
        <w:rPr>
          <w:rFonts w:ascii="Arial" w:eastAsia="Arial" w:hAnsi="Arial" w:cs="Arial"/>
          <w:sz w:val="22"/>
          <w:szCs w:val="22"/>
        </w:rPr>
      </w:pPr>
    </w:p>
    <w:p w14:paraId="64B9F7E2" w14:textId="77777777" w:rsidR="00E003BE" w:rsidRDefault="00E003BE" w:rsidP="00432D05">
      <w:pPr>
        <w:pStyle w:val="Heading1"/>
        <w:rPr>
          <w:rFonts w:ascii="Arial" w:eastAsia="Arial" w:hAnsi="Arial" w:cs="Arial"/>
          <w:sz w:val="22"/>
          <w:szCs w:val="22"/>
        </w:rPr>
      </w:pPr>
    </w:p>
    <w:p w14:paraId="1A1ADAE4" w14:textId="77777777" w:rsidR="00E003BE" w:rsidRDefault="00E003BE" w:rsidP="00432D05">
      <w:pPr>
        <w:pStyle w:val="Heading1"/>
        <w:rPr>
          <w:rFonts w:ascii="Arial" w:eastAsia="Arial" w:hAnsi="Arial" w:cs="Arial"/>
          <w:sz w:val="22"/>
          <w:szCs w:val="22"/>
        </w:rPr>
      </w:pPr>
    </w:p>
    <w:p w14:paraId="37D28980" w14:textId="77777777" w:rsidR="00E003BE" w:rsidRDefault="00E003BE" w:rsidP="00432D05">
      <w:pPr>
        <w:pStyle w:val="Heading1"/>
        <w:rPr>
          <w:rFonts w:ascii="Arial" w:eastAsia="Arial" w:hAnsi="Arial" w:cs="Arial"/>
          <w:sz w:val="22"/>
          <w:szCs w:val="22"/>
        </w:rPr>
      </w:pPr>
    </w:p>
    <w:p w14:paraId="455F66E4" w14:textId="77777777" w:rsidR="00E003BE" w:rsidRPr="00E003BE" w:rsidRDefault="00E003BE" w:rsidP="00E003BE"/>
    <w:p w14:paraId="375EE2FE" w14:textId="22F1C7A6" w:rsidR="00575E73" w:rsidRPr="00E003BE" w:rsidRDefault="00575E73" w:rsidP="00432D05">
      <w:pPr>
        <w:pStyle w:val="Heading1"/>
        <w:rPr>
          <w:rFonts w:ascii="Arial" w:eastAsia="Arial" w:hAnsi="Arial" w:cs="Arial"/>
          <w:sz w:val="22"/>
          <w:szCs w:val="22"/>
        </w:rPr>
      </w:pPr>
      <w:r w:rsidRPr="00E003BE">
        <w:rPr>
          <w:rFonts w:ascii="Arial" w:eastAsia="Arial" w:hAnsi="Arial" w:cs="Arial"/>
          <w:sz w:val="22"/>
          <w:szCs w:val="22"/>
        </w:rPr>
        <w:lastRenderedPageBreak/>
        <w:t>Reference List</w:t>
      </w:r>
      <w:bookmarkEnd w:id="24"/>
    </w:p>
    <w:p w14:paraId="3024FA3D"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Age UK (2023) </w:t>
      </w:r>
      <w:r w:rsidRPr="00E003BE">
        <w:rPr>
          <w:rFonts w:ascii="Arial" w:hAnsi="Arial" w:cs="Arial"/>
          <w:i/>
          <w:iCs/>
          <w:color w:val="000000"/>
          <w:sz w:val="22"/>
          <w:szCs w:val="22"/>
        </w:rPr>
        <w:t>Offline and left behind: Digital exclusion among older people</w:t>
      </w:r>
      <w:r w:rsidRPr="00E003BE">
        <w:rPr>
          <w:rFonts w:ascii="Arial" w:hAnsi="Arial" w:cs="Arial"/>
          <w:color w:val="000000"/>
          <w:sz w:val="22"/>
          <w:szCs w:val="22"/>
        </w:rPr>
        <w:t>. Available at: </w:t>
      </w:r>
      <w:hyperlink r:id="rId13" w:history="1">
        <w:r w:rsidRPr="00E003BE">
          <w:rPr>
            <w:rFonts w:ascii="Arial" w:hAnsi="Arial" w:cs="Arial"/>
            <w:color w:val="0000FF"/>
            <w:sz w:val="22"/>
            <w:szCs w:val="22"/>
            <w:u w:val="single"/>
          </w:rPr>
          <w:t>https://www.ageuk.org.uk/globalassets/age-uk/documents/reports-and-publications/reports-and-briefings/active-communities/digital-exclusion-report-2023.pdf</w:t>
        </w:r>
      </w:hyperlink>
      <w:r w:rsidRPr="00E003BE">
        <w:rPr>
          <w:rFonts w:ascii="Arial" w:hAnsi="Arial" w:cs="Arial"/>
          <w:color w:val="000000"/>
          <w:sz w:val="22"/>
          <w:szCs w:val="22"/>
        </w:rPr>
        <w:t> (Accessed: 18 April 2026).</w:t>
      </w:r>
    </w:p>
    <w:p w14:paraId="15A0C0DE"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Good Things Foundation (2023) </w:t>
      </w:r>
      <w:r w:rsidRPr="00E003BE">
        <w:rPr>
          <w:rFonts w:ascii="Arial" w:hAnsi="Arial" w:cs="Arial"/>
          <w:i/>
          <w:iCs/>
          <w:color w:val="000000"/>
          <w:sz w:val="22"/>
          <w:szCs w:val="22"/>
        </w:rPr>
        <w:t>A blueprint to fix the digital divide</w:t>
      </w:r>
      <w:r w:rsidRPr="00E003BE">
        <w:rPr>
          <w:rFonts w:ascii="Arial" w:hAnsi="Arial" w:cs="Arial"/>
          <w:color w:val="000000"/>
          <w:sz w:val="22"/>
          <w:szCs w:val="22"/>
        </w:rPr>
        <w:t>. Available at: </w:t>
      </w:r>
      <w:hyperlink r:id="rId14" w:history="1">
        <w:r w:rsidRPr="00E003BE">
          <w:rPr>
            <w:rFonts w:ascii="Arial" w:hAnsi="Arial" w:cs="Arial"/>
            <w:color w:val="0000FF"/>
            <w:sz w:val="22"/>
            <w:szCs w:val="22"/>
            <w:u w:val="single"/>
          </w:rPr>
          <w:t>https://www.goodthingsfoundation.org/insights/a-blueprint-to-fix-the-digital-divide/</w:t>
        </w:r>
      </w:hyperlink>
      <w:r w:rsidRPr="00E003BE">
        <w:rPr>
          <w:rFonts w:ascii="Arial" w:hAnsi="Arial" w:cs="Arial"/>
          <w:color w:val="000000"/>
          <w:sz w:val="22"/>
          <w:szCs w:val="22"/>
        </w:rPr>
        <w:t> (Accessed: 18 April 2026).</w:t>
      </w:r>
    </w:p>
    <w:p w14:paraId="5313BBCB"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Helsper, E.J. (2021) </w:t>
      </w:r>
      <w:r w:rsidRPr="00E003BE">
        <w:rPr>
          <w:rFonts w:ascii="Arial" w:hAnsi="Arial" w:cs="Arial"/>
          <w:i/>
          <w:iCs/>
          <w:color w:val="000000"/>
          <w:sz w:val="22"/>
          <w:szCs w:val="22"/>
        </w:rPr>
        <w:t>The Digital Disconnect</w:t>
      </w:r>
      <w:r w:rsidRPr="00E003BE">
        <w:rPr>
          <w:rFonts w:ascii="Arial" w:hAnsi="Arial" w:cs="Arial"/>
          <w:color w:val="000000"/>
          <w:sz w:val="22"/>
          <w:szCs w:val="22"/>
        </w:rPr>
        <w:t>. London: SAGE. Available at: </w:t>
      </w:r>
      <w:hyperlink r:id="rId15" w:history="1">
        <w:r w:rsidRPr="00E003BE">
          <w:rPr>
            <w:rFonts w:ascii="Arial" w:hAnsi="Arial" w:cs="Arial"/>
            <w:color w:val="0000FF"/>
            <w:sz w:val="22"/>
            <w:szCs w:val="22"/>
            <w:u w:val="single"/>
          </w:rPr>
          <w:t>https://www.sagepub.com/en-gb/eur/the-digital-disconnect/book262858</w:t>
        </w:r>
      </w:hyperlink>
      <w:r w:rsidRPr="00E003BE">
        <w:rPr>
          <w:rFonts w:ascii="Arial" w:hAnsi="Arial" w:cs="Arial"/>
          <w:color w:val="000000"/>
          <w:sz w:val="22"/>
          <w:szCs w:val="22"/>
        </w:rPr>
        <w:t> (Accessed: 18 April 2026).</w:t>
      </w:r>
    </w:p>
    <w:p w14:paraId="37184EF6"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NHS England (2022) </w:t>
      </w:r>
      <w:r w:rsidRPr="00E003BE">
        <w:rPr>
          <w:rFonts w:ascii="Arial" w:hAnsi="Arial" w:cs="Arial"/>
          <w:i/>
          <w:iCs/>
          <w:color w:val="000000"/>
          <w:sz w:val="22"/>
          <w:szCs w:val="22"/>
        </w:rPr>
        <w:t>NHS Digital Inclusion Framework</w:t>
      </w:r>
      <w:r w:rsidRPr="00E003BE">
        <w:rPr>
          <w:rFonts w:ascii="Arial" w:hAnsi="Arial" w:cs="Arial"/>
          <w:color w:val="000000"/>
          <w:sz w:val="22"/>
          <w:szCs w:val="22"/>
        </w:rPr>
        <w:t>. Available at: </w:t>
      </w:r>
      <w:hyperlink r:id="rId16" w:history="1">
        <w:r w:rsidRPr="00E003BE">
          <w:rPr>
            <w:rFonts w:ascii="Arial" w:hAnsi="Arial" w:cs="Arial"/>
            <w:color w:val="0000FF"/>
            <w:sz w:val="22"/>
            <w:szCs w:val="22"/>
            <w:u w:val="single"/>
          </w:rPr>
          <w:t>https://www.england.nhs.uk/publication/nhs-digital-inclusion-framework/</w:t>
        </w:r>
      </w:hyperlink>
      <w:r w:rsidRPr="00E003BE">
        <w:rPr>
          <w:rFonts w:ascii="Arial" w:hAnsi="Arial" w:cs="Arial"/>
          <w:color w:val="000000"/>
          <w:sz w:val="22"/>
          <w:szCs w:val="22"/>
        </w:rPr>
        <w:t> (Accessed: 18 April 2026).</w:t>
      </w:r>
    </w:p>
    <w:p w14:paraId="3A9A02A4"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Office for National Statistics (2024) </w:t>
      </w:r>
      <w:r w:rsidRPr="00E003BE">
        <w:rPr>
          <w:rFonts w:ascii="Arial" w:hAnsi="Arial" w:cs="Arial"/>
          <w:i/>
          <w:iCs/>
          <w:color w:val="000000"/>
          <w:sz w:val="22"/>
          <w:szCs w:val="22"/>
        </w:rPr>
        <w:t>Internet users in the UK: 2024</w:t>
      </w:r>
      <w:r w:rsidRPr="00E003BE">
        <w:rPr>
          <w:rFonts w:ascii="Arial" w:hAnsi="Arial" w:cs="Arial"/>
          <w:color w:val="000000"/>
          <w:sz w:val="22"/>
          <w:szCs w:val="22"/>
        </w:rPr>
        <w:t>. Available at: </w:t>
      </w:r>
      <w:hyperlink r:id="rId17" w:history="1">
        <w:r w:rsidRPr="00E003BE">
          <w:rPr>
            <w:rFonts w:ascii="Arial" w:hAnsi="Arial" w:cs="Arial"/>
            <w:color w:val="0000FF"/>
            <w:sz w:val="22"/>
            <w:szCs w:val="22"/>
            <w:u w:val="single"/>
          </w:rPr>
          <w:t>https://www.ons.gov.uk/businessindustryandtrade/itandinternetindustry/bulletins/internetusers/2024</w:t>
        </w:r>
      </w:hyperlink>
      <w:r w:rsidRPr="00E003BE">
        <w:rPr>
          <w:rFonts w:ascii="Arial" w:hAnsi="Arial" w:cs="Arial"/>
          <w:color w:val="000000"/>
          <w:sz w:val="22"/>
          <w:szCs w:val="22"/>
        </w:rPr>
        <w:t> (Accessed: 18 April 2026).</w:t>
      </w:r>
    </w:p>
    <w:p w14:paraId="41642E29" w14:textId="77777777" w:rsidR="00E003BE" w:rsidRPr="00E003BE" w:rsidRDefault="00E003BE" w:rsidP="00E003BE">
      <w:pPr>
        <w:spacing w:before="100" w:beforeAutospacing="1" w:after="100" w:afterAutospacing="1" w:line="240" w:lineRule="auto"/>
        <w:rPr>
          <w:rFonts w:ascii="Arial" w:hAnsi="Arial" w:cs="Arial"/>
          <w:color w:val="000000"/>
          <w:sz w:val="22"/>
          <w:szCs w:val="22"/>
        </w:rPr>
      </w:pPr>
      <w:r w:rsidRPr="00E003BE">
        <w:rPr>
          <w:rFonts w:ascii="Arial" w:hAnsi="Arial" w:cs="Arial"/>
          <w:color w:val="000000"/>
          <w:sz w:val="22"/>
          <w:szCs w:val="22"/>
        </w:rPr>
        <w:t>The Health Foundation (2023) </w:t>
      </w:r>
      <w:r w:rsidRPr="00E003BE">
        <w:rPr>
          <w:rFonts w:ascii="Arial" w:hAnsi="Arial" w:cs="Arial"/>
          <w:i/>
          <w:iCs/>
          <w:color w:val="000000"/>
          <w:sz w:val="22"/>
          <w:szCs w:val="22"/>
        </w:rPr>
        <w:t>Switched on: The role of digital health in the UK</w:t>
      </w:r>
      <w:r w:rsidRPr="00E003BE">
        <w:rPr>
          <w:rFonts w:ascii="Arial" w:hAnsi="Arial" w:cs="Arial"/>
          <w:color w:val="000000"/>
          <w:sz w:val="22"/>
          <w:szCs w:val="22"/>
        </w:rPr>
        <w:t>. Available at: </w:t>
      </w:r>
      <w:hyperlink r:id="rId18" w:history="1">
        <w:r w:rsidRPr="00E003BE">
          <w:rPr>
            <w:rFonts w:ascii="Arial" w:hAnsi="Arial" w:cs="Arial"/>
            <w:color w:val="0000FF"/>
            <w:sz w:val="22"/>
            <w:szCs w:val="22"/>
            <w:u w:val="single"/>
          </w:rPr>
          <w:t>https://www.health.org.uk/publications/reports/switched-on</w:t>
        </w:r>
      </w:hyperlink>
      <w:r w:rsidRPr="00E003BE">
        <w:rPr>
          <w:rFonts w:ascii="Arial" w:hAnsi="Arial" w:cs="Arial"/>
          <w:color w:val="000000"/>
          <w:sz w:val="22"/>
          <w:szCs w:val="22"/>
        </w:rPr>
        <w:t> (Accessed: 18 April 2026).</w:t>
      </w:r>
    </w:p>
    <w:p w14:paraId="134035C4" w14:textId="77777777" w:rsidR="00AD246D" w:rsidRPr="00E003BE" w:rsidRDefault="00AD246D" w:rsidP="00575E73">
      <w:pPr>
        <w:rPr>
          <w:rFonts w:ascii="Arial" w:eastAsia="Arial" w:hAnsi="Arial" w:cs="Arial"/>
          <w:sz w:val="22"/>
          <w:szCs w:val="22"/>
        </w:rPr>
      </w:pPr>
    </w:p>
    <w:p w14:paraId="4A7A6B4B" w14:textId="3432832F" w:rsidR="00AD246D" w:rsidRPr="00E003BE" w:rsidRDefault="00AD246D" w:rsidP="00575E73">
      <w:pPr>
        <w:rPr>
          <w:rFonts w:ascii="Arial" w:eastAsia="Arial" w:hAnsi="Arial" w:cs="Arial"/>
          <w:sz w:val="22"/>
          <w:szCs w:val="22"/>
        </w:rPr>
      </w:pPr>
    </w:p>
    <w:sectPr w:rsidR="00AD246D" w:rsidRPr="00E003BE" w:rsidSect="00722EFE">
      <w:footerReference w:type="first" r:id="rId19"/>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BC587" w14:textId="77777777" w:rsidR="00A31526" w:rsidRDefault="00A31526" w:rsidP="002A1842">
      <w:pPr>
        <w:spacing w:after="0" w:line="240" w:lineRule="auto"/>
      </w:pPr>
      <w:r>
        <w:separator/>
      </w:r>
    </w:p>
  </w:endnote>
  <w:endnote w:type="continuationSeparator" w:id="0">
    <w:p w14:paraId="5DE9F1A4" w14:textId="77777777" w:rsidR="00A31526" w:rsidRDefault="00A3152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SFUI-Semibold">
    <w:altName w:val="Cambria"/>
    <w:charset w:val="00"/>
    <w:family w:val="roman"/>
    <w:pitch w:val="default"/>
  </w:font>
  <w:font w:name="Helvetica">
    <w:panose1 w:val="020B0604020202020204"/>
    <w:charset w:val="00"/>
    <w:family w:val="auto"/>
    <w:pitch w:val="variable"/>
    <w:sig w:usb0="E00002FF" w:usb1="5000785B" w:usb2="00000000" w:usb3="00000000" w:csb0="0000019F" w:csb1="00000000"/>
  </w:font>
  <w:font w:name=".SFUI-Heav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70ED8A3"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5F99A2CE"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358F416"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1698CA6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7E599" w14:textId="77777777" w:rsidR="00A31526" w:rsidRDefault="00A31526" w:rsidP="002A1842">
      <w:pPr>
        <w:spacing w:after="0" w:line="240" w:lineRule="auto"/>
      </w:pPr>
      <w:r>
        <w:separator/>
      </w:r>
    </w:p>
  </w:footnote>
  <w:footnote w:type="continuationSeparator" w:id="0">
    <w:p w14:paraId="04D00890" w14:textId="77777777" w:rsidR="00A31526" w:rsidRDefault="00A3152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4789E61"/>
    <w:multiLevelType w:val="hybridMultilevel"/>
    <w:tmpl w:val="92F65366"/>
    <w:lvl w:ilvl="0" w:tplc="D054D8C6">
      <w:start w:val="1"/>
      <w:numFmt w:val="bullet"/>
      <w:lvlText w:val=""/>
      <w:lvlJc w:val="left"/>
      <w:pPr>
        <w:ind w:left="720" w:hanging="360"/>
      </w:pPr>
      <w:rPr>
        <w:rFonts w:ascii="Symbol" w:hAnsi="Symbol" w:hint="default"/>
      </w:rPr>
    </w:lvl>
    <w:lvl w:ilvl="1" w:tplc="A870801C">
      <w:start w:val="1"/>
      <w:numFmt w:val="bullet"/>
      <w:lvlText w:val="o"/>
      <w:lvlJc w:val="left"/>
      <w:pPr>
        <w:ind w:left="1440" w:hanging="360"/>
      </w:pPr>
      <w:rPr>
        <w:rFonts w:ascii="Courier New" w:hAnsi="Courier New" w:hint="default"/>
      </w:rPr>
    </w:lvl>
    <w:lvl w:ilvl="2" w:tplc="1BA609EA">
      <w:start w:val="1"/>
      <w:numFmt w:val="bullet"/>
      <w:lvlText w:val=""/>
      <w:lvlJc w:val="left"/>
      <w:pPr>
        <w:ind w:left="2160" w:hanging="360"/>
      </w:pPr>
      <w:rPr>
        <w:rFonts w:ascii="Wingdings" w:hAnsi="Wingdings" w:hint="default"/>
      </w:rPr>
    </w:lvl>
    <w:lvl w:ilvl="3" w:tplc="A0EC18FC">
      <w:start w:val="1"/>
      <w:numFmt w:val="bullet"/>
      <w:lvlText w:val=""/>
      <w:lvlJc w:val="left"/>
      <w:pPr>
        <w:ind w:left="2880" w:hanging="360"/>
      </w:pPr>
      <w:rPr>
        <w:rFonts w:ascii="Symbol" w:hAnsi="Symbol" w:hint="default"/>
      </w:rPr>
    </w:lvl>
    <w:lvl w:ilvl="4" w:tplc="E458ADFC">
      <w:start w:val="1"/>
      <w:numFmt w:val="bullet"/>
      <w:lvlText w:val="o"/>
      <w:lvlJc w:val="left"/>
      <w:pPr>
        <w:ind w:left="3600" w:hanging="360"/>
      </w:pPr>
      <w:rPr>
        <w:rFonts w:ascii="Courier New" w:hAnsi="Courier New" w:hint="default"/>
      </w:rPr>
    </w:lvl>
    <w:lvl w:ilvl="5" w:tplc="2A9E3BE0">
      <w:start w:val="1"/>
      <w:numFmt w:val="bullet"/>
      <w:lvlText w:val=""/>
      <w:lvlJc w:val="left"/>
      <w:pPr>
        <w:ind w:left="4320" w:hanging="360"/>
      </w:pPr>
      <w:rPr>
        <w:rFonts w:ascii="Wingdings" w:hAnsi="Wingdings" w:hint="default"/>
      </w:rPr>
    </w:lvl>
    <w:lvl w:ilvl="6" w:tplc="8EDE4A32">
      <w:start w:val="1"/>
      <w:numFmt w:val="bullet"/>
      <w:lvlText w:val=""/>
      <w:lvlJc w:val="left"/>
      <w:pPr>
        <w:ind w:left="5040" w:hanging="360"/>
      </w:pPr>
      <w:rPr>
        <w:rFonts w:ascii="Symbol" w:hAnsi="Symbol" w:hint="default"/>
      </w:rPr>
    </w:lvl>
    <w:lvl w:ilvl="7" w:tplc="DC0AE8AA">
      <w:start w:val="1"/>
      <w:numFmt w:val="bullet"/>
      <w:lvlText w:val="o"/>
      <w:lvlJc w:val="left"/>
      <w:pPr>
        <w:ind w:left="5760" w:hanging="360"/>
      </w:pPr>
      <w:rPr>
        <w:rFonts w:ascii="Courier New" w:hAnsi="Courier New" w:hint="default"/>
      </w:rPr>
    </w:lvl>
    <w:lvl w:ilvl="8" w:tplc="637E48CC">
      <w:start w:val="1"/>
      <w:numFmt w:val="bullet"/>
      <w:lvlText w:val=""/>
      <w:lvlJc w:val="left"/>
      <w:pPr>
        <w:ind w:left="6480" w:hanging="360"/>
      </w:pPr>
      <w:rPr>
        <w:rFonts w:ascii="Wingdings" w:hAnsi="Wingdings"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933125094">
    <w:abstractNumId w:val="6"/>
  </w:num>
  <w:num w:numId="2" w16cid:durableId="1432429639">
    <w:abstractNumId w:val="4"/>
  </w:num>
  <w:num w:numId="3" w16cid:durableId="2067483678">
    <w:abstractNumId w:val="2"/>
  </w:num>
  <w:num w:numId="4" w16cid:durableId="340276267">
    <w:abstractNumId w:val="1"/>
  </w:num>
  <w:num w:numId="5" w16cid:durableId="1490747632">
    <w:abstractNumId w:val="5"/>
  </w:num>
  <w:num w:numId="6" w16cid:durableId="1206914930">
    <w:abstractNumId w:val="0"/>
  </w:num>
  <w:num w:numId="7" w16cid:durableId="1994482929">
    <w:abstractNumId w:val="8"/>
  </w:num>
  <w:num w:numId="8" w16cid:durableId="441920378">
    <w:abstractNumId w:val="7"/>
  </w:num>
  <w:num w:numId="9" w16cid:durableId="5159708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44A8C"/>
    <w:rsid w:val="0006014E"/>
    <w:rsid w:val="00172AD1"/>
    <w:rsid w:val="001813E7"/>
    <w:rsid w:val="00196801"/>
    <w:rsid w:val="001E0AF6"/>
    <w:rsid w:val="002A1842"/>
    <w:rsid w:val="00432D05"/>
    <w:rsid w:val="004468F8"/>
    <w:rsid w:val="004B4CF7"/>
    <w:rsid w:val="00530E16"/>
    <w:rsid w:val="00575E73"/>
    <w:rsid w:val="00635456"/>
    <w:rsid w:val="00666212"/>
    <w:rsid w:val="006C77F5"/>
    <w:rsid w:val="00722EFE"/>
    <w:rsid w:val="007637E9"/>
    <w:rsid w:val="007639EA"/>
    <w:rsid w:val="007912F0"/>
    <w:rsid w:val="008478E6"/>
    <w:rsid w:val="008E7834"/>
    <w:rsid w:val="0094615D"/>
    <w:rsid w:val="009F60D1"/>
    <w:rsid w:val="00A31526"/>
    <w:rsid w:val="00A704BB"/>
    <w:rsid w:val="00A75B15"/>
    <w:rsid w:val="00AD246D"/>
    <w:rsid w:val="00AE06EA"/>
    <w:rsid w:val="00B65ED6"/>
    <w:rsid w:val="00BA0043"/>
    <w:rsid w:val="00BE16D6"/>
    <w:rsid w:val="00CF650B"/>
    <w:rsid w:val="00D62A9C"/>
    <w:rsid w:val="00DB181C"/>
    <w:rsid w:val="00DC520F"/>
    <w:rsid w:val="00E003BE"/>
    <w:rsid w:val="00EA04EC"/>
    <w:rsid w:val="00EB469F"/>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24597"/>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customStyle="1" w:styleId="p5">
    <w:name w:val="p5"/>
    <w:basedOn w:val="Normal"/>
    <w:rsid w:val="007912F0"/>
    <w:pPr>
      <w:spacing w:before="14" w:after="0" w:line="240" w:lineRule="auto"/>
    </w:pPr>
    <w:rPr>
      <w:rFonts w:ascii=".AppleSystemUIFont" w:eastAsiaTheme="minorEastAsia" w:hAnsi=".AppleSystemUIFont" w:cs="Times New Roman"/>
      <w:color w:val="1B1C1D"/>
      <w:sz w:val="29"/>
      <w:szCs w:val="29"/>
    </w:rPr>
  </w:style>
  <w:style w:type="character" w:customStyle="1" w:styleId="s1">
    <w:name w:val="s1"/>
    <w:basedOn w:val="DefaultParagraphFont"/>
    <w:rsid w:val="007912F0"/>
    <w:rPr>
      <w:rFonts w:ascii=".SFUI-Semibold" w:hAnsi=".SFUI-Semibold" w:hint="default"/>
      <w:b w:val="0"/>
      <w:bCs w:val="0"/>
      <w:i w:val="0"/>
      <w:iCs w:val="0"/>
      <w:sz w:val="29"/>
      <w:szCs w:val="29"/>
    </w:rPr>
  </w:style>
  <w:style w:type="character" w:customStyle="1" w:styleId="s3">
    <w:name w:val="s3"/>
    <w:basedOn w:val="DefaultParagraphFont"/>
    <w:rsid w:val="007912F0"/>
    <w:rPr>
      <w:rFonts w:ascii="Helvetica" w:hAnsi="Helvetica" w:hint="default"/>
      <w:b w:val="0"/>
      <w:bCs w:val="0"/>
      <w:i w:val="0"/>
      <w:iCs w:val="0"/>
      <w:color w:val="000000"/>
      <w:sz w:val="18"/>
      <w:szCs w:val="18"/>
    </w:rPr>
  </w:style>
  <w:style w:type="character" w:customStyle="1" w:styleId="apple-converted-space">
    <w:name w:val="apple-converted-space"/>
    <w:basedOn w:val="DefaultParagraphFont"/>
    <w:rsid w:val="007912F0"/>
  </w:style>
  <w:style w:type="paragraph" w:customStyle="1" w:styleId="p3">
    <w:name w:val="p3"/>
    <w:basedOn w:val="Normal"/>
    <w:rsid w:val="007912F0"/>
    <w:pPr>
      <w:spacing w:after="0" w:line="240" w:lineRule="auto"/>
    </w:pPr>
    <w:rPr>
      <w:rFonts w:ascii=".AppleSystemUIFont" w:eastAsiaTheme="minorEastAsia" w:hAnsi=".AppleSystemUIFont" w:cs="Times New Roman"/>
      <w:color w:val="1B1C1D"/>
      <w:sz w:val="29"/>
      <w:szCs w:val="29"/>
    </w:rPr>
  </w:style>
  <w:style w:type="character" w:customStyle="1" w:styleId="s2">
    <w:name w:val="s2"/>
    <w:basedOn w:val="DefaultParagraphFont"/>
    <w:rsid w:val="007912F0"/>
    <w:rPr>
      <w:rFonts w:ascii=".SFUI-Heavy" w:hAnsi=".SFUI-Heavy" w:hint="default"/>
      <w:b/>
      <w:bCs/>
      <w:i w:val="0"/>
      <w:iCs w:val="0"/>
      <w:sz w:val="29"/>
      <w:szCs w:val="29"/>
    </w:rPr>
  </w:style>
  <w:style w:type="paragraph" w:customStyle="1" w:styleId="p7">
    <w:name w:val="p7"/>
    <w:basedOn w:val="Normal"/>
    <w:rsid w:val="007912F0"/>
    <w:pPr>
      <w:spacing w:before="14" w:after="0" w:line="240" w:lineRule="auto"/>
      <w:ind w:left="348" w:hanging="108"/>
    </w:pPr>
    <w:rPr>
      <w:rFonts w:ascii=".AppleSystemUIFont" w:eastAsiaTheme="minorEastAsia" w:hAnsi=".AppleSystemUIFont" w:cs="Times New Roman"/>
      <w:color w:val="1B1C1D"/>
      <w:sz w:val="29"/>
      <w:szCs w:val="29"/>
    </w:rPr>
  </w:style>
  <w:style w:type="paragraph" w:customStyle="1" w:styleId="p8">
    <w:name w:val="p8"/>
    <w:basedOn w:val="Normal"/>
    <w:rsid w:val="007912F0"/>
    <w:pPr>
      <w:spacing w:before="98" w:after="0" w:line="240" w:lineRule="auto"/>
      <w:ind w:left="348" w:hanging="108"/>
    </w:pPr>
    <w:rPr>
      <w:rFonts w:ascii=".AppleSystemUIFont" w:eastAsiaTheme="minorEastAsia" w:hAnsi=".AppleSystemUIFont" w:cs="Times New Roman"/>
      <w:color w:val="1B1C1D"/>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geuk.org.uk/globalassets/age-uk/documents/reports-and-publications/reports-and-briefings/active-communities/digital-exclusion-report-2023.pdf" TargetMode="External"/><Relationship Id="rId18" Type="http://schemas.openxmlformats.org/officeDocument/2006/relationships/hyperlink" Target="https://www.health.org.uk/publications/reports/switched-on"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england.nhs.uk/publication/nhs-digital-inclusion-framework/" TargetMode="External"/><Relationship Id="rId17" Type="http://schemas.openxmlformats.org/officeDocument/2006/relationships/hyperlink" Target="https://www.ons.gov.uk/businessindustryandtrade/itandinternetindustry/bulletins/internetusers/2024" TargetMode="External"/><Relationship Id="rId2" Type="http://schemas.openxmlformats.org/officeDocument/2006/relationships/customXml" Target="../customXml/item2.xml"/><Relationship Id="rId16" Type="http://schemas.openxmlformats.org/officeDocument/2006/relationships/hyperlink" Target="https://www.england.nhs.uk/publication/nhs-digital-inclusion-framewor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agepub.com/en-gb/eur/the-digital-disconnect/book262858" TargetMode="External"/><Relationship Id="rId5" Type="http://schemas.openxmlformats.org/officeDocument/2006/relationships/settings" Target="settings.xml"/><Relationship Id="rId15" Type="http://schemas.openxmlformats.org/officeDocument/2006/relationships/hyperlink" Target="https://www.sagepub.com/en-gb/eur/the-digital-disconnect/book262858" TargetMode="External"/><Relationship Id="rId10" Type="http://schemas.openxmlformats.org/officeDocument/2006/relationships/hyperlink" Target="https://www.ageuk.org.uk/globalassets/age-uk/documents/reports-and-publications/reports-and-briefings/active-communities/digital-exclusion-report-2023.pdf"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goodthingsfoundation.org/insights/a-blueprint-to-fix-the-digital-div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3059</TotalTime>
  <Pages>7</Pages>
  <Words>1757</Words>
  <Characters>10018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Isabel Monteiro</cp:lastModifiedBy>
  <cp:revision>8</cp:revision>
  <dcterms:created xsi:type="dcterms:W3CDTF">2026-04-07T14:36:00Z</dcterms:created>
  <dcterms:modified xsi:type="dcterms:W3CDTF">2026-04-21T07:44:00Z</dcterms:modified>
</cp:coreProperties>
</file>