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D81270" w:rsidRDefault="0003237B" w14:paraId="46E77E50" w14:textId="12A54247"/>
    <w:p w:rsidRPr="00A85BFE" w:rsidR="004928E6" w:rsidP="166AA796" w:rsidRDefault="004928E6" w14:paraId="6AE042E4" w14:textId="77777777">
      <w:pPr>
        <w:pStyle w:val="Header"/>
        <w:tabs>
          <w:tab w:val="clear" w:pos="4153"/>
          <w:tab w:val="clear" w:pos="8306"/>
        </w:tabs>
        <w:ind w:firstLine="0"/>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9264" behindDoc="0" locked="0" layoutInCell="1" allowOverlap="1" wp14:anchorId="266F9E8B" wp14:editId="232200B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6D4D0207">
        <w:rPr>
          <w:rFonts w:ascii="Arial" w:hAnsi="Arial" w:cs="Arial"/>
          <w:b w:val="1"/>
          <w:bCs w:val="1"/>
          <w:sz w:val="28"/>
          <w:szCs w:val="28"/>
        </w:rPr>
        <w:t>APPENDIX GA36c</w:t>
      </w:r>
    </w:p>
    <w:p w:rsidRPr="00A406E5" w:rsidR="004928E6" w:rsidP="004928E6" w:rsidRDefault="004928E6" w14:paraId="38730F01" w14:textId="77777777">
      <w:pPr>
        <w:rPr>
          <w:rFonts w:ascii="Arial" w:hAnsi="Arial" w:cs="Arial"/>
        </w:rPr>
      </w:pPr>
    </w:p>
    <w:tbl>
      <w:tblPr>
        <w:tblW w:w="0" w:type="auto"/>
        <w:tblInd w:w="-4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18"/>
      </w:tblGrid>
      <w:tr w:rsidRPr="00A406E5" w:rsidR="004928E6" w:rsidTr="004928E6" w14:paraId="4EB0CC2C" w14:textId="77777777">
        <w:tc>
          <w:tcPr>
            <w:tcW w:w="8618" w:type="dxa"/>
            <w:shd w:val="clear" w:color="auto" w:fill="C0C0C0"/>
          </w:tcPr>
          <w:p w:rsidRPr="00A406E5" w:rsidR="004928E6" w:rsidP="00390415" w:rsidRDefault="004928E6" w14:paraId="31135BAD" w14:textId="77777777">
            <w:pPr>
              <w:pStyle w:val="Heading4"/>
              <w:rPr>
                <w:rFonts w:ascii="Arial" w:hAnsi="Arial" w:cs="Arial"/>
                <w:b/>
                <w:bCs/>
              </w:rPr>
            </w:pPr>
            <w:r w:rsidRPr="6D4D0207">
              <w:rPr>
                <w:rFonts w:ascii="Arial" w:hAnsi="Arial" w:cs="Arial"/>
                <w:b/>
                <w:bCs/>
              </w:rPr>
              <w:t xml:space="preserve">LEVEL 6 ASSESSMENT SPECIFICATION </w:t>
            </w:r>
          </w:p>
        </w:tc>
      </w:tr>
    </w:tbl>
    <w:p w:rsidRPr="00A406E5" w:rsidR="004928E6" w:rsidP="004928E6" w:rsidRDefault="004928E6" w14:paraId="6F958308" w14:textId="77777777">
      <w:pPr>
        <w:jc w:val="center"/>
        <w:rPr>
          <w:rFonts w:ascii="Arial" w:hAnsi="Arial" w:cs="Arial"/>
          <w:b/>
          <w:i/>
          <w:sz w:val="32"/>
        </w:rPr>
      </w:pPr>
    </w:p>
    <w:tbl>
      <w:tblPr>
        <w:tblW w:w="9922" w:type="dxa"/>
        <w:tblInd w:w="-46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928E6" w:rsidTr="166AA796" w14:paraId="44743339" w14:textId="77777777">
        <w:tc>
          <w:tcPr>
            <w:tcW w:w="2093" w:type="dxa"/>
            <w:shd w:val="clear" w:color="auto" w:fill="auto"/>
            <w:tcMar/>
          </w:tcPr>
          <w:p w:rsidRPr="00A406E5" w:rsidR="004928E6" w:rsidP="00390415" w:rsidRDefault="004928E6" w14:paraId="55D0BBF2" w14:textId="7777777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Mar/>
          </w:tcPr>
          <w:p w:rsidRPr="00A406E5" w:rsidR="004928E6" w:rsidP="166AA796" w:rsidRDefault="004928E6" w14:paraId="43C71E70" w14:textId="00BA152C">
            <w:pPr>
              <w:spacing w:before="120" w:after="120"/>
              <w:jc w:val="both"/>
              <w:rPr>
                <w:rFonts w:ascii="Arial" w:hAnsi="Arial" w:cs="Arial"/>
                <w:b w:val="1"/>
                <w:bCs w:val="1"/>
                <w:sz w:val="22"/>
                <w:szCs w:val="22"/>
              </w:rPr>
            </w:pPr>
            <w:r w:rsidRPr="166AA796">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166AA796">
              <w:rPr>
                <w:rFonts w:ascii="Arial" w:hAnsi="Arial" w:cs="Arial"/>
                <w:b w:val="1"/>
                <w:bCs w:val="1"/>
                <w:noProof/>
                <w:sz w:val="22"/>
                <w:szCs w:val="22"/>
              </w:rPr>
              <w:t> </w:t>
            </w:r>
            <w:r w:rsidRPr="166AA796">
              <w:rPr>
                <w:rFonts w:ascii="Arial" w:hAnsi="Arial" w:cs="Arial"/>
                <w:b w:val="1"/>
                <w:bCs w:val="1"/>
                <w:noProof/>
                <w:sz w:val="22"/>
                <w:szCs w:val="22"/>
              </w:rPr>
              <w:t> </w:t>
            </w:r>
            <w:r w:rsidRPr="166AA796">
              <w:rPr>
                <w:rFonts w:ascii="Arial" w:hAnsi="Arial" w:cs="Arial"/>
                <w:b w:val="1"/>
                <w:bCs w:val="1"/>
                <w:noProof/>
                <w:sz w:val="22"/>
                <w:szCs w:val="22"/>
              </w:rPr>
              <w:t> </w:t>
            </w:r>
            <w:r w:rsidRPr="166AA796">
              <w:rPr>
                <w:rFonts w:ascii="Arial" w:hAnsi="Arial" w:cs="Arial"/>
                <w:b w:val="1"/>
                <w:bCs w:val="1"/>
                <w:noProof/>
                <w:sz w:val="22"/>
                <w:szCs w:val="22"/>
              </w:rPr>
              <w:t> </w:t>
            </w:r>
            <w:r w:rsidRPr="166AA796">
              <w:rPr>
                <w:rFonts w:ascii="Arial" w:hAnsi="Arial" w:cs="Arial"/>
                <w:b w:val="1"/>
                <w:bCs w:val="1"/>
                <w:noProof/>
                <w:sz w:val="22"/>
                <w:szCs w:val="22"/>
              </w:rPr>
              <w:t> </w:t>
            </w:r>
            <w:r w:rsidRPr="166AA796">
              <w:fldChar w:fldCharType="end"/>
            </w:r>
            <w:r w:rsidRPr="166AA796" w:rsidR="166AA796">
              <w:rPr>
                <w:rFonts w:ascii="Arial" w:hAnsi="Arial" w:cs="Arial"/>
                <w:b w:val="1"/>
                <w:bCs w:val="1"/>
                <w:sz w:val="22"/>
                <w:szCs w:val="22"/>
              </w:rPr>
              <w:t>Kelly F Jones</w:t>
            </w:r>
          </w:p>
        </w:tc>
        <w:tc>
          <w:tcPr>
            <w:tcW w:w="2268" w:type="dxa"/>
            <w:shd w:val="clear" w:color="auto" w:fill="D9D9D9" w:themeFill="background1" w:themeFillShade="D9"/>
            <w:tcMar/>
          </w:tcPr>
          <w:p w:rsidRPr="00A406E5" w:rsidR="004928E6" w:rsidP="00390415" w:rsidRDefault="004928E6" w14:paraId="48E77B44" w14:textId="7777777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Mar/>
          </w:tcPr>
          <w:p w:rsidRPr="00A406E5" w:rsidR="004928E6" w:rsidP="166AA796" w:rsidRDefault="004928E6" w14:paraId="7370AB9A" w14:textId="2A105F65">
            <w:pPr>
              <w:spacing w:before="120" w:after="120"/>
              <w:jc w:val="both"/>
              <w:rPr>
                <w:rFonts w:ascii="Arial" w:hAnsi="Arial" w:cs="Arial"/>
                <w:b w:val="1"/>
                <w:bCs w:val="1"/>
                <w:sz w:val="22"/>
                <w:szCs w:val="22"/>
              </w:rPr>
            </w:pPr>
            <w:r w:rsidRPr="166AA796" w:rsidR="166AA796">
              <w:rPr>
                <w:rFonts w:ascii="Arial" w:hAnsi="Arial" w:cs="Arial"/>
                <w:b w:val="1"/>
                <w:bCs w:val="1"/>
                <w:sz w:val="22"/>
                <w:szCs w:val="22"/>
              </w:rPr>
              <w:t>1804366</w:t>
            </w:r>
          </w:p>
        </w:tc>
      </w:tr>
      <w:tr w:rsidRPr="00A406E5" w:rsidR="004928E6" w:rsidTr="166AA796" w14:paraId="68063B8B" w14:textId="77777777">
        <w:tc>
          <w:tcPr>
            <w:tcW w:w="2093" w:type="dxa"/>
            <w:shd w:val="clear" w:color="auto" w:fill="auto"/>
            <w:tcMar/>
          </w:tcPr>
          <w:p w:rsidRPr="00A406E5" w:rsidR="004928E6" w:rsidP="00390415" w:rsidRDefault="004928E6" w14:paraId="38DDEA59" w14:textId="7777777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Mar/>
          </w:tcPr>
          <w:p w:rsidRPr="00A406E5" w:rsidR="004928E6" w:rsidP="00390415" w:rsidRDefault="004928E6" w14:paraId="34742D9A" w14:textId="77777777">
            <w:pPr>
              <w:spacing w:before="120" w:after="120"/>
              <w:jc w:val="both"/>
              <w:rPr>
                <w:rFonts w:ascii="Arial" w:hAnsi="Arial" w:cs="Arial"/>
                <w:b/>
                <w:sz w:val="22"/>
                <w:szCs w:val="22"/>
              </w:rPr>
            </w:pPr>
            <w:r>
              <w:rPr>
                <w:rFonts w:ascii="Arial" w:hAnsi="Arial" w:cs="Arial"/>
                <w:b/>
                <w:sz w:val="22"/>
                <w:szCs w:val="22"/>
              </w:rPr>
              <w:t>Secondary PGCE</w:t>
            </w:r>
          </w:p>
        </w:tc>
      </w:tr>
      <w:tr w:rsidRPr="00A406E5" w:rsidR="004928E6" w:rsidTr="166AA796" w14:paraId="4750C672" w14:textId="77777777">
        <w:tc>
          <w:tcPr>
            <w:tcW w:w="2093" w:type="dxa"/>
            <w:shd w:val="clear" w:color="auto" w:fill="auto"/>
            <w:tcMar/>
          </w:tcPr>
          <w:p w:rsidRPr="00A406E5" w:rsidR="004928E6" w:rsidP="00390415" w:rsidRDefault="004928E6" w14:paraId="52273217" w14:textId="7777777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Mar/>
          </w:tcPr>
          <w:p w:rsidRPr="009476C2" w:rsidR="004928E6" w:rsidP="00390415" w:rsidRDefault="004928E6" w14:paraId="44B97A17" w14:textId="77777777">
            <w:pPr>
              <w:spacing w:before="100" w:beforeAutospacing="1" w:after="100" w:afterAutospacing="1"/>
              <w:rPr>
                <w:sz w:val="22"/>
                <w:szCs w:val="22"/>
              </w:rPr>
            </w:pPr>
            <w:r w:rsidRPr="009476C2">
              <w:rPr>
                <w:rFonts w:ascii="Arial" w:hAnsi="Arial" w:cs="Arial"/>
                <w:b/>
                <w:bCs/>
                <w:sz w:val="22"/>
                <w:szCs w:val="22"/>
              </w:rPr>
              <w:t xml:space="preserve">Curriculum Development and Enhancement </w:t>
            </w:r>
          </w:p>
          <w:p w:rsidRPr="00A406E5" w:rsidR="004928E6" w:rsidP="00390415" w:rsidRDefault="004928E6" w14:paraId="1A8DA71D" w14:textId="77777777">
            <w:pPr>
              <w:spacing w:before="120" w:after="120"/>
              <w:jc w:val="both"/>
              <w:rPr>
                <w:rFonts w:ascii="Arial" w:hAnsi="Arial" w:cs="Arial"/>
                <w:b/>
                <w:sz w:val="22"/>
                <w:szCs w:val="22"/>
              </w:rPr>
            </w:pPr>
          </w:p>
        </w:tc>
      </w:tr>
      <w:tr w:rsidRPr="00A406E5" w:rsidR="004928E6" w:rsidTr="166AA796" w14:paraId="148739E0" w14:textId="77777777">
        <w:tc>
          <w:tcPr>
            <w:tcW w:w="2093" w:type="dxa"/>
            <w:shd w:val="clear" w:color="auto" w:fill="auto"/>
            <w:tcMar/>
          </w:tcPr>
          <w:p w:rsidRPr="00A406E5" w:rsidR="004928E6" w:rsidP="00390415" w:rsidRDefault="004928E6" w14:paraId="00D9E520" w14:textId="7777777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Mar/>
          </w:tcPr>
          <w:p w:rsidRPr="00A406E5" w:rsidR="004928E6" w:rsidP="00390415" w:rsidRDefault="004928E6" w14:paraId="4237AAB5" w14:textId="77777777">
            <w:pPr>
              <w:spacing w:before="120" w:after="120"/>
              <w:jc w:val="both"/>
              <w:rPr>
                <w:rFonts w:ascii="Arial" w:hAnsi="Arial" w:cs="Arial"/>
                <w:b/>
                <w:sz w:val="22"/>
                <w:szCs w:val="22"/>
              </w:rPr>
            </w:pPr>
            <w:r>
              <w:rPr>
                <w:rFonts w:ascii="Arial" w:hAnsi="Arial" w:cs="Arial"/>
                <w:b/>
                <w:sz w:val="22"/>
                <w:szCs w:val="22"/>
              </w:rPr>
              <w:t>ECSP6004</w:t>
            </w:r>
          </w:p>
        </w:tc>
        <w:tc>
          <w:tcPr>
            <w:tcW w:w="2268" w:type="dxa"/>
            <w:shd w:val="clear" w:color="auto" w:fill="D9D9D9" w:themeFill="background1" w:themeFillShade="D9"/>
            <w:tcMar/>
          </w:tcPr>
          <w:p w:rsidRPr="004D5E9B" w:rsidR="004928E6" w:rsidP="00390415" w:rsidRDefault="004928E6" w14:paraId="6C9CB06D" w14:textId="7777777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Mar/>
          </w:tcPr>
          <w:p w:rsidRPr="00A406E5" w:rsidR="004928E6" w:rsidP="00390415" w:rsidRDefault="004928E6" w14:paraId="522946A0" w14:textId="77777777">
            <w:pPr>
              <w:spacing w:before="120" w:after="120"/>
              <w:jc w:val="both"/>
              <w:rPr>
                <w:rFonts w:ascii="Arial" w:hAnsi="Arial" w:cs="Arial"/>
                <w:b/>
                <w:sz w:val="22"/>
                <w:szCs w:val="22"/>
              </w:rPr>
            </w:pPr>
            <w:r>
              <w:rPr>
                <w:rFonts w:ascii="Arial" w:hAnsi="Arial" w:cs="Arial"/>
                <w:b/>
                <w:sz w:val="22"/>
                <w:szCs w:val="22"/>
              </w:rPr>
              <w:t>100%</w:t>
            </w:r>
          </w:p>
        </w:tc>
      </w:tr>
      <w:tr w:rsidRPr="00A406E5" w:rsidR="004928E6" w:rsidTr="166AA796" w14:paraId="34C330DA" w14:textId="77777777">
        <w:tc>
          <w:tcPr>
            <w:tcW w:w="2093" w:type="dxa"/>
            <w:shd w:val="clear" w:color="auto" w:fill="auto"/>
            <w:tcMar/>
          </w:tcPr>
          <w:p w:rsidRPr="00A406E5" w:rsidR="004928E6" w:rsidP="00390415" w:rsidRDefault="004928E6" w14:paraId="22C4005F" w14:textId="7777777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Mar/>
          </w:tcPr>
          <w:p w:rsidRPr="00A406E5" w:rsidR="004928E6" w:rsidP="00390415" w:rsidRDefault="004928E6" w14:paraId="544F069D" w14:textId="77777777">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hemeFill="background1" w:themeFillShade="D9"/>
            <w:tcMar/>
          </w:tcPr>
          <w:p w:rsidRPr="00A406E5" w:rsidR="004928E6" w:rsidP="00390415" w:rsidRDefault="004928E6" w14:paraId="76BDA786" w14:textId="7777777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Mar/>
          </w:tcPr>
          <w:p w:rsidRPr="00A406E5" w:rsidR="004928E6" w:rsidP="00390415" w:rsidRDefault="004928E6" w14:paraId="64D0AE7F" w14:textId="77777777">
            <w:pPr>
              <w:spacing w:before="120" w:after="120"/>
              <w:jc w:val="both"/>
              <w:rPr>
                <w:rFonts w:ascii="Arial" w:hAnsi="Arial" w:cs="Arial"/>
                <w:b/>
                <w:sz w:val="22"/>
                <w:szCs w:val="22"/>
              </w:rPr>
            </w:pPr>
          </w:p>
        </w:tc>
      </w:tr>
      <w:tr w:rsidRPr="00A406E5" w:rsidR="004928E6" w:rsidTr="166AA796" w14:paraId="261F8464" w14:textId="77777777">
        <w:tc>
          <w:tcPr>
            <w:tcW w:w="2093" w:type="dxa"/>
            <w:shd w:val="clear" w:color="auto" w:fill="auto"/>
            <w:tcMar/>
          </w:tcPr>
          <w:p w:rsidRPr="00A406E5" w:rsidR="004928E6" w:rsidP="00390415" w:rsidRDefault="004928E6" w14:paraId="3F35F88E" w14:textId="7777777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Mar/>
          </w:tcPr>
          <w:p w:rsidRPr="00A406E5" w:rsidR="004928E6" w:rsidP="00390415" w:rsidRDefault="004928E6" w14:paraId="148D45DE" w14:textId="77777777">
            <w:pPr>
              <w:spacing w:before="120" w:after="120"/>
              <w:jc w:val="both"/>
              <w:rPr>
                <w:rFonts w:ascii="Arial" w:hAnsi="Arial" w:cs="Arial"/>
                <w:b/>
                <w:sz w:val="22"/>
                <w:szCs w:val="22"/>
              </w:rPr>
            </w:pPr>
            <w:r>
              <w:rPr>
                <w:rFonts w:ascii="Arial" w:hAnsi="Arial" w:cs="Arial"/>
                <w:b/>
                <w:sz w:val="22"/>
                <w:szCs w:val="22"/>
              </w:rPr>
              <w:t>Research Study including Ethics Form</w:t>
            </w:r>
          </w:p>
        </w:tc>
        <w:tc>
          <w:tcPr>
            <w:tcW w:w="2268" w:type="dxa"/>
            <w:shd w:val="clear" w:color="auto" w:fill="auto"/>
            <w:tcMar/>
          </w:tcPr>
          <w:p w:rsidRPr="00A406E5" w:rsidR="004928E6" w:rsidP="00390415" w:rsidRDefault="004928E6" w14:paraId="0ABE06CE" w14:textId="7777777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Mar/>
          </w:tcPr>
          <w:p w:rsidRPr="00A406E5" w:rsidR="004928E6" w:rsidP="00390415" w:rsidRDefault="004928E6" w14:paraId="3717C64F" w14:textId="77777777">
            <w:pPr>
              <w:spacing w:before="120" w:after="120"/>
              <w:jc w:val="both"/>
              <w:rPr>
                <w:rFonts w:ascii="Arial" w:hAnsi="Arial" w:cs="Arial"/>
                <w:b/>
                <w:sz w:val="22"/>
                <w:szCs w:val="22"/>
              </w:rPr>
            </w:pPr>
            <w:r>
              <w:rPr>
                <w:rFonts w:ascii="Arial" w:hAnsi="Arial" w:cs="Arial"/>
                <w:b/>
                <w:sz w:val="22"/>
                <w:szCs w:val="22"/>
              </w:rPr>
              <w:t>10.000 words in total including an Ethics form (to be given in on January 11</w:t>
            </w:r>
            <w:r w:rsidRPr="00A92235">
              <w:rPr>
                <w:rFonts w:ascii="Arial" w:hAnsi="Arial" w:cs="Arial"/>
                <w:b/>
                <w:sz w:val="22"/>
                <w:szCs w:val="22"/>
                <w:vertAlign w:val="superscript"/>
              </w:rPr>
              <w:t>th</w:t>
            </w:r>
            <w:r>
              <w:rPr>
                <w:rFonts w:ascii="Arial" w:hAnsi="Arial" w:cs="Arial"/>
                <w:b/>
                <w:sz w:val="22"/>
                <w:szCs w:val="22"/>
              </w:rPr>
              <w:t xml:space="preserve"> 2019)</w:t>
            </w:r>
          </w:p>
        </w:tc>
      </w:tr>
      <w:tr w:rsidRPr="00A406E5" w:rsidR="004928E6" w:rsidTr="166AA796" w14:paraId="7971DC90" w14:textId="77777777">
        <w:tc>
          <w:tcPr>
            <w:tcW w:w="2093" w:type="dxa"/>
            <w:shd w:val="clear" w:color="auto" w:fill="auto"/>
            <w:tcMar/>
          </w:tcPr>
          <w:p w:rsidRPr="00A406E5" w:rsidR="004928E6" w:rsidP="00390415" w:rsidRDefault="004928E6" w14:paraId="2226B2F1" w14:textId="7777777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Mar/>
          </w:tcPr>
          <w:p w:rsidRPr="00A406E5" w:rsidR="004928E6" w:rsidP="00390415" w:rsidRDefault="004928E6" w14:paraId="41AB8D62" w14:textId="77777777">
            <w:pPr>
              <w:spacing w:before="120" w:after="120"/>
              <w:jc w:val="both"/>
              <w:rPr>
                <w:rFonts w:ascii="Arial" w:hAnsi="Arial" w:cs="Arial"/>
                <w:b/>
                <w:sz w:val="22"/>
                <w:szCs w:val="22"/>
              </w:rPr>
            </w:pPr>
            <w:r>
              <w:rPr>
                <w:rFonts w:ascii="Arial" w:hAnsi="Arial" w:cs="Arial"/>
                <w:b/>
                <w:sz w:val="22"/>
                <w:szCs w:val="22"/>
              </w:rPr>
              <w:t>May 13</w:t>
            </w:r>
            <w:r w:rsidRPr="009476C2">
              <w:rPr>
                <w:rFonts w:ascii="Arial" w:hAnsi="Arial" w:cs="Arial"/>
                <w:b/>
                <w:sz w:val="22"/>
                <w:szCs w:val="22"/>
                <w:vertAlign w:val="superscript"/>
              </w:rPr>
              <w:t>th</w:t>
            </w:r>
            <w:r>
              <w:rPr>
                <w:rFonts w:ascii="Arial" w:hAnsi="Arial" w:cs="Arial"/>
                <w:b/>
                <w:sz w:val="22"/>
                <w:szCs w:val="22"/>
              </w:rPr>
              <w:t xml:space="preserve"> 2019</w:t>
            </w:r>
          </w:p>
        </w:tc>
        <w:tc>
          <w:tcPr>
            <w:tcW w:w="2268" w:type="dxa"/>
            <w:shd w:val="clear" w:color="auto" w:fill="auto"/>
            <w:tcMar/>
          </w:tcPr>
          <w:p w:rsidRPr="00A406E5" w:rsidR="004928E6" w:rsidP="00390415" w:rsidRDefault="004928E6" w14:paraId="6D5BCD87" w14:textId="7777777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Mar/>
          </w:tcPr>
          <w:p w:rsidRPr="00A406E5" w:rsidR="004928E6" w:rsidP="00390415" w:rsidRDefault="004928E6" w14:paraId="75E8A794" w14:textId="77777777">
            <w:pPr>
              <w:spacing w:before="120" w:after="120"/>
              <w:jc w:val="both"/>
              <w:rPr>
                <w:rFonts w:ascii="Arial" w:hAnsi="Arial" w:cs="Arial"/>
                <w:b/>
                <w:sz w:val="22"/>
                <w:szCs w:val="22"/>
              </w:rPr>
            </w:pPr>
            <w:r>
              <w:rPr>
                <w:rFonts w:ascii="Arial" w:hAnsi="Arial" w:cs="Arial"/>
                <w:b/>
                <w:sz w:val="22"/>
                <w:szCs w:val="22"/>
              </w:rPr>
              <w:t>June 10</w:t>
            </w:r>
            <w:r w:rsidRPr="009476C2">
              <w:rPr>
                <w:rFonts w:ascii="Arial" w:hAnsi="Arial" w:cs="Arial"/>
                <w:b/>
                <w:sz w:val="22"/>
                <w:szCs w:val="22"/>
                <w:vertAlign w:val="superscript"/>
              </w:rPr>
              <w:t>th</w:t>
            </w:r>
            <w:r>
              <w:rPr>
                <w:rFonts w:ascii="Arial" w:hAnsi="Arial" w:cs="Arial"/>
                <w:b/>
                <w:sz w:val="22"/>
                <w:szCs w:val="22"/>
              </w:rPr>
              <w:t xml:space="preserve"> 2019</w:t>
            </w:r>
          </w:p>
        </w:tc>
      </w:tr>
      <w:tr w:rsidRPr="00A406E5" w:rsidR="004928E6" w:rsidTr="166AA796" w14:paraId="74C1A5AD" w14:textId="77777777">
        <w:tc>
          <w:tcPr>
            <w:tcW w:w="2093" w:type="dxa"/>
            <w:shd w:val="clear" w:color="auto" w:fill="auto"/>
            <w:tcMar/>
          </w:tcPr>
          <w:p w:rsidRPr="00A406E5" w:rsidR="004928E6" w:rsidP="00390415" w:rsidRDefault="004928E6" w14:paraId="20276DA3" w14:textId="7777777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Mar/>
          </w:tcPr>
          <w:p w:rsidRPr="00A406E5" w:rsidR="004928E6" w:rsidP="00390415" w:rsidRDefault="004928E6" w14:paraId="23A5BA4B" w14:textId="77777777">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rsidRPr="00A406E5" w:rsidR="004928E6" w:rsidP="00390415" w:rsidRDefault="004928E6" w14:paraId="27E88BF1" w14:textId="7777777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Pr="00A406E5" w:rsidR="004928E6" w:rsidP="166AA796" w:rsidRDefault="004928E6" w14:paraId="1F4D54F9" w14:textId="77777777">
            <w:pPr>
              <w:spacing w:before="120" w:after="120"/>
              <w:jc w:val="both"/>
              <w:rPr>
                <w:rFonts w:ascii="Arial" w:hAnsi="Arial" w:cs="Arial"/>
                <w:b w:val="1"/>
                <w:bCs w:val="1"/>
                <w:sz w:val="22"/>
                <w:szCs w:val="22"/>
              </w:rPr>
            </w:pPr>
            <w:r w:rsidRPr="166AA796" w:rsidR="166AA796">
              <w:rPr>
                <w:rFonts w:ascii="Arial" w:hAnsi="Arial" w:cs="Arial"/>
                <w:b w:val="1"/>
                <w:bCs w:val="1"/>
                <w:sz w:val="22"/>
                <w:szCs w:val="22"/>
              </w:rPr>
              <w:t xml:space="preserve">Late submission of the assessment will result in a late penalty mark.  </w:t>
            </w:r>
            <w:r w:rsidRPr="166AA796" w:rsidR="166AA796">
              <w:rPr>
                <w:rFonts w:ascii="Arial" w:hAnsi="Arial" w:cs="Arial"/>
                <w:sz w:val="22"/>
                <w:szCs w:val="22"/>
              </w:rPr>
              <w:t xml:space="preserve">Penalties for late submission: Up to </w:t>
            </w:r>
            <w:r w:rsidRPr="166AA796" w:rsidR="166AA796">
              <w:rPr>
                <w:rFonts w:ascii="Arial" w:hAnsi="Arial" w:cs="Arial"/>
                <w:sz w:val="22"/>
                <w:szCs w:val="22"/>
              </w:rPr>
              <w:t>one week</w:t>
            </w:r>
            <w:r w:rsidRPr="166AA796" w:rsidR="166AA796">
              <w:rPr>
                <w:rFonts w:ascii="Arial" w:hAnsi="Arial" w:cs="Arial"/>
                <w:sz w:val="22"/>
                <w:szCs w:val="22"/>
              </w:rPr>
              <w:t xml:space="preserve"> late, maximum mark of 40%.  Over one week late, 0%.  Only the Extenuating Circumstances Panel may approve a change to submission dates.</w:t>
            </w:r>
          </w:p>
        </w:tc>
      </w:tr>
      <w:tr w:rsidRPr="00A406E5" w:rsidR="004928E6" w:rsidTr="166AA796" w14:paraId="2B7FDBA3" w14:textId="77777777">
        <w:tc>
          <w:tcPr>
            <w:tcW w:w="2093" w:type="dxa"/>
            <w:shd w:val="clear" w:color="auto" w:fill="auto"/>
            <w:tcMar/>
          </w:tcPr>
          <w:p w:rsidRPr="00A406E5" w:rsidR="004928E6" w:rsidP="00390415" w:rsidRDefault="004928E6" w14:paraId="43FDDA27" w14:textId="7777777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Mar/>
          </w:tcPr>
          <w:p w:rsidRPr="00A406E5" w:rsidR="004928E6" w:rsidP="00390415" w:rsidRDefault="004928E6" w14:paraId="7CA6F131" w14:textId="7777777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406E5" w:rsidR="004928E6" w:rsidP="004928E6" w:rsidRDefault="004928E6" w14:paraId="6319D959" w14:textId="77777777">
      <w:pPr>
        <w:rPr>
          <w:rFonts w:ascii="Arial" w:hAnsi="Arial" w:cs="Arial"/>
          <w:sz w:val="32"/>
        </w:rPr>
      </w:pPr>
    </w:p>
    <w:p w:rsidR="166AA796" w:rsidRDefault="166AA796" w14:paraId="70B7377E" w14:textId="70DB7345">
      <w:r>
        <w:br w:type="page"/>
      </w:r>
    </w:p>
    <w:p w:rsidR="166AA796" w:rsidP="3D779CD1" w:rsidRDefault="166AA796" w14:paraId="5144D006" w14:textId="1FC1B693">
      <w:pPr>
        <w:spacing w:line="360" w:lineRule="auto"/>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b w:val="1"/>
          <w:bCs w:val="1"/>
          <w:noProof w:val="0"/>
          <w:sz w:val="24"/>
          <w:szCs w:val="24"/>
          <w:lang w:val="en-GB"/>
        </w:rPr>
        <w:t>Introduction</w:t>
      </w:r>
    </w:p>
    <w:p w:rsidR="166AA796" w:rsidP="3D779CD1" w:rsidRDefault="166AA796" w14:paraId="63BE611C" w14:textId="72752727">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The focus of the research for this paper is curriculum development and enhancement, with particular attention to how Key Stage 3 (KS3) pupil’s abilities to learn and apply the formal elements of Art and Design will build not only on their literacy and numeracy skills, but also their critical thinking skills and transfer of all skills. All research will be conducted at School X, which will be referred to as such in line with research guidelines for ethical education-based research provided by the British Educational Research Association (BERA), to keep the identity of the school and the students involved confidential.</w:t>
      </w:r>
    </w:p>
    <w:p w:rsidR="166AA796" w:rsidP="3D779CD1" w:rsidRDefault="166AA796" w14:paraId="3E6BAE19" w14:textId="27EB5BDA">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53987D0" w14:textId="772C42D9">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A co-educational community school based at the centre of a city in South Wales, School X caters for students aged 11 to 16 and is maintained by the local authority. There are currently approximately 460 students, supported by 40 full-time teaching staff. Of the student population, just under 50% are receiving Free School Meals (FSM), which is significantly higher than the local and national averages, which stand at 18.3% and 16.6% respectively. The number of students recognised for Special Educational Needs (SEN) is 63.3%, this is also much higher than the local and national averages, 28.1% and 25% respectively (Welsh Government, 2018). School X is well-known in the local area, and by inspectors, for having an excellent SEN support team and specialist unit which works closely with the mainstream teaching staff to provide support for the students and to integrate the SEN students into as many mainstream classes as possible (Estyn, 2016).</w:t>
      </w:r>
    </w:p>
    <w:p w:rsidR="166AA796" w:rsidP="3D779CD1" w:rsidRDefault="166AA796" w14:paraId="00B185F3" w14:textId="6DD64CE1">
      <w:pPr>
        <w:spacing w:line="360" w:lineRule="auto"/>
        <w:jc w:val="left"/>
        <w:rPr>
          <w:rFonts w:ascii="Times New Roman" w:hAnsi="Times New Roman" w:eastAsia="Times New Roman" w:cs="Times New Roman"/>
          <w:noProof w:val="0"/>
          <w:sz w:val="24"/>
          <w:szCs w:val="24"/>
          <w:lang w:val="en-GB"/>
        </w:rPr>
      </w:pPr>
    </w:p>
    <w:p w:rsidR="166AA796" w:rsidP="3D779CD1" w:rsidRDefault="166AA796" w14:paraId="7BDE3FB7" w14:textId="2FC528C8">
      <w:pPr>
        <w:spacing w:line="360" w:lineRule="auto"/>
        <w:jc w:val="left"/>
        <w:rPr>
          <w:rFonts w:ascii="Times New Roman" w:hAnsi="Times New Roman" w:eastAsia="Times New Roman" w:cs="Times New Roman"/>
          <w:noProof w:val="0"/>
          <w:sz w:val="24"/>
          <w:szCs w:val="24"/>
          <w:lang w:val="en-GB"/>
        </w:rPr>
      </w:pPr>
    </w:p>
    <w:p w:rsidR="166AA796" w:rsidP="3D779CD1" w:rsidRDefault="166AA796" w14:paraId="1673E5C1" w14:textId="2CB0C1E1">
      <w:pPr>
        <w:spacing w:line="360" w:lineRule="auto"/>
        <w:jc w:val="left"/>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b w:val="1"/>
          <w:bCs w:val="1"/>
          <w:noProof w:val="0"/>
          <w:sz w:val="24"/>
          <w:szCs w:val="24"/>
          <w:lang w:val="en-GB"/>
        </w:rPr>
        <w:t>Literature Review</w:t>
      </w:r>
    </w:p>
    <w:p w:rsidR="166AA796" w:rsidP="3D779CD1" w:rsidRDefault="166AA796" w14:paraId="7E943D19" w14:textId="5DCBE441">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Curriculum development and enhancement comes due to the need to bring the reality of day to day life into the classroom and to keep up with modern life (</w:t>
      </w:r>
      <w:proofErr w:type="spellStart"/>
      <w:r w:rsidRPr="3D779CD1" w:rsidR="3D779CD1">
        <w:rPr>
          <w:rFonts w:ascii="Times New Roman" w:hAnsi="Times New Roman" w:eastAsia="Times New Roman" w:cs="Times New Roman"/>
          <w:noProof w:val="0"/>
          <w:sz w:val="24"/>
          <w:szCs w:val="24"/>
          <w:lang w:val="en-GB"/>
        </w:rPr>
        <w:t>Oksiutycz</w:t>
      </w:r>
      <w:proofErr w:type="spellEnd"/>
      <w:r w:rsidRPr="3D779CD1" w:rsidR="3D779CD1">
        <w:rPr>
          <w:rFonts w:ascii="Times New Roman" w:hAnsi="Times New Roman" w:eastAsia="Times New Roman" w:cs="Times New Roman"/>
          <w:noProof w:val="0"/>
          <w:sz w:val="24"/>
          <w:szCs w:val="24"/>
          <w:lang w:val="en-GB"/>
        </w:rPr>
        <w:t xml:space="preserve"> &amp; </w:t>
      </w:r>
      <w:proofErr w:type="spellStart"/>
      <w:r w:rsidRPr="3D779CD1" w:rsidR="3D779CD1">
        <w:rPr>
          <w:rFonts w:ascii="Times New Roman" w:hAnsi="Times New Roman" w:eastAsia="Times New Roman" w:cs="Times New Roman"/>
          <w:noProof w:val="0"/>
          <w:sz w:val="24"/>
          <w:szCs w:val="24"/>
          <w:lang w:val="en-GB"/>
        </w:rPr>
        <w:t>Azionya</w:t>
      </w:r>
      <w:proofErr w:type="spellEnd"/>
      <w:r w:rsidRPr="3D779CD1" w:rsidR="3D779CD1">
        <w:rPr>
          <w:rFonts w:ascii="Times New Roman" w:hAnsi="Times New Roman" w:eastAsia="Times New Roman" w:cs="Times New Roman"/>
          <w:noProof w:val="0"/>
          <w:sz w:val="24"/>
          <w:szCs w:val="24"/>
          <w:lang w:val="en-GB"/>
        </w:rPr>
        <w:t>, 2017). Action research is often used in education-based research as it can be recurring and continual, allowing teacher-researchers to methodically reflect on their teaching and the student-participants' learning, then adjust the delivery of lessons and resources accordingly to improve teaching and learning practices (Costello, 2003; Little, 2012). Action research has been defined as “any systematic inquiry conducted by teacher researchers, principals, school counsellors, or other stakeholders in the teaching/learning environment to gather information about how their particular schools operate, how they teach, and how well their students learn” (Mills, 2014, p.8). It is “a type of reflective problem solving familiar to most professionals that has often been alluded to, but less often explicated as a crucial approach to knowledge and skill acquisition and teaching” (Thornton, 2013, p.6). However, as the research and practice are often executed simultaneously, action research is not seen as a liner process (</w:t>
      </w:r>
      <w:proofErr w:type="spellStart"/>
      <w:r w:rsidRPr="3D779CD1" w:rsidR="3D779CD1">
        <w:rPr>
          <w:rFonts w:ascii="Times New Roman" w:hAnsi="Times New Roman" w:eastAsia="Times New Roman" w:cs="Times New Roman"/>
          <w:noProof w:val="0"/>
          <w:sz w:val="24"/>
          <w:szCs w:val="24"/>
          <w:lang w:val="en-GB"/>
        </w:rPr>
        <w:t>Oksiutycz</w:t>
      </w:r>
      <w:proofErr w:type="spellEnd"/>
      <w:r w:rsidRPr="3D779CD1" w:rsidR="3D779CD1">
        <w:rPr>
          <w:rFonts w:ascii="Times New Roman" w:hAnsi="Times New Roman" w:eastAsia="Times New Roman" w:cs="Times New Roman"/>
          <w:noProof w:val="0"/>
          <w:sz w:val="24"/>
          <w:szCs w:val="24"/>
          <w:lang w:val="en-GB"/>
        </w:rPr>
        <w:t xml:space="preserve"> &amp; </w:t>
      </w:r>
      <w:proofErr w:type="spellStart"/>
      <w:r w:rsidRPr="3D779CD1" w:rsidR="3D779CD1">
        <w:rPr>
          <w:rFonts w:ascii="Times New Roman" w:hAnsi="Times New Roman" w:eastAsia="Times New Roman" w:cs="Times New Roman"/>
          <w:noProof w:val="0"/>
          <w:sz w:val="24"/>
          <w:szCs w:val="24"/>
          <w:lang w:val="en-GB"/>
        </w:rPr>
        <w:t>Azionya</w:t>
      </w:r>
      <w:proofErr w:type="spellEnd"/>
      <w:r w:rsidRPr="3D779CD1" w:rsidR="3D779CD1">
        <w:rPr>
          <w:rFonts w:ascii="Times New Roman" w:hAnsi="Times New Roman" w:eastAsia="Times New Roman" w:cs="Times New Roman"/>
          <w:noProof w:val="0"/>
          <w:sz w:val="24"/>
          <w:szCs w:val="24"/>
          <w:lang w:val="en-GB"/>
        </w:rPr>
        <w:t xml:space="preserve">, 2017, p.198). Each cycle of teaching and learning is reflected on and analysed after the introduction of a teaching innovation and improvements are made before the next cycle starts. There are </w:t>
      </w:r>
      <w:proofErr w:type="gramStart"/>
      <w:r w:rsidRPr="3D779CD1" w:rsidR="3D779CD1">
        <w:rPr>
          <w:rFonts w:ascii="Times New Roman" w:hAnsi="Times New Roman" w:eastAsia="Times New Roman" w:cs="Times New Roman"/>
          <w:noProof w:val="0"/>
          <w:sz w:val="24"/>
          <w:szCs w:val="24"/>
          <w:lang w:val="en-GB"/>
        </w:rPr>
        <w:t>a number of</w:t>
      </w:r>
      <w:proofErr w:type="gramEnd"/>
      <w:r w:rsidRPr="3D779CD1" w:rsidR="3D779CD1">
        <w:rPr>
          <w:rFonts w:ascii="Times New Roman" w:hAnsi="Times New Roman" w:eastAsia="Times New Roman" w:cs="Times New Roman"/>
          <w:noProof w:val="0"/>
          <w:sz w:val="24"/>
          <w:szCs w:val="24"/>
          <w:lang w:val="en-GB"/>
        </w:rPr>
        <w:t xml:space="preserve"> reflective practices a researcher could us, one being critical self-reflection which exposes assumptions by thoroughly analysing one’s practice (Brookfield, 2015). Another is reflexive inquiry, which </w:t>
      </w:r>
      <w:proofErr w:type="gramStart"/>
      <w:r w:rsidRPr="3D779CD1" w:rsidR="3D779CD1">
        <w:rPr>
          <w:rFonts w:ascii="Times New Roman" w:hAnsi="Times New Roman" w:eastAsia="Times New Roman" w:cs="Times New Roman"/>
          <w:noProof w:val="0"/>
          <w:sz w:val="24"/>
          <w:szCs w:val="24"/>
          <w:lang w:val="en-GB"/>
        </w:rPr>
        <w:t>takes into account</w:t>
      </w:r>
      <w:proofErr w:type="gramEnd"/>
      <w:r w:rsidRPr="3D779CD1" w:rsidR="3D779CD1">
        <w:rPr>
          <w:rFonts w:ascii="Times New Roman" w:hAnsi="Times New Roman" w:eastAsia="Times New Roman" w:cs="Times New Roman"/>
          <w:noProof w:val="0"/>
          <w:sz w:val="24"/>
          <w:szCs w:val="24"/>
          <w:lang w:val="en-GB"/>
        </w:rPr>
        <w:t xml:space="preserve"> personal experiences that may have influenced choices made and to analyse them from a critical position (Cole &amp; Knowles, 2008). Modern teachers are therefore tackling the task of preparing students for a future that cannot yet be perceived, and at the same time must be proficient at diagnosing misconceptions and planning remedies before implementing and then ultimately testing interventions (Darling-Hammond, 2005). </w:t>
      </w:r>
    </w:p>
    <w:p w:rsidR="166AA796" w:rsidP="3D779CD1" w:rsidRDefault="166AA796" w14:paraId="6533E22A" w14:textId="36D79603">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795EB620" w14:textId="32A7F35B">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For arts-based researchers they are used to doing this as part of their personal art </w:t>
      </w:r>
      <w:proofErr w:type="gramStart"/>
      <w:r w:rsidRPr="3D779CD1" w:rsidR="3D779CD1">
        <w:rPr>
          <w:rFonts w:ascii="Times New Roman" w:hAnsi="Times New Roman" w:eastAsia="Times New Roman" w:cs="Times New Roman"/>
          <w:noProof w:val="0"/>
          <w:sz w:val="24"/>
          <w:szCs w:val="24"/>
          <w:lang w:val="en-GB"/>
        </w:rPr>
        <w:t>practice, but</w:t>
      </w:r>
      <w:proofErr w:type="gramEnd"/>
      <w:r w:rsidRPr="3D779CD1" w:rsidR="3D779CD1">
        <w:rPr>
          <w:rFonts w:ascii="Times New Roman" w:hAnsi="Times New Roman" w:eastAsia="Times New Roman" w:cs="Times New Roman"/>
          <w:noProof w:val="0"/>
          <w:sz w:val="24"/>
          <w:szCs w:val="24"/>
          <w:lang w:val="en-GB"/>
        </w:rPr>
        <w:t xml:space="preserve"> is often sporadic at best and as a reaction to external factors that created a peak of emotion, and not as a drive to benefitting short or long-term growth (Clarke &amp; Bautista, 2017). Action research can be divided into three main driving forces: professional; personal; and political (Noffke, 1997). For many arts organisations in partnerships with schools it is a way of assuring future government funding by demonstrating that student learning has occurred, which has naturally led to them taking “further steps to examine the impact of arts partnerships on teacher learning (</w:t>
      </w:r>
      <w:proofErr w:type="spellStart"/>
      <w:r w:rsidRPr="3D779CD1" w:rsidR="3D779CD1">
        <w:rPr>
          <w:rFonts w:ascii="Times New Roman" w:hAnsi="Times New Roman" w:eastAsia="Times New Roman" w:cs="Times New Roman"/>
          <w:noProof w:val="0"/>
          <w:sz w:val="24"/>
          <w:szCs w:val="24"/>
          <w:lang w:val="en-GB"/>
        </w:rPr>
        <w:t>Burnaford</w:t>
      </w:r>
      <w:proofErr w:type="spellEnd"/>
      <w:r w:rsidRPr="3D779CD1" w:rsidR="3D779CD1">
        <w:rPr>
          <w:rFonts w:ascii="Times New Roman" w:hAnsi="Times New Roman" w:eastAsia="Times New Roman" w:cs="Times New Roman"/>
          <w:noProof w:val="0"/>
          <w:sz w:val="24"/>
          <w:szCs w:val="24"/>
          <w:lang w:val="en-GB"/>
        </w:rPr>
        <w:t>, 2007, p.35). In turn, this has led to the assessment of program outcomes, how the arts should be taught and who should be teaching them (</w:t>
      </w:r>
      <w:proofErr w:type="spellStart"/>
      <w:r w:rsidRPr="3D779CD1" w:rsidR="3D779CD1">
        <w:rPr>
          <w:rFonts w:ascii="Times New Roman" w:hAnsi="Times New Roman" w:eastAsia="Times New Roman" w:cs="Times New Roman"/>
          <w:noProof w:val="0"/>
          <w:sz w:val="24"/>
          <w:szCs w:val="24"/>
          <w:lang w:val="en-GB"/>
        </w:rPr>
        <w:t>Mahlmann</w:t>
      </w:r>
      <w:proofErr w:type="spellEnd"/>
      <w:r w:rsidRPr="3D779CD1" w:rsidR="3D779CD1">
        <w:rPr>
          <w:rFonts w:ascii="Times New Roman" w:hAnsi="Times New Roman" w:eastAsia="Times New Roman" w:cs="Times New Roman"/>
          <w:noProof w:val="0"/>
          <w:sz w:val="24"/>
          <w:szCs w:val="24"/>
          <w:lang w:val="en-GB"/>
        </w:rPr>
        <w:t>, 1996). It has also raised questions about contemporary art, participants’ interaction with it and how learning through these interactions can affect and research into the relationships between interactions and learning. (</w:t>
      </w:r>
      <w:r w:rsidRPr="3D779CD1" w:rsidR="3D779CD1">
        <w:rPr>
          <w:rFonts w:ascii="Times New Roman" w:hAnsi="Times New Roman" w:eastAsia="Times New Roman" w:cs="Times New Roman"/>
          <w:noProof w:val="0"/>
          <w:sz w:val="24"/>
          <w:szCs w:val="24"/>
          <w:lang w:val="en-GB"/>
        </w:rPr>
        <w:t>Jokela et al</w:t>
      </w:r>
      <w:r w:rsidRPr="3D779CD1" w:rsidR="3D779CD1">
        <w:rPr>
          <w:rFonts w:ascii="Times New Roman" w:hAnsi="Times New Roman" w:eastAsia="Times New Roman" w:cs="Times New Roman"/>
          <w:noProof w:val="0"/>
          <w:sz w:val="24"/>
          <w:szCs w:val="24"/>
          <w:lang w:val="en-GB"/>
        </w:rPr>
        <w:t xml:space="preserve">, 2015). This could be argued that it is a version of learning where knowledge and emotion along with art and science are all social construction, and not available for any style of assessment (Berger &amp; </w:t>
      </w:r>
      <w:proofErr w:type="spellStart"/>
      <w:r w:rsidRPr="3D779CD1" w:rsidR="3D779CD1">
        <w:rPr>
          <w:rFonts w:ascii="Times New Roman" w:hAnsi="Times New Roman" w:eastAsia="Times New Roman" w:cs="Times New Roman"/>
          <w:noProof w:val="0"/>
          <w:sz w:val="24"/>
          <w:szCs w:val="24"/>
          <w:lang w:val="en-GB"/>
        </w:rPr>
        <w:t>Luckmann</w:t>
      </w:r>
      <w:proofErr w:type="spellEnd"/>
      <w:r w:rsidRPr="3D779CD1" w:rsidR="3D779CD1">
        <w:rPr>
          <w:rFonts w:ascii="Times New Roman" w:hAnsi="Times New Roman" w:eastAsia="Times New Roman" w:cs="Times New Roman"/>
          <w:noProof w:val="0"/>
          <w:sz w:val="24"/>
          <w:szCs w:val="24"/>
          <w:lang w:val="en-GB"/>
        </w:rPr>
        <w:t>, [1966] 1994).</w:t>
      </w:r>
    </w:p>
    <w:p w:rsidR="166AA796" w:rsidP="3D779CD1" w:rsidRDefault="166AA796" w14:paraId="1BA73181" w14:textId="286D6169">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51E215C1" w14:textId="56251386">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Assessment in Art and Design is tricky, there is no external and nationally recognised testing before the students enter their GCSE and is often left to the educators that taught the students. Some argue that the reliability of the grades awarded, as it is “totally dependent on effective moderator standardisation procedures – a very considerable challenge” (Steers, 2003, p25). However, it could also be said that a teacher’s judgements, with their personal knowledge of the student’s efforts and abilities, can be more reliable than standard nationalised testing (</w:t>
      </w:r>
      <w:proofErr w:type="spellStart"/>
      <w:r w:rsidRPr="3D779CD1" w:rsidR="3D779CD1">
        <w:rPr>
          <w:rFonts w:ascii="Times New Roman" w:hAnsi="Times New Roman" w:eastAsia="Times New Roman" w:cs="Times New Roman"/>
          <w:noProof w:val="0"/>
          <w:sz w:val="24"/>
          <w:szCs w:val="24"/>
          <w:lang w:val="en-GB"/>
        </w:rPr>
        <w:t>Harlen</w:t>
      </w:r>
      <w:proofErr w:type="spellEnd"/>
      <w:r w:rsidRPr="3D779CD1" w:rsidR="3D779CD1">
        <w:rPr>
          <w:rFonts w:ascii="Times New Roman" w:hAnsi="Times New Roman" w:eastAsia="Times New Roman" w:cs="Times New Roman"/>
          <w:noProof w:val="0"/>
          <w:sz w:val="24"/>
          <w:szCs w:val="24"/>
          <w:lang w:val="en-GB"/>
        </w:rPr>
        <w:t>, 2004). As the disciplines studied under the current Art and Design national curriculum are somewhat unlimited, it could be said that the assessment criteria are generic, in order to be able to accommodate for the broad range of specialisms, which in turn makes it difficult to apply to alternative outcomes (Steers, 2003). It has also been argued that Art and Design should not be graded at all, that it should be a “sanctuary against school regulations, where each youngster is free to be himself and put down his feelings and emotions without censorship, where he can evaluate his own progress toward his own goals without the imposition of an arbitrary grading system” (</w:t>
      </w:r>
      <w:proofErr w:type="spellStart"/>
      <w:r w:rsidRPr="3D779CD1" w:rsidR="3D779CD1">
        <w:rPr>
          <w:rFonts w:ascii="Times New Roman" w:hAnsi="Times New Roman" w:eastAsia="Times New Roman" w:cs="Times New Roman"/>
          <w:noProof w:val="0"/>
          <w:sz w:val="24"/>
          <w:szCs w:val="24"/>
          <w:lang w:val="en-GB"/>
        </w:rPr>
        <w:t>Lowenfield</w:t>
      </w:r>
      <w:proofErr w:type="spellEnd"/>
      <w:r w:rsidRPr="3D779CD1" w:rsidR="3D779CD1">
        <w:rPr>
          <w:rFonts w:ascii="Times New Roman" w:hAnsi="Times New Roman" w:eastAsia="Times New Roman" w:cs="Times New Roman"/>
          <w:noProof w:val="0"/>
          <w:sz w:val="24"/>
          <w:szCs w:val="24"/>
          <w:lang w:val="en-GB"/>
        </w:rPr>
        <w:t xml:space="preserve"> &amp; </w:t>
      </w:r>
      <w:proofErr w:type="spellStart"/>
      <w:r w:rsidRPr="3D779CD1" w:rsidR="3D779CD1">
        <w:rPr>
          <w:rFonts w:ascii="Times New Roman" w:hAnsi="Times New Roman" w:eastAsia="Times New Roman" w:cs="Times New Roman"/>
          <w:noProof w:val="0"/>
          <w:sz w:val="24"/>
          <w:szCs w:val="24"/>
          <w:lang w:val="en-GB"/>
        </w:rPr>
        <w:t>Brittain</w:t>
      </w:r>
      <w:proofErr w:type="spellEnd"/>
      <w:r w:rsidRPr="3D779CD1" w:rsidR="3D779CD1">
        <w:rPr>
          <w:rFonts w:ascii="Times New Roman" w:hAnsi="Times New Roman" w:eastAsia="Times New Roman" w:cs="Times New Roman"/>
          <w:noProof w:val="0"/>
          <w:sz w:val="24"/>
          <w:szCs w:val="24"/>
          <w:lang w:val="en-GB"/>
        </w:rPr>
        <w:t>, 1982, p.163). Some have also said that at some point the need to assess will surpass the creativity and teaching and learning held in an art classroom (</w:t>
      </w:r>
      <w:proofErr w:type="spellStart"/>
      <w:r w:rsidRPr="3D779CD1" w:rsidR="3D779CD1">
        <w:rPr>
          <w:rFonts w:ascii="Times New Roman" w:hAnsi="Times New Roman" w:eastAsia="Times New Roman" w:cs="Times New Roman"/>
          <w:noProof w:val="0"/>
          <w:sz w:val="24"/>
          <w:szCs w:val="24"/>
          <w:lang w:val="en-GB"/>
        </w:rPr>
        <w:t>Bensur</w:t>
      </w:r>
      <w:proofErr w:type="spellEnd"/>
      <w:r w:rsidRPr="3D779CD1" w:rsidR="3D779CD1">
        <w:rPr>
          <w:rFonts w:ascii="Times New Roman" w:hAnsi="Times New Roman" w:eastAsia="Times New Roman" w:cs="Times New Roman"/>
          <w:noProof w:val="0"/>
          <w:sz w:val="24"/>
          <w:szCs w:val="24"/>
          <w:lang w:val="en-GB"/>
        </w:rPr>
        <w:t xml:space="preserve">, 2002). This falls in-line with the school of thought that our current education system is too high-stakes for students (Gibbons, 2009; </w:t>
      </w:r>
      <w:r w:rsidRPr="3D779CD1" w:rsidR="3D779CD1">
        <w:rPr>
          <w:rFonts w:ascii="Times New Roman" w:hAnsi="Times New Roman" w:eastAsia="Times New Roman" w:cs="Times New Roman"/>
          <w:noProof w:val="0"/>
          <w:sz w:val="24"/>
          <w:szCs w:val="24"/>
          <w:lang w:val="en-GB"/>
        </w:rPr>
        <w:t>Mason</w:t>
      </w:r>
      <w:r w:rsidRPr="3D779CD1" w:rsidR="3D779CD1">
        <w:rPr>
          <w:rFonts w:ascii="Times New Roman" w:hAnsi="Times New Roman" w:eastAsia="Times New Roman" w:cs="Times New Roman"/>
          <w:noProof w:val="0"/>
          <w:sz w:val="24"/>
          <w:szCs w:val="24"/>
          <w:lang w:val="en-GB"/>
        </w:rPr>
        <w:t xml:space="preserve"> &amp; Steers, 2006), and that educators often intervene with “effective </w:t>
      </w:r>
      <w:proofErr w:type="spellStart"/>
      <w:r w:rsidRPr="3D779CD1" w:rsidR="3D779CD1">
        <w:rPr>
          <w:rFonts w:ascii="Times New Roman" w:hAnsi="Times New Roman" w:eastAsia="Times New Roman" w:cs="Times New Roman"/>
          <w:noProof w:val="0"/>
          <w:sz w:val="24"/>
          <w:szCs w:val="24"/>
          <w:lang w:val="en-GB"/>
        </w:rPr>
        <w:t>prescriptors</w:t>
      </w:r>
      <w:proofErr w:type="spellEnd"/>
      <w:r w:rsidRPr="3D779CD1" w:rsidR="3D779CD1">
        <w:rPr>
          <w:rFonts w:ascii="Times New Roman" w:hAnsi="Times New Roman" w:eastAsia="Times New Roman" w:cs="Times New Roman"/>
          <w:noProof w:val="0"/>
          <w:sz w:val="24"/>
          <w:szCs w:val="24"/>
          <w:lang w:val="en-GB"/>
        </w:rPr>
        <w:t xml:space="preserve"> for their students to follow that raise examination scores and, in turn, satisfy the various demands of league tables, inspection and threshold payments. But whether such a dominant conventional approach encourages real creativity and is in the best interests of pupils may be another matter” (</w:t>
      </w:r>
      <w:r w:rsidRPr="3D779CD1" w:rsidR="3D779CD1">
        <w:rPr>
          <w:rFonts w:ascii="Times New Roman" w:hAnsi="Times New Roman" w:eastAsia="Times New Roman" w:cs="Times New Roman"/>
          <w:noProof w:val="0"/>
          <w:sz w:val="24"/>
          <w:szCs w:val="24"/>
          <w:lang w:val="en-GB"/>
        </w:rPr>
        <w:t>Mason</w:t>
      </w:r>
      <w:r w:rsidRPr="3D779CD1" w:rsidR="3D779CD1">
        <w:rPr>
          <w:rFonts w:ascii="Times New Roman" w:hAnsi="Times New Roman" w:eastAsia="Times New Roman" w:cs="Times New Roman"/>
          <w:noProof w:val="0"/>
          <w:sz w:val="24"/>
          <w:szCs w:val="24"/>
          <w:lang w:val="en-GB"/>
        </w:rPr>
        <w:t xml:space="preserve"> &amp; Steers, 2006, p.122). Indeed, many teachers may find assigning grades to a students’ outcome debasing to the creative journey the student would have gone through to be able to produce such a piece (Gruber, 1994). It is regularly agreed a student’s learning in art cannot be quantified accurately by any single form of assessment, due to the breadth and depth that art can be discussed to (Gruber &amp; Hobbs, 2002, p.16).</w:t>
      </w:r>
    </w:p>
    <w:p w:rsidR="166AA796" w:rsidP="3D779CD1" w:rsidRDefault="166AA796" w14:paraId="24A45B69" w14:textId="59D3EC5A">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6DE4B656" w14:textId="4C2A0CDA">
      <w:pPr>
        <w:spacing w:line="360" w:lineRule="auto"/>
        <w:ind w:left="432" w:right="432"/>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i w:val="1"/>
          <w:iCs w:val="1"/>
          <w:noProof w:val="0"/>
          <w:sz w:val="24"/>
          <w:szCs w:val="24"/>
          <w:lang w:val="en-GB"/>
        </w:rPr>
        <w:t xml:space="preserve">“The challenges of the next century must be met by citizens with enormous energy and well-developed capacity for imaginative discipline. Our communities need creative pioneers, adept at risk taking, challenging assumptions and questioning conventional wisdom. This is the domain of the artist: listening, translating, borrowing and synthesizing.” </w:t>
      </w:r>
    </w:p>
    <w:p w:rsidR="166AA796" w:rsidP="3D779CD1" w:rsidRDefault="166AA796" w14:paraId="645458E9" w14:textId="5302B398">
      <w:pPr>
        <w:spacing w:line="360" w:lineRule="auto"/>
        <w:ind w:left="5904"/>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i w:val="1"/>
          <w:iCs w:val="1"/>
          <w:noProof w:val="0"/>
          <w:sz w:val="24"/>
          <w:szCs w:val="24"/>
          <w:lang w:val="en-GB"/>
        </w:rPr>
        <w:t>- William Cleveland, 1992.</w:t>
      </w:r>
    </w:p>
    <w:p w:rsidR="166AA796" w:rsidP="3D779CD1" w:rsidRDefault="166AA796" w14:paraId="2087994F" w14:textId="012134A9">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598C9272" w14:textId="711CB8DA">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The creativity that </w:t>
      </w:r>
      <w:r w:rsidRPr="3D779CD1" w:rsidR="3D779CD1">
        <w:rPr>
          <w:rFonts w:ascii="Times New Roman" w:hAnsi="Times New Roman" w:eastAsia="Times New Roman" w:cs="Times New Roman"/>
          <w:noProof w:val="0"/>
          <w:sz w:val="24"/>
          <w:szCs w:val="24"/>
          <w:lang w:val="en-GB"/>
        </w:rPr>
        <w:t>Clevelan</w:t>
      </w:r>
      <w:r w:rsidRPr="3D779CD1" w:rsidR="3D779CD1">
        <w:rPr>
          <w:rFonts w:ascii="Times New Roman" w:hAnsi="Times New Roman" w:eastAsia="Times New Roman" w:cs="Times New Roman"/>
          <w:noProof w:val="0"/>
          <w:sz w:val="24"/>
          <w:szCs w:val="24"/>
          <w:lang w:val="en-GB"/>
        </w:rPr>
        <w:t xml:space="preserve">d (cited in DeLuca, 2010) is describing could be interpreted as critical thinking, which has been defined as “reflective and reasonable thinking that is focused on decided what to believe or do” (Ennis, 1985, p.45). The skill of critical thinking is essential to the new curriculum that Donaldson (2015) has laid out for Wales, stating that </w:t>
      </w:r>
      <w:proofErr w:type="gramStart"/>
      <w:r w:rsidRPr="3D779CD1" w:rsidR="3D779CD1">
        <w:rPr>
          <w:rFonts w:ascii="Times New Roman" w:hAnsi="Times New Roman" w:eastAsia="Times New Roman" w:cs="Times New Roman"/>
          <w:noProof w:val="0"/>
          <w:sz w:val="24"/>
          <w:szCs w:val="24"/>
          <w:lang w:val="en-GB"/>
        </w:rPr>
        <w:t>in order for</w:t>
      </w:r>
      <w:proofErr w:type="gramEnd"/>
      <w:r w:rsidRPr="3D779CD1" w:rsidR="3D779CD1">
        <w:rPr>
          <w:rFonts w:ascii="Times New Roman" w:hAnsi="Times New Roman" w:eastAsia="Times New Roman" w:cs="Times New Roman"/>
          <w:noProof w:val="0"/>
          <w:sz w:val="24"/>
          <w:szCs w:val="24"/>
          <w:lang w:val="en-GB"/>
        </w:rPr>
        <w:t xml:space="preserve"> students to become enterprising and creative they must be able to apply the skills learnt in one AOLE across all AOLEs. Art and art-based learning has been defined and re-defined many times, from its first recognition as an experience that should be held every day (Dewey, 1934), to a channel for placing oneself within the wider world (Greene, 1995), this too would fit within a description of critical thinking.</w:t>
      </w:r>
    </w:p>
    <w:p w:rsidR="166AA796" w:rsidP="3D779CD1" w:rsidRDefault="166AA796" w14:paraId="06CBD493" w14:textId="4C501AEF">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615BCA8" w14:textId="00CE4FF7">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The role of critical thinking within Art and Design cannot be minimised, as it cannot be developed in isolation, as it needs a subject for it to be applied to and tested on (Housen, 2002). It could be argued that critical thinking skills do not have to be taught explicitly, only encouraged, and that the measuring of the transfer of those skills presents many obstacles (Housen, 2002). Starting and furthering a student's developing critical thinking skills during their Art and Design lessons is essential and unavoidable (Catterall, 1998), and it is thought that they can often use these skills across </w:t>
      </w:r>
      <w:proofErr w:type="gramStart"/>
      <w:r w:rsidRPr="3D779CD1" w:rsidR="3D779CD1">
        <w:rPr>
          <w:rFonts w:ascii="Times New Roman" w:hAnsi="Times New Roman" w:eastAsia="Times New Roman" w:cs="Times New Roman"/>
          <w:noProof w:val="0"/>
          <w:sz w:val="24"/>
          <w:szCs w:val="24"/>
          <w:lang w:val="en-GB"/>
        </w:rPr>
        <w:t>a number of</w:t>
      </w:r>
      <w:proofErr w:type="gramEnd"/>
      <w:r w:rsidRPr="3D779CD1" w:rsidR="3D779CD1">
        <w:rPr>
          <w:rFonts w:ascii="Times New Roman" w:hAnsi="Times New Roman" w:eastAsia="Times New Roman" w:cs="Times New Roman"/>
          <w:noProof w:val="0"/>
          <w:sz w:val="24"/>
          <w:szCs w:val="24"/>
          <w:lang w:val="en-GB"/>
        </w:rPr>
        <w:t xml:space="preserve"> subjects and AOLEs. Many art teachers are recorded to have reported an increase in critical thinking (</w:t>
      </w:r>
      <w:proofErr w:type="spellStart"/>
      <w:r w:rsidRPr="3D779CD1" w:rsidR="3D779CD1">
        <w:rPr>
          <w:rFonts w:ascii="Times New Roman" w:hAnsi="Times New Roman" w:eastAsia="Times New Roman" w:cs="Times New Roman"/>
          <w:noProof w:val="0"/>
          <w:sz w:val="24"/>
          <w:szCs w:val="24"/>
          <w:lang w:val="en-GB"/>
        </w:rPr>
        <w:t>Hamblen</w:t>
      </w:r>
      <w:proofErr w:type="spellEnd"/>
      <w:r w:rsidRPr="3D779CD1" w:rsidR="3D779CD1">
        <w:rPr>
          <w:rFonts w:ascii="Times New Roman" w:hAnsi="Times New Roman" w:eastAsia="Times New Roman" w:cs="Times New Roman"/>
          <w:noProof w:val="0"/>
          <w:sz w:val="24"/>
          <w:szCs w:val="24"/>
          <w:lang w:val="en-GB"/>
        </w:rPr>
        <w:t>, 1993). However, some believe that there is no absolute proof of students’ abilities to do this, and what is there is insignificant statistically speaking (Eisner, 1999). This is disputed by others, using national testing in America as evidence that those with an arts-based education background consistently achieve higher percentage point averages than those without (</w:t>
      </w:r>
      <w:proofErr w:type="spellStart"/>
      <w:r w:rsidRPr="3D779CD1" w:rsidR="3D779CD1">
        <w:rPr>
          <w:rFonts w:ascii="Times New Roman" w:hAnsi="Times New Roman" w:eastAsia="Times New Roman" w:cs="Times New Roman"/>
          <w:noProof w:val="0"/>
          <w:sz w:val="24"/>
          <w:szCs w:val="24"/>
          <w:lang w:val="en-GB"/>
        </w:rPr>
        <w:t>Murfee</w:t>
      </w:r>
      <w:proofErr w:type="spellEnd"/>
      <w:r w:rsidRPr="3D779CD1" w:rsidR="3D779CD1">
        <w:rPr>
          <w:rFonts w:ascii="Times New Roman" w:hAnsi="Times New Roman" w:eastAsia="Times New Roman" w:cs="Times New Roman"/>
          <w:noProof w:val="0"/>
          <w:sz w:val="24"/>
          <w:szCs w:val="24"/>
          <w:lang w:val="en-GB"/>
        </w:rPr>
        <w:t xml:space="preserve">, 1995). But some remain pessimistic about the ability of students to transfer any skills at </w:t>
      </w:r>
      <w:proofErr w:type="gramStart"/>
      <w:r w:rsidRPr="3D779CD1" w:rsidR="3D779CD1">
        <w:rPr>
          <w:rFonts w:ascii="Times New Roman" w:hAnsi="Times New Roman" w:eastAsia="Times New Roman" w:cs="Times New Roman"/>
          <w:noProof w:val="0"/>
          <w:sz w:val="24"/>
          <w:szCs w:val="24"/>
          <w:lang w:val="en-GB"/>
        </w:rPr>
        <w:t>all across</w:t>
      </w:r>
      <w:proofErr w:type="gramEnd"/>
      <w:r w:rsidRPr="3D779CD1" w:rsidR="3D779CD1">
        <w:rPr>
          <w:rFonts w:ascii="Times New Roman" w:hAnsi="Times New Roman" w:eastAsia="Times New Roman" w:cs="Times New Roman"/>
          <w:noProof w:val="0"/>
          <w:sz w:val="24"/>
          <w:szCs w:val="24"/>
          <w:lang w:val="en-GB"/>
        </w:rPr>
        <w:t xml:space="preserve"> subjects, much less critical thinking skills (</w:t>
      </w:r>
      <w:r w:rsidRPr="3D779CD1" w:rsidR="3D779CD1">
        <w:rPr>
          <w:rFonts w:ascii="Times New Roman" w:hAnsi="Times New Roman" w:eastAsia="Times New Roman" w:cs="Times New Roman"/>
          <w:noProof w:val="0"/>
          <w:sz w:val="24"/>
          <w:szCs w:val="24"/>
          <w:lang w:val="en-GB"/>
        </w:rPr>
        <w:t>Lave</w:t>
      </w:r>
      <w:r w:rsidRPr="3D779CD1" w:rsidR="3D779CD1">
        <w:rPr>
          <w:rFonts w:ascii="Times New Roman" w:hAnsi="Times New Roman" w:eastAsia="Times New Roman" w:cs="Times New Roman"/>
          <w:noProof w:val="0"/>
          <w:sz w:val="24"/>
          <w:szCs w:val="24"/>
          <w:lang w:val="en-GB"/>
        </w:rPr>
        <w:t xml:space="preserve"> &amp; Wegner, 1991).</w:t>
      </w:r>
    </w:p>
    <w:p w:rsidR="166AA796" w:rsidP="3D779CD1" w:rsidRDefault="166AA796" w14:paraId="3B293468" w14:textId="3CE4ED30">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64921E11" w14:textId="161CC3E1">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Some worry that by over-emphasizing the ability of students to learn critical thinking skills from Art, and therefore be able to transfer those skills to core subjects or real-life situations, takes away from the existence of art for arts’ sake. They instead ask, “how reading and math courses contribute to higher performance in the arts?” (Eisner, 1999, p.143). This is argued against, saying that using the opposite argument may restore or rejuvenate the funding that the arts are consistently losing (Catterall, 1998). Where it can be agreed is that the arts in education need championing, as that is where our communities, economy, society and children will benefit most from in the future (Catterall, 1998; Donaldson, 2015; Eisner, 1999). This has been re-enforced by studies around the world, calling for more investment - in every way possible - in the arts in education (Buie, 2012), stating quite clearly in research that students could have much strong vocabulary, better risk calculations and confidence in displaying their learning (</w:t>
      </w:r>
      <w:r w:rsidRPr="3D779CD1" w:rsidR="3D779CD1">
        <w:rPr>
          <w:rFonts w:ascii="Times New Roman" w:hAnsi="Times New Roman" w:eastAsia="Times New Roman" w:cs="Times New Roman"/>
          <w:noProof w:val="0"/>
          <w:sz w:val="24"/>
          <w:szCs w:val="24"/>
          <w:lang w:val="en-GB"/>
        </w:rPr>
        <w:t>Burton</w:t>
      </w:r>
      <w:r w:rsidRPr="3D779CD1" w:rsidR="3D779CD1">
        <w:rPr>
          <w:rFonts w:ascii="Times New Roman" w:hAnsi="Times New Roman" w:eastAsia="Times New Roman" w:cs="Times New Roman"/>
          <w:noProof w:val="0"/>
          <w:sz w:val="24"/>
          <w:szCs w:val="24"/>
          <w:lang w:val="en-GB"/>
        </w:rPr>
        <w:t xml:space="preserve"> et al, 1999). The only remaining issue is how exactly critical thinking skills can be taught and tested effectively (Housen, 2002).</w:t>
      </w:r>
    </w:p>
    <w:p w:rsidR="166AA796" w:rsidP="3D779CD1" w:rsidRDefault="166AA796" w14:paraId="1B4E66DF" w14:textId="620F6C61">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599AF8F" w14:textId="677DD029">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As outlined in ‘Successful Futures’, the modern working work and economy of Wales will demand that those joining the workplace have not just literacy and numeracy skills, that they must also have problem-solving skills, creativity and critical thinking abilities (Donaldson, 2015). This means introducing students to </w:t>
      </w:r>
      <w:proofErr w:type="gramStart"/>
      <w:r w:rsidRPr="3D779CD1" w:rsidR="3D779CD1">
        <w:rPr>
          <w:rFonts w:ascii="Times New Roman" w:hAnsi="Times New Roman" w:eastAsia="Times New Roman" w:cs="Times New Roman"/>
          <w:noProof w:val="0"/>
          <w:sz w:val="24"/>
          <w:szCs w:val="24"/>
          <w:lang w:val="en-GB"/>
        </w:rPr>
        <w:t>a number of</w:t>
      </w:r>
      <w:proofErr w:type="gramEnd"/>
      <w:r w:rsidRPr="3D779CD1" w:rsidR="3D779CD1">
        <w:rPr>
          <w:rFonts w:ascii="Times New Roman" w:hAnsi="Times New Roman" w:eastAsia="Times New Roman" w:cs="Times New Roman"/>
          <w:noProof w:val="0"/>
          <w:sz w:val="24"/>
          <w:szCs w:val="24"/>
          <w:lang w:val="en-GB"/>
        </w:rPr>
        <w:t xml:space="preserve"> roles and perspectives beyond the current restrictions of the individual subject’s national curriculums (Lombardi, 2007). This is supported through arguments that say that integrated curriculums could lend themselves to a students’ understanding of the experiences of modern life (Parson, 2011), and that the subtle but complex demands of the arts would underpin the learning that takes place in many other AOLEs (Eisner, 2002).</w:t>
      </w:r>
    </w:p>
    <w:p w:rsidR="166AA796" w:rsidP="3D779CD1" w:rsidRDefault="166AA796" w14:paraId="010177BE" w14:textId="586C027B">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37E0B6C1" w14:textId="36D32C91">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Assuming what we can, from the statistics provided, about the backgrounds of the students in School X, many could be considered at risk, and their potential to thrive in the new curriculum questioned. However, studies have shown that underpinning their learning with skills that could be transferred from the arts can have an overwhelmingly positive impact on their overall learning and on their additional skills, such as critical thinking and problem solving, by bringing in larger concepts that could seem to have no implications to their daily lives (Li et al., 2015). This could be said to apply to all students, not being restricted to at risk students. It could be argued that currently not enough integration of cultural experiences and so-called low forms of art within a student’s school experience, that they should be used to give students context for these larger concepts that are being taught (Allen, 2003). However, some worry that having critical thinking as a learning objective in outcomes could “atomise practice into discrete skills” (Addison, 2014, p. 317).</w:t>
      </w:r>
    </w:p>
    <w:p w:rsidR="166AA796" w:rsidP="3D779CD1" w:rsidRDefault="166AA796" w14:paraId="09252BCB" w14:textId="38907F84">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172928D" w14:textId="251C9521">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Mindsets are something that have to be discussed when talking about the new Welsh curriculum, as the idea of instilling a growth mindset in learners, and therefore into the future society they will inhabit, could play a large part of what will create ambitious and capable learners (Donaldson, 2015). Dweck (2017) puts people into two categories when discussing mindsets. There are those that believe that your abilities are decided at birth and cannot be changed, they are thought to have a ‘fixed mindset’. In contrast, those who believe that “your basic qualities are things that you can cultivate through your efforts, your strategies and help from others” (Dweck, 2017, p.7), have a ‘growth mindset’. Giving students the confidence to believe they can achieve anything is an ideology that few can argue against without seeming pessimistic about the continued posterity of society.</w:t>
      </w:r>
    </w:p>
    <w:p w:rsidR="166AA796" w:rsidP="3D779CD1" w:rsidRDefault="166AA796" w14:paraId="2648848B" w14:textId="7C04CFAF">
      <w:pPr>
        <w:spacing w:line="360" w:lineRule="auto"/>
        <w:jc w:val="left"/>
        <w:rPr>
          <w:rFonts w:ascii="Times New Roman" w:hAnsi="Times New Roman" w:eastAsia="Times New Roman" w:cs="Times New Roman"/>
          <w:noProof w:val="0"/>
          <w:sz w:val="24"/>
          <w:szCs w:val="24"/>
          <w:lang w:val="en-GB"/>
        </w:rPr>
      </w:pPr>
    </w:p>
    <w:p w:rsidR="166AA796" w:rsidP="3D779CD1" w:rsidRDefault="166AA796" w14:paraId="46C0B3B9" w14:textId="05F23929">
      <w:pPr>
        <w:spacing w:line="360" w:lineRule="auto"/>
        <w:jc w:val="left"/>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b w:val="1"/>
          <w:bCs w:val="1"/>
          <w:noProof w:val="0"/>
          <w:sz w:val="24"/>
          <w:szCs w:val="24"/>
          <w:lang w:val="en-GB"/>
        </w:rPr>
        <w:t>School Policy &amp; Practice</w:t>
      </w:r>
      <w:r w:rsidRPr="3D779CD1" w:rsidR="3D779CD1">
        <w:rPr>
          <w:rFonts w:ascii="Times New Roman" w:hAnsi="Times New Roman" w:eastAsia="Times New Roman" w:cs="Times New Roman"/>
          <w:noProof w:val="0"/>
          <w:sz w:val="24"/>
          <w:szCs w:val="24"/>
          <w:lang w:val="en-GB"/>
        </w:rPr>
        <w:t xml:space="preserve"> </w:t>
      </w:r>
    </w:p>
    <w:p w:rsidR="166AA796" w:rsidP="3D779CD1" w:rsidRDefault="166AA796" w14:paraId="17D4057E" w14:textId="1C64CCF2">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For a long time, the focus of School X and every department within it has been the Literacy and Numeracy Framework (LNF), which was implemented by the Welsh Government six years ago (2013), as the reading ages of the students arriving from primary school ranges from 5.0 years to 16.9 years, with the majority of the cohort to have a reading age lower than their own age.</w:t>
      </w:r>
    </w:p>
    <w:p w:rsidR="166AA796" w:rsidP="3D779CD1" w:rsidRDefault="166AA796" w14:paraId="78B6CF86" w14:textId="64E232C0">
      <w:pPr>
        <w:spacing w:line="360" w:lineRule="auto"/>
        <w:jc w:val="left"/>
        <w:rPr>
          <w:rFonts w:ascii="Times New Roman" w:hAnsi="Times New Roman" w:eastAsia="Times New Roman" w:cs="Times New Roman"/>
          <w:noProof w:val="0"/>
          <w:sz w:val="24"/>
          <w:szCs w:val="24"/>
          <w:lang w:val="en-GB"/>
        </w:rPr>
      </w:pPr>
    </w:p>
    <w:p w:rsidR="166AA796" w:rsidP="3D779CD1" w:rsidRDefault="166AA796" w14:paraId="1B3B8954" w14:textId="31AD06EA">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Although there is no policy on critical thinking skills at School X or within the Expressive Arts Department, Blooms Taxonomy (1956) is used throughout the school as the basis of all teaching and learning. However, it could be argued that through Bloom’s critical thinking is being not only taught but encouraged. A recent addition to school policy has been for all faculty to embrace a growth mindset, and to encourage all students to adopt the same way of thinking. In addition to this the Expressive Arts Department has decided to adopt the new Welsh curriculum, Successful Futures, ahead of the scheduled start date and this could support students’ ability to transfer skills across subjects and AOLEs.</w:t>
      </w:r>
    </w:p>
    <w:p w:rsidR="166AA796" w:rsidP="3D779CD1" w:rsidRDefault="166AA796" w14:paraId="7BDB9816" w14:textId="57F9FE79">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251F8171" w14:textId="39A4E555">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In line with Successful Futures (Donaldson, 2015), the Expressive Arts Department has decided to implement the new curriculum by having an over-arching theme for each term which will then be broken down into topics that will be explored by the subjects at the same time. For example, autumn term will be dedicated to the theme ‘My World’, in which the students will explore the world they are in and </w:t>
      </w:r>
    </w:p>
    <w:p w:rsidR="166AA796" w:rsidP="3D779CD1" w:rsidRDefault="166AA796" w14:paraId="1CF6B4F7" w14:textId="2D3412E6">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9E464B9" w14:textId="3EE02641">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All these policies have the potential to have a positive impact on students learning experience, from attendance to assessment, and therefore on their critical thinking skills and the transferal of those skills. However, it could take a few years for the policies to be cohesive and to have the full impression they are theorised to have.</w:t>
      </w:r>
    </w:p>
    <w:p w:rsidR="166AA796" w:rsidP="3D779CD1" w:rsidRDefault="166AA796" w14:paraId="5AC92AB9" w14:textId="29AA73F1">
      <w:pPr>
        <w:spacing w:line="360" w:lineRule="auto"/>
        <w:jc w:val="left"/>
        <w:rPr>
          <w:rFonts w:ascii="Times New Roman" w:hAnsi="Times New Roman" w:eastAsia="Times New Roman" w:cs="Times New Roman"/>
          <w:noProof w:val="0"/>
          <w:sz w:val="24"/>
          <w:szCs w:val="24"/>
          <w:lang w:val="en-GB"/>
        </w:rPr>
      </w:pPr>
    </w:p>
    <w:p w:rsidR="166AA796" w:rsidP="3D779CD1" w:rsidRDefault="166AA796" w14:paraId="70D3233C" w14:textId="1078BFAE">
      <w:pPr>
        <w:spacing w:line="360" w:lineRule="auto"/>
        <w:jc w:val="left"/>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b w:val="1"/>
          <w:bCs w:val="1"/>
          <w:noProof w:val="0"/>
          <w:sz w:val="24"/>
          <w:szCs w:val="24"/>
          <w:lang w:val="en-GB"/>
        </w:rPr>
        <w:t>Methodology &amp; Ethics</w:t>
      </w:r>
      <w:r w:rsidRPr="3D779CD1" w:rsidR="3D779CD1">
        <w:rPr>
          <w:rFonts w:ascii="Times New Roman" w:hAnsi="Times New Roman" w:eastAsia="Times New Roman" w:cs="Times New Roman"/>
          <w:noProof w:val="0"/>
          <w:sz w:val="24"/>
          <w:szCs w:val="24"/>
          <w:lang w:val="en-GB"/>
        </w:rPr>
        <w:t xml:space="preserve"> </w:t>
      </w:r>
    </w:p>
    <w:p w:rsidR="166AA796" w:rsidP="3D779CD1" w:rsidRDefault="166AA796" w14:paraId="35CB212E" w14:textId="62502731">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In order to explore the research question, a pre-test and post-test format was used for data collection, with lesson starters and plenaries within the research time period that would focus on the formal elements of art with several different activities. Group work and games would be the main components of all starters, with the plenaries then being individual tasks to recall and cement the learning that occurred in the starters and throughout the lesson. Starting with group work, placing the students in groups of mixed ability, would allow the students with existing knowledge to identify the correct answers and reason it out with the students lacking existing knowledge. This passing on of knowledge through peer-assisted learning can often be a relevant model of learning for those with SEN (Lafont et al, 2017), which is particularly high in School X, as previously discussed. Students also often naturally peer-assess each other during groupwork sessions, considering their peers participation and quality of work being produced, and therefore come out with better results for it (Shak, 2016). During plenaries, students are set individual tasks where they will be tested on their learning since the beginning of the lesson and given the opportunity to reflect how their understanding has altered. As the basis of the research topic was the understanding of the formal elements of art, it would be impossible to conduct an Art lesson without referring to the formal elements, but this could be used to reinforce the students’ understanding of the terms used and when they are appropriate when analysing art.</w:t>
      </w:r>
    </w:p>
    <w:p w:rsidR="166AA796" w:rsidP="3D779CD1" w:rsidRDefault="166AA796" w14:paraId="7DD50CB2" w14:textId="18099E8F">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49CA8807" w14:textId="5CF8732A">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The advantage of using a pre-test and post-test design is the ability to design the most appropriate testing for measuring the programmes impact or effectiveness (Kumar, 2014). The testing can also provide opportunity to recognise a students’ strengths whilst simultaneously pinpointing any weaknesses (Cohen et al, 2007). As the students are already set into classes according to their literacy skills and reading ages for all Expressive Art subjects, the need for placement testing (Gronlund &amp; Linn, 1990) is negated. The testing would also have criteria that the students would have to achieve in order to get partial or full scores, according to a pre-determined standard (Cunnigham, 1998). This would allow for the research to quantify exactly what each student has, or has not, learnt, which norm-referenced testing would not allow for, as it would only show “how well one student has achieved in comparison to another” (Cohen et al, 2007). </w:t>
      </w:r>
    </w:p>
    <w:p w:rsidR="166AA796" w:rsidP="3D779CD1" w:rsidRDefault="166AA796" w14:paraId="32DFC470" w14:textId="034FBCFC">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1754D18D" w14:textId="1D05CA88">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The testing itself was a written paper, with the post-test being identical to the pre-test, to limit the possibility of students misreading or misunderstanding a question. This was also addressed by the teacher-researcher taking the student-participants through the test a question at a time before they could start completing it. During this time students were able to ask any questions about the test, their participation in the research and the researcher could ensure understanding of the test questions. It was made clear that the student-participants could be removed from the research results pool at any time, with the understanding that they would still take part in the testing and all tasks and lessons. The students were also informed that their results would all be confidential and any published would be anonymous. Doing this allowed for the power balance of the researcher to participant be fair, as the students were no pressured to take part in the teacher's research. All data was encrypted and kept confidential on a password protected memory stick, the school and all participants kept anonymous, in line with the BERA (2017) ethical guidelines for educational research and with the European Union General Data Protection Regulation (EU, 2018).</w:t>
      </w:r>
    </w:p>
    <w:p w:rsidR="166AA796" w:rsidP="3D779CD1" w:rsidRDefault="166AA796" w14:paraId="15F13458" w14:textId="0D3AE05A">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2CB3B9AD" w14:textId="306DA46C">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The scheme of work the students were studying in Art at the time of research was </w:t>
      </w:r>
      <w:r w:rsidRPr="3D779CD1" w:rsidR="3D779CD1">
        <w:rPr>
          <w:rFonts w:ascii="Times New Roman" w:hAnsi="Times New Roman" w:eastAsia="Times New Roman" w:cs="Times New Roman"/>
          <w:i w:val="1"/>
          <w:iCs w:val="1"/>
          <w:noProof w:val="0"/>
          <w:sz w:val="24"/>
          <w:szCs w:val="24"/>
          <w:lang w:val="en-GB"/>
        </w:rPr>
        <w:t>‘Multiculturalism’</w:t>
      </w:r>
      <w:r w:rsidRPr="3D779CD1" w:rsidR="3D779CD1">
        <w:rPr>
          <w:rFonts w:ascii="Times New Roman" w:hAnsi="Times New Roman" w:eastAsia="Times New Roman" w:cs="Times New Roman"/>
          <w:noProof w:val="0"/>
          <w:sz w:val="24"/>
          <w:szCs w:val="24"/>
          <w:lang w:val="en-GB"/>
        </w:rPr>
        <w:t xml:space="preserve">, with a focus on the topic </w:t>
      </w:r>
      <w:r w:rsidRPr="3D779CD1" w:rsidR="3D779CD1">
        <w:rPr>
          <w:rFonts w:ascii="Times New Roman" w:hAnsi="Times New Roman" w:eastAsia="Times New Roman" w:cs="Times New Roman"/>
          <w:i w:val="1"/>
          <w:iCs w:val="1"/>
          <w:noProof w:val="0"/>
          <w:sz w:val="24"/>
          <w:szCs w:val="24"/>
          <w:lang w:val="en-GB"/>
        </w:rPr>
        <w:t>‘Islamic Art’</w:t>
      </w:r>
      <w:r w:rsidRPr="3D779CD1" w:rsidR="3D779CD1">
        <w:rPr>
          <w:rFonts w:ascii="Times New Roman" w:hAnsi="Times New Roman" w:eastAsia="Times New Roman" w:cs="Times New Roman"/>
          <w:noProof w:val="0"/>
          <w:sz w:val="24"/>
          <w:szCs w:val="24"/>
          <w:lang w:val="en-GB"/>
        </w:rPr>
        <w:t>. An Art and Design scheme should, among other things, “identify key concepts and terms and build pupils’ art-based vocabulary” (Addison &amp; Burgess, 2003, p.68). Each lesson often follows a constructivist learning approach, building on a learners existing knowledge whilst also adding to skills and experiences the learner is exposed to and from the community around them (Pritchard, 2009). Many still use the visual, auditory, reading and kinaesthetic (VARK) learning style when teaching (</w:t>
      </w:r>
      <w:r w:rsidRPr="3D779CD1" w:rsidR="3D779CD1">
        <w:rPr>
          <w:rFonts w:ascii="Times New Roman" w:hAnsi="Times New Roman" w:eastAsia="Times New Roman" w:cs="Times New Roman"/>
          <w:noProof w:val="0"/>
          <w:sz w:val="24"/>
          <w:szCs w:val="24"/>
          <w:lang w:val="en-GB"/>
        </w:rPr>
        <w:t>Fleming</w:t>
      </w:r>
      <w:r w:rsidRPr="3D779CD1" w:rsidR="3D779CD1">
        <w:rPr>
          <w:rFonts w:ascii="Times New Roman" w:hAnsi="Times New Roman" w:eastAsia="Times New Roman" w:cs="Times New Roman"/>
          <w:noProof w:val="0"/>
          <w:sz w:val="24"/>
          <w:szCs w:val="24"/>
          <w:lang w:val="en-GB"/>
        </w:rPr>
        <w:t xml:space="preserve"> &amp; Mills, 1992), believing that learners have one learning strength that benefits them over others. This has been argued against by many, as “there is no evidence that the model is either a desirable basis for learning or the best use of investment, teacher time, initial teacher education and professional development” (Coffield et al, 2004, p.35). All tasks were offered to students through all VARK models, where available and sensible, allowing students to use all learning styles.</w:t>
      </w:r>
    </w:p>
    <w:p w:rsidR="166AA796" w:rsidP="3D779CD1" w:rsidRDefault="166AA796" w14:paraId="663995E6" w14:textId="319F2E33">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6B6B5421" w14:textId="0251C94E">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The conditions that were able to be controlled included, but were not limited to: the tasks, activities and lesson plans; testing conditions; and resources. In these respects, all students had identical access and conditions. However, there are always external conditions which are outside a researcher’s control, such as: parental support; timetable restrictions; extra-curricular activities; diet; and attendance. To this end, any students that missed lessons due to attendance, whether caused by illness or extra-curricular activities, had their results removed from the results pool as they would not have had an equal access to the lessons, tasks, resources, etc. As many of the students are recipients of FSM, the certainty of a healthy and balanced diet as defined by the Eatwell Guide (PHE, 2018), was not dependable and could affect the results, and will therefore need to be considered as part of the evaluation process.</w:t>
      </w:r>
    </w:p>
    <w:p w:rsidR="166AA796" w:rsidP="3D779CD1" w:rsidRDefault="166AA796" w14:paraId="1BFAC755" w14:textId="1C2ED8C3">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1AE0F39D" w14:textId="6005663B">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The year group considered for the research was the current Year 7 cohort at School X. The year group is a good example of any cross-section of the school in terms of FSM, SEN, gender mix and reading age range. Of the 101 students in the year group, 42.6% are female, 57.4% male and 45.5% are receiving FSM. 50.5% are recognised as having SEN requirements, which can be broken down further to 20.8% and 18.8% on School Action and School Action Plus respectively, whilst 10.9% of students are statemented by the local authority. The actual ages of the year group ranged from 11- to 12-years old, however the reading ages ranged between 17 years to five. Generally, these are statistics that fit with the overall profile of the whole school.</w:t>
      </w:r>
    </w:p>
    <w:p w:rsidR="166AA796" w:rsidP="3D779CD1" w:rsidRDefault="166AA796" w14:paraId="6534639F" w14:textId="388F4F9E">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7207144B" w14:textId="33BB1667">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Intervention A was planned to cover the starter and plenary of a one-hour lesson. As the students arrived, they were put into five groups of six and each member of the group was given a segment of a colour wheel. Working together and communicating their ideas they then had to place their segments into the correct order, within a given time limit. They were then shown the correct way a colour wheel should be completed, and a mnemonic given to help the students remember the correct order of colours. Of the five groups, three got it correct. One group had put the secondary colours as one half of the circle and one group had mixed up the blue and purple segments. As the plenary, students were set the task of completing a colour wheel using coloured pencils, and then in each segment of the colour wheel listing objects that matched the colour of the segment. MAT students were given the opportunity to create their own mnemonics to help them remember the correct order the colours should be in.</w:t>
      </w:r>
    </w:p>
    <w:p w:rsidR="166AA796" w:rsidP="3D779CD1" w:rsidRDefault="166AA796" w14:paraId="7A3F45D2" w14:textId="5B188668">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B1CB42F" w14:textId="5921F7BB">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Intervention B was also planned for the starter and plenary of a one-hour lesson. On arrival the students were put into the same groups as in the previous lesson, and this time they were given a sheet that had the definitions of the formal elements, with small sketched examples of each, and small flashcards that had the names of the formal elements on them. They were asked to again work as a team and communicate their ideas clearly within a given time limit to match the name of the formal elements to the definitions and examples. One group of the five matched the names and definitions correctly, however all four other groups mixed up ‘space’, ‘form’, and ‘shape’. This may be because the three definitions are similar and the concept of the three being separate entities could be a complex idea for the students to grasp. The students were then shown the correct names of the formal elements with the correct definitions and had to correct any mistakes they had made as a group. For the plenary the students had to complete a small sketch that would illustrate each of the formal elements in one image and then label the sketch accordingly. All students achieved this task well and showed an excellent understanding of even the more complex ideas. MAT students were then asked to present their work to their peers.</w:t>
      </w:r>
    </w:p>
    <w:p w:rsidR="166AA796" w:rsidP="3D779CD1" w:rsidRDefault="166AA796" w14:paraId="60ECDC17" w14:textId="1952290A">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10E1B6DF" w14:textId="222C0C91">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There was a third intervention, Intervention C, that would have tackled the misconceptions found in the final two questions in the pre- and post-testing. This intervention was not delivered due to a school trip, that all Year 7 students had to attend, and fell over the course of days that would have been during the third lesson in the sequence. For this reason, the results of the final two questions will not be included in the results pool for analysis.</w:t>
      </w:r>
    </w:p>
    <w:p w:rsidR="166AA796" w:rsidP="3D779CD1" w:rsidRDefault="166AA796" w14:paraId="4A865E7E" w14:textId="38E8CA94">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63D2D193" w14:textId="1F2A9412">
      <w:pPr>
        <w:spacing w:line="360" w:lineRule="auto"/>
        <w:jc w:val="left"/>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b w:val="1"/>
          <w:bCs w:val="1"/>
          <w:noProof w:val="0"/>
          <w:sz w:val="24"/>
          <w:szCs w:val="24"/>
          <w:lang w:val="en-GB"/>
        </w:rPr>
        <w:t>Evaluation</w:t>
      </w:r>
    </w:p>
    <w:p w:rsidR="166AA796" w:rsidP="3D779CD1" w:rsidRDefault="166AA796" w14:paraId="2E14F850" w14:textId="753780E7">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To identify the areas of successful learning the teacher researcher decided to only focus on the first four questions of the pre- and post-testing. This was largely due to time limitations and as the class chosen as the participants for the research missed a lesson due to a school trip, which meant that the lesson that would have involved interventions related to the last two questions in the testing was not able to be delivered before the post-test session. In order to analyse the data successfully each question was given a specific criterion that students had to meet in order to be awarded partial or full marks in each question. To this end a brief overview of the results will be given before each question is evaluated individually. The results are looking at the testing of 23 out of a possible 28 students from the top set of a Year 7 class in School X, five students have not been included as three wished to be removed from the research pool and two missed lessons due to illness and extra-curricular activities. </w:t>
      </w:r>
    </w:p>
    <w:p w:rsidR="166AA796" w:rsidP="3D779CD1" w:rsidRDefault="166AA796" w14:paraId="62846277" w14:textId="3EFF5B8E">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4A58D1DD" w14:textId="7DEAC325">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When assessing the testing, the spelling was not assessed as the reading ages of the students is so varied, they were all 11 or 12 years old at the time of testing, yet their reading ages varied from 10 years 3 months to 17 years. It was decided that so long as the answer could be deciphered clearly then a student would not be penalised based on their spelling. Of the class, nine students were receiving FSM and six were recognised as SEN, this information can be viewed in Appendix A.</w:t>
      </w:r>
    </w:p>
    <w:p w:rsidR="166AA796" w:rsidP="3D779CD1" w:rsidRDefault="166AA796" w14:paraId="7356C67B" w14:textId="6D6AE4D4">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53CF7AEA" w14:textId="7D3757D7">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The overall results of both the pre and post testing were wide ranging and do not immediately present a clear trend in learning. To make the most sense of them, the percentage point differences will be examined, the results being discussed can be seen in Appendix C. Of the 23 students in the results pool, only one student achieved full marks in both the pre- and post-testing. Seven students maintained the same results in the pre- and post-test, however their scores ranged from 57% to 86%. Eleven students increased their results, with the greatest increase of fifty percentage points, and the smallest being seven percentage points. Unfortunately, five students’ results went down, the smallest loss being equal to the smallest gain and the greatest loss of percentage points was twenty-one. Due to the nature of the testing and the topic being tested does not give a clear overall indication of how well the students fared in their learning, as will be explored in the examination of each question individually.</w:t>
      </w:r>
    </w:p>
    <w:p w:rsidR="166AA796" w:rsidP="3D779CD1" w:rsidRDefault="166AA796" w14:paraId="08B8F23F" w14:textId="2901BEB0">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52A33D2C" w14:textId="1F059CAE">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Question 1 simply asked students to list the three primary colours, the students would be awarded one point for each correct answer. The misconceptions in this question were addressed in Intervention A discussed previously. In pre-testing 17 members of the class got full marks for this question, with only one student getting zero and five students getting two of the three points available. Of all the students that achieved full marks in the pre-test, only one student, Student 6, dropped any marks. This could be due to a misconception that was produced by the intervention or due to the copying the correct answers during the pre-test and then, either not having the same person sat next to them in the post-test. The student who received zero in pre-testing proceeded to get full marks in the post-test, along with Student 10, who increased from two marks to three. The remaining four students to discuss all got two scores in the pre-test and held that score in the post-test. Overall the students had a general upward trend in results, many did very well to start with, although it was a shock how many did not have this basic knowledge to start with.</w:t>
      </w:r>
    </w:p>
    <w:p w:rsidR="166AA796" w:rsidP="3D779CD1" w:rsidRDefault="166AA796" w14:paraId="5D060214" w14:textId="42438931">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20E01FEA" w14:textId="072E77C4">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In the same style as Question 1 in design and grading criteria, Question 2 misconceptions were also addressed within Intervention A activities, however this time the students were asked to list the three secondary colours. 17 of the 23 students in the results pool achieved full marks in the pre-testing, same as Question 1, but again the same student, Student 6, dropped a mark in the post-test while their peers held on to their full marks. Only one other result went down, from getting one mark to zero. Four of the students improved their grades, one by two marks and the other three by one mark. The remaining student received the same result, two out of three, in both the pre- and post-testing. Although this shows similar learning trends to Question 1, Students 6 and 21 are currently students who were marked as cause for concerns within the class. This became clearer as the testing continued and was independently expressed by other members of staff in the Expressive Arts Department and in the wider teaching faculty. </w:t>
      </w:r>
    </w:p>
    <w:p w:rsidR="166AA796" w:rsidP="3D779CD1" w:rsidRDefault="166AA796" w14:paraId="77CF896D" w14:textId="0AB87477">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5F6B0679" w14:textId="7AA8EA47">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Student 6 is a male student, not receiving FSM, with a reading age well within reason relative to his actual age, however he had recently been added to the school action plus list, so a loss in results could be due to a reaction to having his SEN status upgraded. During class he was not afraid to share his thoughts on a topic and often showed good understanding of both simple and complex ideas in Art. Student 21 is, on paper, almost the complete opposite to Student 6. Female, receiving FSM, without any recognised SEN, and a reading age slightly higher than their own, and the personality presented in class was very different to who the student was in one-to-one situations. In a class setting, if called up to answer a question or otherwise, was a very shy student unwilling to openly share ideas without a great deal of encouragement, which was a stark contrast to the person she could be if alone and talking about a subject that really enthused her. It is interesting that two, seemingly very different students, could yield such similar results. This trend continues throughout the testing and causes the question of students' motivation, it’s possible that as the students were aware, within BERA guidelines (YEAR), that the results would have no effect on their school record meant that they did not have a motivation to succeed in this particular testing scenario.</w:t>
      </w:r>
    </w:p>
    <w:p w:rsidR="166AA796" w:rsidP="3D779CD1" w:rsidRDefault="166AA796" w14:paraId="4ED5B0AB" w14:textId="33723057">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68A63712" w14:textId="6EC8CD35">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Students were asked to complete a correct colour wheel using the secondary and primary colours in Question 3. This could be a struggle for some students, as if they categorised the colours incorrectly in Questions 1 and 2 and yet relied on those answers, they would simply be transferring their incorrections, therefore losing marks on this question too. The colour wheel, when completed correctly, should have the three primary colours, red, blue and yellow, separated by the secondary colours they create when mixed, purple, green and orange. If it was completed with the correct colours in the correct order, this would grant the student full marks out of the two available. As there was a possibility that the students could have the right colours but not in the correct order, there was a single mark available for them. Those that used incorrect colours would never be able to get the correct order, which would result in a zero. The misconceptions raised in the pre-testing for this was, as with Questions 1 and 2, targeted by the activities implemented in Intervention A. In the pre-test twelve of the students received full marks, and only one of those students dropped any marks in the post-testing, the rest all maintained their scores. Five students increased their results between pre- and post-testing, four by one mark each to then get full marks, with one student going from zero to full marks. One student dropped from receiving full marks in pre-testing, to one mark in post-testing. Three students got zero in both pre- and post-testing, two of which are Students 6 and 21, that have been previously discussed. </w:t>
      </w:r>
    </w:p>
    <w:p w:rsidR="166AA796" w:rsidP="3D779CD1" w:rsidRDefault="166AA796" w14:paraId="18F8F2CD" w14:textId="3B30E9A4">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60D51BF8" w14:textId="175EADC6">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As Questions 1 through to 3 all related to Intervention A and all had similar data trends in learning displayed through the pre- and post-testing, a general understanding before interventions took place by most of the students, an increase in understanding and learning for some students, and only a drop for select students, the majority of which are students already noted as cause for concerns when it comes to staying with this particular class. The groupwork involved in Intervention A could have hidden, or carried, the students without pre-existing knowledge of primary colours, secondary colours and the colour wheel. However, the independent learning tasks should have cemented the learning from the group work and any incorrections made previously, but in that instance the students could have copied from students that had already displayed correct knowledge on the topic.</w:t>
      </w:r>
    </w:p>
    <w:p w:rsidR="166AA796" w:rsidP="3D779CD1" w:rsidRDefault="166AA796" w14:paraId="3A17DFDA" w14:textId="384CAA7A">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534410B2" w14:textId="352C50AE">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There were a possible six marks available in Question 4 and it was regarding the names and definitions of the formal art elements. Students were asked to join the name of the formal element with the correct definition, by creating a line between each one. The style of the question, however, did mean that if one answer was given incorrectly then automatically that would count as two incorrect answers by default. It could be argued that the statements provided to define the elements were ambiguous, as more than one statement could have been used to relate to one formal element. However, if read thoroughly then, through a process of elimination, it should be found that each statement was clearly only meant for one definition. Only one student got full marks in the pre-testing, which they were able to carry through into post-testing. Two other students were able to increase their marks from partial to full between pre- and post-testing. Eight other students were also able to increase their results, but still only achieved partial marks not full. Seven students maintained partial scores and five students lost either one or two points. Although many of the students results improved, enough worsened to question both the validity of the design of the testing and the interventions being used.</w:t>
      </w:r>
    </w:p>
    <w:p w:rsidR="166AA796" w:rsidP="3D779CD1" w:rsidRDefault="166AA796" w14:paraId="11E38931" w14:textId="2A8240A4">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51EDCD61" w14:textId="33BDAA86">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The ambiguous nature of the statements may have caused the students confusion or created misconceptions themselves. The answers may have been understood incorrectly by the researcher, as many students crossed their lines so closely that they could have been the correct connections, but could have been marked as wrong, and vice versa. There is also the possibility that the students were simply guessing, landing on the correct answers the first time and wrong the second. This could also be applied to the students who showed improved scores. Intervention B was used to address the main misconceptions within the class about the definitions of the formal elements. This was delivered in just one lesson, and it may not have been a long enough period to ensure substantial learning about the more conceptual ideas that discussing some of the formal elements can present. Throughout the school year the formal elements were always discussed during any demonstrations and contextual work, but was never taught as explicitly as it was during the interventions, so it is possible that for many students it was still new information that had not had enough time to be processed and a full understanding to be made, resulting in the elements being cemented in the students art-based vocabulary. As this was possibly the most challenging question in the pre- and post-testing, it could be that it made the analysis of the overall results difficult, as Questions 1, 2 and 3 all yielded similar results and trends.</w:t>
      </w:r>
    </w:p>
    <w:p w:rsidR="166AA796" w:rsidP="3D779CD1" w:rsidRDefault="166AA796" w14:paraId="22E4FE10" w14:textId="6EBF9473">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11B9ADA3" w14:textId="23A0D8AC">
      <w:pPr>
        <w:spacing w:line="360" w:lineRule="auto"/>
        <w:jc w:val="left"/>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b w:val="1"/>
          <w:bCs w:val="1"/>
          <w:noProof w:val="0"/>
          <w:sz w:val="24"/>
          <w:szCs w:val="24"/>
          <w:lang w:val="en-GB"/>
        </w:rPr>
        <w:t>Conclusions</w:t>
      </w:r>
      <w:r w:rsidRPr="3D779CD1" w:rsidR="3D779CD1">
        <w:rPr>
          <w:rFonts w:ascii="Times New Roman" w:hAnsi="Times New Roman" w:eastAsia="Times New Roman" w:cs="Times New Roman"/>
          <w:noProof w:val="0"/>
          <w:sz w:val="24"/>
          <w:szCs w:val="24"/>
          <w:lang w:val="en-GB"/>
        </w:rPr>
        <w:t xml:space="preserve"> </w:t>
      </w:r>
    </w:p>
    <w:p w:rsidR="166AA796" w:rsidP="3D779CD1" w:rsidRDefault="166AA796" w14:paraId="6566CDE5" w14:textId="1EBA3191">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color w:val="000000" w:themeColor="text1" w:themeTint="FF" w:themeShade="FF"/>
          <w:sz w:val="24"/>
          <w:szCs w:val="24"/>
          <w:lang w:val="en-GB"/>
        </w:rPr>
        <w:t>Looking at the findings it is hard to make any definitive conclusions, due to the testing being restricted to such a small results pool, and short time period and a school with an almost unique student population due to the high number of FSM- and SEN-eligible students. Any conclusions drawn could possibly not be applicable to any other schools, locally or nationally. However, when looking at the results of Questions 1 through to 3, the majority of students did either maintain their results or increased them, indicating that Intervention A was, at best, successful in both teaching and learning, increasing the students understanding of colour theory, or at worst cementing existing knowledge. This could mean that starting with group work to work out any misconceptions held by individuals could be beneficial to learning and understanding, and that this can be retained and later recalled on in independent learning tasks and assessments.</w:t>
      </w:r>
    </w:p>
    <w:p w:rsidR="166AA796" w:rsidP="3D779CD1" w:rsidRDefault="166AA796" w14:paraId="277CB7FB" w14:textId="77F41E31">
      <w:pPr>
        <w:spacing w:line="360" w:lineRule="auto"/>
        <w:jc w:val="both"/>
        <w:rPr>
          <w:rFonts w:ascii="Times New Roman" w:hAnsi="Times New Roman" w:eastAsia="Times New Roman" w:cs="Times New Roman"/>
          <w:noProof w:val="0"/>
          <w:sz w:val="24"/>
          <w:szCs w:val="24"/>
          <w:lang w:val="en-GB"/>
        </w:rPr>
      </w:pPr>
      <w:r>
        <w:br/>
      </w:r>
    </w:p>
    <w:p w:rsidR="166AA796" w:rsidP="3D779CD1" w:rsidRDefault="166AA796" w14:paraId="782135B7" w14:textId="1B3A27DF">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color w:val="000000" w:themeColor="text1" w:themeTint="FF" w:themeShade="FF"/>
          <w:sz w:val="24"/>
          <w:szCs w:val="24"/>
          <w:lang w:val="en-GB"/>
        </w:rPr>
        <w:t xml:space="preserve">Question 4, as previously discussed, yielded more interesting results. It could be interpreted that the students did not always show an ability to apply critical thinking skills, however, as the students were not given to chance to explain their thought process to the researcher, it may be the case that they did do this, but due to the ambiguous style of the questioning, were unlucky in their interpretations of the correct answers. Students could have been given the opportunity to illustrate an image of their definitions of the formal elements, rather through a literacy-based task. However, that </w:t>
      </w:r>
      <w:proofErr w:type="gramStart"/>
      <w:r w:rsidRPr="3D779CD1" w:rsidR="3D779CD1">
        <w:rPr>
          <w:rFonts w:ascii="Times New Roman" w:hAnsi="Times New Roman" w:eastAsia="Times New Roman" w:cs="Times New Roman"/>
          <w:noProof w:val="0"/>
          <w:color w:val="000000" w:themeColor="text1" w:themeTint="FF" w:themeShade="FF"/>
          <w:sz w:val="24"/>
          <w:szCs w:val="24"/>
          <w:lang w:val="en-GB"/>
        </w:rPr>
        <w:t>in itself would</w:t>
      </w:r>
      <w:proofErr w:type="gramEnd"/>
      <w:r w:rsidRPr="3D779CD1" w:rsidR="3D779CD1">
        <w:rPr>
          <w:rFonts w:ascii="Times New Roman" w:hAnsi="Times New Roman" w:eastAsia="Times New Roman" w:cs="Times New Roman"/>
          <w:noProof w:val="0"/>
          <w:color w:val="000000" w:themeColor="text1" w:themeTint="FF" w:themeShade="FF"/>
          <w:sz w:val="24"/>
          <w:szCs w:val="24"/>
          <w:lang w:val="en-GB"/>
        </w:rPr>
        <w:t xml:space="preserve"> produce more obstacles, as a success criterion that could not be easily defined would have to be put in place, and the participants’ answers would also be open to interpretation by the researcher, which could be an unreliable testing method. The success criteria would be difficult to design and define as many of the formal elements do overlap and if a participant did one illustration that claimed to have all the formal elements included, it would not show an explicit understanding of each </w:t>
      </w:r>
      <w:proofErr w:type="gramStart"/>
      <w:r w:rsidRPr="3D779CD1" w:rsidR="3D779CD1">
        <w:rPr>
          <w:rFonts w:ascii="Times New Roman" w:hAnsi="Times New Roman" w:eastAsia="Times New Roman" w:cs="Times New Roman"/>
          <w:noProof w:val="0"/>
          <w:color w:val="000000" w:themeColor="text1" w:themeTint="FF" w:themeShade="FF"/>
          <w:sz w:val="24"/>
          <w:szCs w:val="24"/>
          <w:lang w:val="en-GB"/>
        </w:rPr>
        <w:t>element in its own right</w:t>
      </w:r>
      <w:proofErr w:type="gramEnd"/>
      <w:r w:rsidRPr="3D779CD1" w:rsidR="3D779CD1">
        <w:rPr>
          <w:rFonts w:ascii="Times New Roman" w:hAnsi="Times New Roman" w:eastAsia="Times New Roman" w:cs="Times New Roman"/>
          <w:noProof w:val="0"/>
          <w:color w:val="000000" w:themeColor="text1" w:themeTint="FF" w:themeShade="FF"/>
          <w:sz w:val="24"/>
          <w:szCs w:val="24"/>
          <w:lang w:val="en-GB"/>
        </w:rPr>
        <w:t xml:space="preserve">. Some students may also be put off from giving the illustration their full efforts as many have a low self-perceived ability when it comes to their drawing abilities. </w:t>
      </w:r>
    </w:p>
    <w:p w:rsidR="166AA796" w:rsidP="3D779CD1" w:rsidRDefault="166AA796" w14:paraId="1DD8409F" w14:textId="5C1F2838">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1EF1E83F" w14:textId="089FA7DC">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color w:val="000000" w:themeColor="text1" w:themeTint="FF" w:themeShade="FF"/>
          <w:sz w:val="24"/>
          <w:szCs w:val="24"/>
          <w:lang w:val="en-GB"/>
        </w:rPr>
        <w:t>Having such a limited time frame with the participants also limited the type of assessment that could be implemented, and this too could have a direct impact on the testing, as students who cannot always convey their efforts coherently in written work may be more than proficient in using the same vocabulary when verbalising their thoughts. Performing research over a longer time period could allow the researcher to give the students more context for the formal elements of art within their daily lives, which may provide the students with a better overall learning and understanding, as the literature reviewed at the beginning of this paper suggests, rather than leaving them as conceptual ideas that the students could not physically apply to their lives.</w:t>
      </w:r>
    </w:p>
    <w:p w:rsidR="166AA796" w:rsidP="3D779CD1" w:rsidRDefault="166AA796" w14:paraId="240291FF" w14:textId="67297DB9">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EA97855" w14:textId="6FC07C36">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color w:val="000000" w:themeColor="text1" w:themeTint="FF" w:themeShade="FF"/>
          <w:sz w:val="24"/>
          <w:szCs w:val="24"/>
          <w:lang w:val="en-GB"/>
        </w:rPr>
        <w:t>The testing also did not assess the student's ability to apply their learning from Art and Design to either other subjects from subjects in the same AOLE, such as Performing Arts, or to other AOLEs, such as a core subject like English Literature. This would have supplied a far more succinct view of the participants’ ability to transfer critical thinking skills and creativity. In professional dialogue with teaching staff at School X, many colleagues expressed a scepticism over English not being included in the same proposed AOLE as Art and Drama, as they see the subjects often having a direct impact and an intrinsically natural overlap that cannot be ignored.</w:t>
      </w:r>
    </w:p>
    <w:p w:rsidR="166AA796" w:rsidP="3D779CD1" w:rsidRDefault="166AA796" w14:paraId="32C552C8" w14:textId="381C363C">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408596BA" w14:textId="16160E1D">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color w:val="000000" w:themeColor="text1" w:themeTint="FF" w:themeShade="FF"/>
          <w:sz w:val="24"/>
          <w:szCs w:val="24"/>
          <w:lang w:val="en-GB"/>
        </w:rPr>
        <w:t>A more AOLE-inclusive testing would need to be implemented for this to be explored to its full potential. This could more rigorous interventions that bring more contextual detail to the students understanding of the formal elements in their day-to-day living, deepening their skills but also their appreciation that everything has been designed, either by nature or by man.</w:t>
      </w:r>
    </w:p>
    <w:p w:rsidR="166AA796" w:rsidP="3D779CD1" w:rsidRDefault="166AA796" w14:paraId="435DAF62" w14:textId="6A55A4E5">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0D37FCA" w14:textId="0EB7898F">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color w:val="000000" w:themeColor="text1" w:themeTint="FF" w:themeShade="FF"/>
          <w:sz w:val="24"/>
          <w:szCs w:val="24"/>
          <w:lang w:val="en-GB"/>
        </w:rPr>
        <w:t>As the number of female students outweighed the number of male students by over double, their results could not be fairly compared, and therefore could not be included in the evaluation or conclusion and should be a consideration in any further research conducted. The same could be applied to both FSM and SEN student profiling.</w:t>
      </w:r>
    </w:p>
    <w:p w:rsidR="166AA796" w:rsidP="3D779CD1" w:rsidRDefault="166AA796" w14:paraId="6B1AAC3D" w14:textId="397EAE19">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0F984282" w14:textId="6F25C4DE">
      <w:pPr>
        <w:spacing w:line="360" w:lineRule="auto"/>
        <w:jc w:val="left"/>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b w:val="1"/>
          <w:bCs w:val="1"/>
          <w:noProof w:val="0"/>
          <w:sz w:val="24"/>
          <w:szCs w:val="24"/>
          <w:lang w:val="en-GB"/>
        </w:rPr>
        <w:t>Limitations &amp; Future Development</w:t>
      </w:r>
    </w:p>
    <w:p w:rsidR="166AA796" w:rsidP="3D779CD1" w:rsidRDefault="166AA796" w14:paraId="584F121F" w14:textId="7465A9C0">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The main limitation with this study were, without question, the time-scale. It was a very short-term research period which did not allow for measuring the students’ abilities to build on their existing art-based vocabulary and to test their long-term recall of definitions and terms. It also did not provide a long enough window in which the students could provide a completed piece of artwork and accompanying contextual work, that could display a deeper understanding of the scheme of work being studied, due to their understanding of the formal elements of Art and Design. Future developments of this case study would have a longer time scale and more testing to be carried out during that time. Doing this would also allow time to test the transfer of knowledge and analysis skills from one topic to another, and possibly from one subject to another and across AOLEs. A solution to this problem during this </w:t>
      </w:r>
      <w:proofErr w:type="gramStart"/>
      <w:r w:rsidRPr="3D779CD1" w:rsidR="3D779CD1">
        <w:rPr>
          <w:rFonts w:ascii="Times New Roman" w:hAnsi="Times New Roman" w:eastAsia="Times New Roman" w:cs="Times New Roman"/>
          <w:noProof w:val="0"/>
          <w:sz w:val="24"/>
          <w:szCs w:val="24"/>
          <w:lang w:val="en-GB"/>
        </w:rPr>
        <w:t>particular research</w:t>
      </w:r>
      <w:proofErr w:type="gramEnd"/>
      <w:r w:rsidRPr="3D779CD1" w:rsidR="3D779CD1">
        <w:rPr>
          <w:rFonts w:ascii="Times New Roman" w:hAnsi="Times New Roman" w:eastAsia="Times New Roman" w:cs="Times New Roman"/>
          <w:noProof w:val="0"/>
          <w:sz w:val="24"/>
          <w:szCs w:val="24"/>
          <w:lang w:val="en-GB"/>
        </w:rPr>
        <w:t xml:space="preserve"> could have been to leave the art teacher in School X to implement Intervention C and the following post-testing, rather than the researcher carry it all out during the professional teaching experience placement. However, this could raise issues as </w:t>
      </w:r>
      <w:proofErr w:type="gramStart"/>
      <w:r w:rsidRPr="3D779CD1" w:rsidR="3D779CD1">
        <w:rPr>
          <w:rFonts w:ascii="Times New Roman" w:hAnsi="Times New Roman" w:eastAsia="Times New Roman" w:cs="Times New Roman"/>
          <w:noProof w:val="0"/>
          <w:sz w:val="24"/>
          <w:szCs w:val="24"/>
          <w:lang w:val="en-GB"/>
        </w:rPr>
        <w:t>a number of</w:t>
      </w:r>
      <w:proofErr w:type="gramEnd"/>
      <w:r w:rsidRPr="3D779CD1" w:rsidR="3D779CD1">
        <w:rPr>
          <w:rFonts w:ascii="Times New Roman" w:hAnsi="Times New Roman" w:eastAsia="Times New Roman" w:cs="Times New Roman"/>
          <w:noProof w:val="0"/>
          <w:sz w:val="24"/>
          <w:szCs w:val="24"/>
          <w:lang w:val="en-GB"/>
        </w:rPr>
        <w:t xml:space="preserve"> factors would be outside of the researcher’s control, ranging from the delivery of the final intervention to the conditions in which the post-test would be sat.</w:t>
      </w:r>
    </w:p>
    <w:p w:rsidR="166AA796" w:rsidP="3D779CD1" w:rsidRDefault="166AA796" w14:paraId="7A56C543" w14:textId="36F3BC73">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6854AA2E" w14:textId="4FC93772">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Another limitation to consider is the timetable scheduling, School X runs on a two-week timetable, which means many Year 7 students may have difficulty transitioning into. Some students transitioned from primary school education to secondary well, while others took longer, and some are still trying to find their place.</w:t>
      </w:r>
    </w:p>
    <w:p w:rsidR="166AA796" w:rsidP="3D779CD1" w:rsidRDefault="166AA796" w14:paraId="45A0F5CB" w14:textId="375B80C9">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51448223" w14:textId="554E4527">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 xml:space="preserve">Other limitations have been previously mentioned, including parental support, diet and extra-curricular activities. These could all have a direct effect on a students’ performance during testing. It has been well documented how an unstable homelife can have negative influences on students learning and their ability to reach their full potential. Unstable homes often come together with poor diet, which is linked to disrupted physical and mental growth. Time to explore these factors and a larger participant pool would allow for these external influences to be tested further. </w:t>
      </w:r>
      <w:proofErr w:type="gramStart"/>
      <w:r w:rsidRPr="3D779CD1" w:rsidR="3D779CD1">
        <w:rPr>
          <w:rFonts w:ascii="Times New Roman" w:hAnsi="Times New Roman" w:eastAsia="Times New Roman" w:cs="Times New Roman"/>
          <w:noProof w:val="0"/>
          <w:sz w:val="24"/>
          <w:szCs w:val="24"/>
          <w:lang w:val="en-GB"/>
        </w:rPr>
        <w:t>In regard to</w:t>
      </w:r>
      <w:proofErr w:type="gramEnd"/>
      <w:r w:rsidRPr="3D779CD1" w:rsidR="3D779CD1">
        <w:rPr>
          <w:rFonts w:ascii="Times New Roman" w:hAnsi="Times New Roman" w:eastAsia="Times New Roman" w:cs="Times New Roman"/>
          <w:noProof w:val="0"/>
          <w:sz w:val="24"/>
          <w:szCs w:val="24"/>
          <w:lang w:val="en-GB"/>
        </w:rPr>
        <w:t xml:space="preserve"> this and the testing previously mentioned, increasing testing should be done with purpose, starting with a baseline testing for all students upon their arrival at the school. This testing should be repeated at the end of each topic and at the end of the academic year, allowing for student progress tracking and possibly more accurate testing of a student’s understanding of the formal elements of art, much like is currently done in the classic core subjects. The researcher would also have opportunity to differentiate or ‘upgrade’ the testing according to how the cohorts’ learning progresses.</w:t>
      </w:r>
    </w:p>
    <w:p w:rsidR="166AA796" w:rsidP="3D779CD1" w:rsidRDefault="166AA796" w14:paraId="03B8E077" w14:textId="30CABAC6">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43F658BF" w14:textId="52EA1A29">
      <w:pPr>
        <w:spacing w:line="360" w:lineRule="auto"/>
        <w:jc w:val="both"/>
        <w:rPr>
          <w:rFonts w:ascii="Times New Roman" w:hAnsi="Times New Roman" w:eastAsia="Times New Roman" w:cs="Times New Roman"/>
          <w:noProof w:val="0"/>
          <w:sz w:val="24"/>
          <w:szCs w:val="24"/>
          <w:lang w:val="en-GB"/>
        </w:rPr>
      </w:pPr>
      <w:r w:rsidRPr="3D779CD1" w:rsidR="3D779CD1">
        <w:rPr>
          <w:rFonts w:ascii="Times New Roman" w:hAnsi="Times New Roman" w:eastAsia="Times New Roman" w:cs="Times New Roman"/>
          <w:noProof w:val="0"/>
          <w:sz w:val="24"/>
          <w:szCs w:val="24"/>
          <w:lang w:val="en-GB"/>
        </w:rPr>
        <w:t>Extra-curricular activities can also have both positive and negative effect on students test results, which are both limitations on the research outcomes. Student learning and understanding may not come directly from the teaching efforts and resources used during the research period. A negative impact could come from a student being tired from extra-curricular activities. Ensuring that all students, including those with SEN, had a full understanding of the questions posed during testing may have given the more able students indicators to the correct answers required. These are all factors that should be taken into consideration, should the research initiated by this paper be developed further in the future.</w:t>
      </w:r>
    </w:p>
    <w:p w:rsidR="166AA796" w:rsidP="3D779CD1" w:rsidRDefault="166AA796" w14:paraId="7182ADFA" w14:textId="6B62F0CE">
      <w:pPr>
        <w:spacing w:line="360" w:lineRule="auto"/>
        <w:jc w:val="both"/>
        <w:rPr>
          <w:rFonts w:ascii="Times New Roman" w:hAnsi="Times New Roman" w:eastAsia="Times New Roman" w:cs="Times New Roman"/>
          <w:noProof w:val="0"/>
          <w:sz w:val="24"/>
          <w:szCs w:val="24"/>
          <w:lang w:val="en-GB"/>
        </w:rPr>
      </w:pPr>
    </w:p>
    <w:p w:rsidR="166AA796" w:rsidP="3D779CD1" w:rsidRDefault="166AA796" w14:paraId="1DD7D7F3" w14:textId="7A94FCBF">
      <w:pPr>
        <w:spacing w:line="360" w:lineRule="auto"/>
        <w:rPr>
          <w:rFonts w:ascii="Times New Roman" w:hAnsi="Times New Roman" w:eastAsia="Times New Roman" w:cs="Times New Roman"/>
          <w:noProof w:val="0"/>
          <w:sz w:val="22"/>
          <w:szCs w:val="22"/>
          <w:lang w:val="en-GB"/>
        </w:rPr>
      </w:pPr>
      <w:r w:rsidRPr="3D779CD1">
        <w:rPr>
          <w:rFonts w:ascii="Times New Roman" w:hAnsi="Times New Roman" w:eastAsia="Times New Roman" w:cs="Times New Roman"/>
        </w:rPr>
        <w:br w:type="page"/>
      </w:r>
    </w:p>
    <w:p w:rsidR="166AA796" w:rsidP="3D779CD1" w:rsidRDefault="166AA796" w14:paraId="417DD285" w14:textId="54D0D9B9">
      <w:pPr>
        <w:spacing w:line="360" w:lineRule="auto"/>
        <w:rPr>
          <w:rFonts w:ascii="Times New Roman" w:hAnsi="Times New Roman" w:eastAsia="Times New Roman" w:cs="Times New Roman"/>
          <w:noProof w:val="0"/>
          <w:sz w:val="28"/>
          <w:szCs w:val="28"/>
          <w:lang w:val="en-GB"/>
        </w:rPr>
      </w:pPr>
      <w:r w:rsidRPr="3D779CD1" w:rsidR="3D779CD1">
        <w:rPr>
          <w:rFonts w:ascii="Times New Roman" w:hAnsi="Times New Roman" w:eastAsia="Times New Roman" w:cs="Times New Roman"/>
          <w:b w:val="1"/>
          <w:bCs w:val="1"/>
          <w:noProof w:val="0"/>
          <w:sz w:val="28"/>
          <w:szCs w:val="28"/>
          <w:lang w:val="en-GB"/>
        </w:rPr>
        <w:t>Appendices</w:t>
      </w:r>
    </w:p>
    <w:p w:rsidR="166AA796" w:rsidP="3D779CD1" w:rsidRDefault="166AA796" w14:paraId="41E1387E" w14:textId="66BD52F5">
      <w:pPr>
        <w:spacing w:line="360" w:lineRule="auto"/>
        <w:rPr>
          <w:rFonts w:ascii="Times New Roman" w:hAnsi="Times New Roman" w:eastAsia="Times New Roman" w:cs="Times New Roman"/>
          <w:noProof w:val="0"/>
          <w:sz w:val="22"/>
          <w:szCs w:val="22"/>
          <w:lang w:val="en-GB"/>
        </w:rPr>
      </w:pPr>
    </w:p>
    <w:p w:rsidR="166AA796" w:rsidP="3D779CD1" w:rsidRDefault="166AA796" w14:paraId="2757ACD0" w14:textId="35CC0446">
      <w:pPr>
        <w:spacing w:line="360" w:lineRule="auto"/>
        <w:rPr>
          <w:rFonts w:ascii="Times New Roman" w:hAnsi="Times New Roman" w:eastAsia="Times New Roman" w:cs="Times New Roman"/>
          <w:noProof w:val="0"/>
          <w:sz w:val="22"/>
          <w:szCs w:val="22"/>
          <w:lang w:val="en-GB"/>
        </w:rPr>
      </w:pPr>
    </w:p>
    <w:p w:rsidR="166AA796" w:rsidP="3D779CD1" w:rsidRDefault="166AA796" w14:paraId="787DD148" w14:textId="76D2760D">
      <w:pPr>
        <w:spacing w:line="360" w:lineRule="auto"/>
        <w:rPr>
          <w:rFonts w:ascii="Times New Roman" w:hAnsi="Times New Roman" w:eastAsia="Times New Roman" w:cs="Times New Roman"/>
          <w:noProof w:val="0"/>
          <w:sz w:val="22"/>
          <w:szCs w:val="22"/>
          <w:lang w:val="en-GB"/>
        </w:rPr>
      </w:pPr>
    </w:p>
    <w:p w:rsidR="166AA796" w:rsidP="3D779CD1" w:rsidRDefault="166AA796" w14:paraId="320074FD" w14:textId="22C6938D">
      <w:pPr>
        <w:spacing w:line="360" w:lineRule="auto"/>
        <w:rPr>
          <w:rFonts w:ascii="Times New Roman" w:hAnsi="Times New Roman" w:eastAsia="Times New Roman" w:cs="Times New Roman"/>
          <w:noProof w:val="0"/>
          <w:sz w:val="22"/>
          <w:szCs w:val="22"/>
          <w:lang w:val="en-GB"/>
        </w:rPr>
      </w:pPr>
      <w:r w:rsidRPr="3D779CD1">
        <w:rPr>
          <w:rFonts w:ascii="Times New Roman" w:hAnsi="Times New Roman" w:eastAsia="Times New Roman" w:cs="Times New Roman"/>
        </w:rPr>
        <w:br w:type="page"/>
      </w:r>
    </w:p>
    <w:p w:rsidR="166AA796" w:rsidP="3D779CD1" w:rsidRDefault="166AA796" w14:paraId="7B1F040D" w14:textId="5C2CD858">
      <w:pPr>
        <w:spacing w:line="360" w:lineRule="auto"/>
        <w:rPr>
          <w:rFonts w:ascii="Times New Roman" w:hAnsi="Times New Roman" w:eastAsia="Times New Roman" w:cs="Times New Roman"/>
          <w:noProof w:val="0"/>
          <w:sz w:val="28"/>
          <w:szCs w:val="28"/>
          <w:lang w:val="en-GB"/>
        </w:rPr>
      </w:pPr>
      <w:r w:rsidRPr="3D779CD1" w:rsidR="3D779CD1">
        <w:rPr>
          <w:rFonts w:ascii="Times New Roman" w:hAnsi="Times New Roman" w:eastAsia="Times New Roman" w:cs="Times New Roman"/>
          <w:b w:val="1"/>
          <w:bCs w:val="1"/>
          <w:noProof w:val="0"/>
          <w:sz w:val="28"/>
          <w:szCs w:val="28"/>
          <w:lang w:val="en-GB"/>
        </w:rPr>
        <w:t>References</w:t>
      </w:r>
    </w:p>
    <w:p w:rsidR="166AA796" w:rsidP="166AA796" w:rsidRDefault="166AA796" w14:paraId="7084396F" w14:textId="40453754">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Addison, N. (2014) “Doubting learning outcomes in higher education contexts: From performativity towards emergence and negotiation”, International Journal of Art &amp; Design Education, 33, (3), 313 – 325.</w:t>
      </w:r>
    </w:p>
    <w:p w:rsidR="166AA796" w:rsidP="166AA796" w:rsidRDefault="166AA796" w14:paraId="0133B769" w14:textId="35B2070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Addison, N. &amp; Burgess, L.. (eds.) (2003). Issues in art and design teaching (Third edition). London: Routledge Falmer.</w:t>
      </w:r>
    </w:p>
    <w:p w:rsidR="166AA796" w:rsidP="166AA796" w:rsidRDefault="166AA796" w14:paraId="5B44ECCB" w14:textId="66F1F9F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Allen, D. (2003) “Does visual literacy demand a head for heights?”, in Issues in Art &amp; Design Teaching, ed. Addison, N. &amp; Burgess, L.. London: Routledge Falmer.</w:t>
      </w:r>
    </w:p>
    <w:p w:rsidR="166AA796" w:rsidP="166AA796" w:rsidRDefault="166AA796" w14:paraId="236669C6" w14:textId="248623A4">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Bensur</w:t>
      </w:r>
      <w:proofErr w:type="spellEnd"/>
      <w:r w:rsidRPr="166AA796" w:rsidR="166AA796">
        <w:rPr>
          <w:rFonts w:ascii="Times New Roman" w:hAnsi="Times New Roman" w:eastAsia="Times New Roman" w:cs="Times New Roman"/>
          <w:noProof w:val="0"/>
          <w:sz w:val="24"/>
          <w:szCs w:val="24"/>
          <w:lang w:val="en-GB"/>
        </w:rPr>
        <w:t>, B. J., (2002) “Frustrated Voices of Art Assessment”, Art Education, 55, (6), 18 – 23.</w:t>
      </w:r>
    </w:p>
    <w:p w:rsidR="166AA796" w:rsidP="166AA796" w:rsidRDefault="166AA796" w14:paraId="3803B9F1" w14:textId="6C7BCD1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Berger, P. L., &amp; Luckmann, T. ([1966] 1994) Todellisuuden Sosiaalinen Rakentuminen/’The social construction of reality: A treatise in the sociology of knowledge’ (trans. V. Raiskila). Helsinki: Gaudeamus.</w:t>
      </w:r>
    </w:p>
    <w:p w:rsidR="166AA796" w:rsidP="166AA796" w:rsidRDefault="166AA796" w14:paraId="60073319" w14:textId="782CF12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Bloom, B. S., Engelhart, M. D., Furst, E. J., Hill, W. H., &amp; Krathwohl, D. R. (Eds.). (1956) Taxonomy of educational objectives: The classification of educational goals. Handbook I: Cognitive domain. New York: David McKay. </w:t>
      </w:r>
    </w:p>
    <w:p w:rsidR="166AA796" w:rsidP="166AA796" w:rsidRDefault="166AA796" w14:paraId="19A52BD2" w14:textId="2771BE4B">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British Educational Research Association (BERA) (2018) Ethical guidelines for educational research. Available at: </w:t>
      </w:r>
      <w:r w:rsidRPr="166AA796" w:rsidR="166AA796">
        <w:rPr>
          <w:rFonts w:ascii="Times New Roman" w:hAnsi="Times New Roman" w:eastAsia="Times New Roman" w:cs="Times New Roman"/>
          <w:noProof w:val="0"/>
          <w:sz w:val="24"/>
          <w:szCs w:val="24"/>
          <w:lang w:val="en-GB"/>
        </w:rPr>
        <w:t>https://www.bera.ac.uk/wp-content/uploads/2018/06/BERA-Ethical-Guidelines-for-Educational-Research_4thEdn_2018.pdf?noredirect=1</w:t>
      </w:r>
      <w:r w:rsidRPr="166AA796" w:rsidR="166AA796">
        <w:rPr>
          <w:rFonts w:ascii="Times New Roman" w:hAnsi="Times New Roman" w:eastAsia="Times New Roman" w:cs="Times New Roman"/>
          <w:noProof w:val="0"/>
          <w:sz w:val="24"/>
          <w:szCs w:val="24"/>
          <w:lang w:val="en-GB"/>
        </w:rPr>
        <w:t xml:space="preserve"> (Accessed: 21 February 2019).</w:t>
      </w:r>
    </w:p>
    <w:p w:rsidR="166AA796" w:rsidP="166AA796" w:rsidRDefault="166AA796" w14:paraId="1CC2E37A" w14:textId="2BD7FC0E">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Brookfield, S. D. (2015) “Critical reflection as doctoral education”, New Directions for Adult &amp; Continuing Education, 2015, (147), 15 – 23.</w:t>
      </w:r>
    </w:p>
    <w:p w:rsidR="166AA796" w:rsidP="166AA796" w:rsidRDefault="166AA796" w14:paraId="3DBFA75A" w14:textId="5C79CEB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Buie, E. (2012) “Art boosts pupils’ critical thinking, study finds”, The Times Educational Supplement Scotland, (2278), 17.</w:t>
      </w:r>
    </w:p>
    <w:p w:rsidR="166AA796" w:rsidP="166AA796" w:rsidRDefault="166AA796" w14:paraId="6CB0CA4B" w14:textId="53E025E6">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Burnaford, G. E. (2007) “Moving toward a culture of evidence: Documentations and action research in the practice of arts partnerships”, Art Education Policy Review, 108, (3), 35 – 40.</w:t>
      </w:r>
      <w:proofErr w:type="spellEnd"/>
    </w:p>
    <w:p w:rsidR="166AA796" w:rsidP="166AA796" w:rsidRDefault="166AA796" w14:paraId="1CD0E48A" w14:textId="69131A30">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Burton, J., Horowitz, R., &amp; Abeles, H. (1999) “Learning in and through the arts: curriculum implications”, Champions of change: The impact of the arts on learning, 34 – 46.</w:t>
      </w:r>
    </w:p>
    <w:p w:rsidR="166AA796" w:rsidP="166AA796" w:rsidRDefault="166AA796" w14:paraId="5A251F56" w14:textId="3DAF033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Catterall, James S., (1998) “Does experience in the arts boost academic achievement? A response to Eisner”, Art Education, 51, (4), pp.6–12.</w:t>
      </w:r>
    </w:p>
    <w:p w:rsidR="166AA796" w:rsidP="166AA796" w:rsidRDefault="166AA796" w14:paraId="460114A1" w14:textId="286D5A46">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Clarke, A. &amp; Bautista, D. (2017) “Critical reflection and arts-based action research for the educator self”, Canadian Journal of Action Research, 18, (1), 52 – 70.</w:t>
      </w:r>
    </w:p>
    <w:p w:rsidR="166AA796" w:rsidP="166AA796" w:rsidRDefault="166AA796" w14:paraId="623118E3" w14:textId="3ED0B120">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Coffield, F., Moseley, D., Hall, E. &amp; Ecclestone, K. (2004) Should we be using learning styles? What research has to say to practice. London: Learning and skills research centre.</w:t>
      </w:r>
    </w:p>
    <w:p w:rsidR="166AA796" w:rsidP="166AA796" w:rsidRDefault="166AA796" w14:paraId="7129AEA4" w14:textId="10EFADF7">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Cohen, L., Manion, L, and Morrison, K.R.B. (2007) Research methods in education</w:t>
      </w:r>
    </w:p>
    <w:p w:rsidR="166AA796" w:rsidP="166AA796" w:rsidRDefault="166AA796" w14:paraId="6E78EA08" w14:textId="6A9FDE1C">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6th ed. London: Routledge.</w:t>
      </w:r>
    </w:p>
    <w:p w:rsidR="166AA796" w:rsidP="166AA796" w:rsidRDefault="166AA796" w14:paraId="4E9A04BC" w14:textId="6892AD1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Cole, A. L. &amp; Knowles, J. G. (2008) “Characterizing productive reflection among preservice elementary teachers: Seeing what matters”, Teaching and Teacher Education, 22, (3), 281 – 301.</w:t>
      </w:r>
    </w:p>
    <w:p w:rsidR="166AA796" w:rsidP="166AA796" w:rsidRDefault="166AA796" w14:paraId="33917ACB" w14:textId="23D3F19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Costello, P. J. M. (2003) Action Research. London: Continuum.</w:t>
      </w:r>
    </w:p>
    <w:p w:rsidR="166AA796" w:rsidP="166AA796" w:rsidRDefault="166AA796" w14:paraId="6CFECCD8" w14:textId="30D9E87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Cunningham, G.K. (1998) Assessment in the classroom: constructing and interpreting texts [ie tests], London: Falmer Press.</w:t>
      </w:r>
    </w:p>
    <w:p w:rsidR="166AA796" w:rsidP="166AA796" w:rsidRDefault="166AA796" w14:paraId="55502A5F" w14:textId="6F48A57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Darling-Hammond, L. (2005) “Educating the new educator: Teacher education and the future of democracy”, The New Educator, 1, 1 – 18.</w:t>
      </w:r>
    </w:p>
    <w:p w:rsidR="166AA796" w:rsidP="166AA796" w:rsidRDefault="166AA796" w14:paraId="4121532C" w14:textId="706E6EFF">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DeLuca, c. (2010) “The capacity of assessment in arts education”, Encounters on Education, 11, 3 – 12. </w:t>
      </w:r>
    </w:p>
    <w:p w:rsidR="166AA796" w:rsidP="166AA796" w:rsidRDefault="166AA796" w14:paraId="64470C5C" w14:textId="5C939AF1">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Donaldson, G. (2015) Successful Futures: An independent review of curriculum and assessment arrangements in Wales. Cardiff: Welsh Government.</w:t>
      </w:r>
    </w:p>
    <w:p w:rsidR="166AA796" w:rsidP="166AA796" w:rsidRDefault="166AA796" w14:paraId="2A775236" w14:textId="485F3B2A">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Dewey, J. (1934) Art as an Experience. New York: Perigee Books.</w:t>
      </w:r>
    </w:p>
    <w:p w:rsidR="166AA796" w:rsidP="166AA796" w:rsidRDefault="166AA796" w14:paraId="02925A52" w14:textId="433D49D4">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Dweck, C.S., (2017) Mindset: Changing the way you fulfil your potential. (3</w:t>
      </w:r>
      <w:r w:rsidRPr="166AA796" w:rsidR="166AA796">
        <w:rPr>
          <w:rFonts w:ascii="Times New Roman" w:hAnsi="Times New Roman" w:eastAsia="Times New Roman" w:cs="Times New Roman"/>
          <w:noProof w:val="0"/>
          <w:sz w:val="24"/>
          <w:szCs w:val="24"/>
          <w:vertAlign w:val="superscript"/>
          <w:lang w:val="en-GB"/>
        </w:rPr>
        <w:t>rd</w:t>
      </w:r>
      <w:r w:rsidRPr="166AA796" w:rsidR="166AA796">
        <w:rPr>
          <w:rFonts w:ascii="Times New Roman" w:hAnsi="Times New Roman" w:eastAsia="Times New Roman" w:cs="Times New Roman"/>
          <w:noProof w:val="0"/>
          <w:sz w:val="24"/>
          <w:szCs w:val="24"/>
          <w:lang w:val="en-GB"/>
        </w:rPr>
        <w:t xml:space="preserve"> edition). London: Hachette.</w:t>
      </w:r>
    </w:p>
    <w:p w:rsidR="166AA796" w:rsidP="166AA796" w:rsidRDefault="166AA796" w14:paraId="5D8E4C97" w14:textId="1A09FA24">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Eisner, E. W. (1999) “Does experience in the arts boost academic achievement?” Clearing House, 72, (3), 143 – 149.</w:t>
      </w:r>
    </w:p>
    <w:p w:rsidR="166AA796" w:rsidP="166AA796" w:rsidRDefault="166AA796" w14:paraId="2475315F" w14:textId="3F2B6336">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Eisner, E. W. (2002) The Arts and the Creation of Mind. New Haven, CT: Yale University Press.</w:t>
      </w:r>
    </w:p>
    <w:p w:rsidR="166AA796" w:rsidP="166AA796" w:rsidRDefault="166AA796" w14:paraId="42F5DA89" w14:textId="38A7E858">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Ennis, R.H., 1985. A logical basis for measuring critical thinking skills. </w:t>
      </w:r>
      <w:r w:rsidRPr="166AA796" w:rsidR="166AA796">
        <w:rPr>
          <w:rFonts w:ascii="Times New Roman" w:hAnsi="Times New Roman" w:eastAsia="Times New Roman" w:cs="Times New Roman"/>
          <w:i w:val="1"/>
          <w:iCs w:val="1"/>
          <w:noProof w:val="0"/>
          <w:sz w:val="24"/>
          <w:szCs w:val="24"/>
          <w:lang w:val="en-GB"/>
        </w:rPr>
        <w:t>Educational leadership</w:t>
      </w:r>
      <w:r w:rsidRPr="166AA796" w:rsidR="166AA796">
        <w:rPr>
          <w:rFonts w:ascii="Times New Roman" w:hAnsi="Times New Roman" w:eastAsia="Times New Roman" w:cs="Times New Roman"/>
          <w:noProof w:val="0"/>
          <w:sz w:val="24"/>
          <w:szCs w:val="24"/>
          <w:lang w:val="en-GB"/>
        </w:rPr>
        <w:t xml:space="preserve">, </w:t>
      </w:r>
      <w:r w:rsidRPr="166AA796" w:rsidR="166AA796">
        <w:rPr>
          <w:rFonts w:ascii="Times New Roman" w:hAnsi="Times New Roman" w:eastAsia="Times New Roman" w:cs="Times New Roman"/>
          <w:i w:val="1"/>
          <w:iCs w:val="1"/>
          <w:noProof w:val="0"/>
          <w:sz w:val="24"/>
          <w:szCs w:val="24"/>
          <w:lang w:val="en-GB"/>
        </w:rPr>
        <w:t>43</w:t>
      </w:r>
      <w:r w:rsidRPr="166AA796" w:rsidR="166AA796">
        <w:rPr>
          <w:rFonts w:ascii="Times New Roman" w:hAnsi="Times New Roman" w:eastAsia="Times New Roman" w:cs="Times New Roman"/>
          <w:noProof w:val="0"/>
          <w:sz w:val="24"/>
          <w:szCs w:val="24"/>
          <w:lang w:val="en-GB"/>
        </w:rPr>
        <w:t>(2), pp.44-48.</w:t>
      </w:r>
    </w:p>
    <w:p w:rsidR="166AA796" w:rsidP="166AA796" w:rsidRDefault="166AA796" w14:paraId="72D1D274" w14:textId="6C919CAE">
      <w:pPr>
        <w:spacing w:after="160" w:line="360" w:lineRule="auto"/>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US"/>
        </w:rPr>
        <w:t>Estyn</w:t>
      </w:r>
      <w:proofErr w:type="spellEnd"/>
      <w:r w:rsidRPr="166AA796" w:rsidR="166AA796">
        <w:rPr>
          <w:rFonts w:ascii="Times New Roman" w:hAnsi="Times New Roman" w:eastAsia="Times New Roman" w:cs="Times New Roman"/>
          <w:noProof w:val="0"/>
          <w:sz w:val="24"/>
          <w:szCs w:val="24"/>
          <w:lang w:val="en-US"/>
        </w:rPr>
        <w:t>, (2016). A report on School X.</w:t>
      </w:r>
    </w:p>
    <w:p w:rsidR="166AA796" w:rsidP="166AA796" w:rsidRDefault="166AA796" w14:paraId="143265EE" w14:textId="4E2590E1">
      <w:pPr>
        <w:spacing w:before="240" w:after="0" w:line="360" w:lineRule="auto"/>
        <w:rPr>
          <w:rFonts w:ascii="Times New Roman" w:hAnsi="Times New Roman" w:eastAsia="Times New Roman" w:cs="Times New Roman"/>
          <w:noProof w:val="0"/>
          <w:color w:val="auto"/>
          <w:sz w:val="24"/>
          <w:szCs w:val="24"/>
          <w:lang w:val="en-GB"/>
        </w:rPr>
      </w:pPr>
      <w:r w:rsidRPr="166AA796" w:rsidR="166AA796">
        <w:rPr>
          <w:rFonts w:ascii="Times New Roman" w:hAnsi="Times New Roman" w:eastAsia="Times New Roman" w:cs="Times New Roman"/>
          <w:noProof w:val="0"/>
          <w:color w:val="auto"/>
          <w:sz w:val="24"/>
          <w:szCs w:val="24"/>
          <w:lang w:val="en-GB"/>
        </w:rPr>
        <w:t>The European Commission (2018) 2018 Reform of EU Data Protection Rules Available at: https://ec.europa.eu/commission/priorities/justice-and-fundamental-rights/data-protection/2018-reform-eu-data-protection-rules_en] [accessed: 21</w:t>
      </w:r>
      <w:r w:rsidRPr="166AA796" w:rsidR="166AA796">
        <w:rPr>
          <w:rFonts w:ascii="Times New Roman" w:hAnsi="Times New Roman" w:eastAsia="Times New Roman" w:cs="Times New Roman"/>
          <w:noProof w:val="0"/>
          <w:color w:val="auto"/>
          <w:sz w:val="24"/>
          <w:szCs w:val="24"/>
          <w:vertAlign w:val="superscript"/>
          <w:lang w:val="en-GB"/>
        </w:rPr>
        <w:t>st</w:t>
      </w:r>
      <w:r w:rsidRPr="166AA796" w:rsidR="166AA796">
        <w:rPr>
          <w:rFonts w:ascii="Times New Roman" w:hAnsi="Times New Roman" w:eastAsia="Times New Roman" w:cs="Times New Roman"/>
          <w:noProof w:val="0"/>
          <w:color w:val="auto"/>
          <w:sz w:val="24"/>
          <w:szCs w:val="24"/>
          <w:lang w:val="en-GB"/>
        </w:rPr>
        <w:t xml:space="preserve"> </w:t>
      </w:r>
      <w:r w:rsidRPr="166AA796" w:rsidR="166AA796">
        <w:rPr>
          <w:rFonts w:ascii="Times New Roman" w:hAnsi="Times New Roman" w:eastAsia="Times New Roman" w:cs="Times New Roman"/>
          <w:noProof w:val="0"/>
          <w:color w:val="auto"/>
          <w:sz w:val="24"/>
          <w:szCs w:val="24"/>
          <w:lang w:val="en-GB"/>
        </w:rPr>
        <w:t>February</w:t>
      </w:r>
      <w:r w:rsidRPr="166AA796" w:rsidR="166AA796">
        <w:rPr>
          <w:rFonts w:ascii="Times New Roman" w:hAnsi="Times New Roman" w:eastAsia="Times New Roman" w:cs="Times New Roman"/>
          <w:noProof w:val="0"/>
          <w:color w:val="auto"/>
          <w:sz w:val="24"/>
          <w:szCs w:val="24"/>
          <w:lang w:val="en-GB"/>
        </w:rPr>
        <w:t xml:space="preserve"> 2019].</w:t>
      </w:r>
    </w:p>
    <w:p w:rsidR="166AA796" w:rsidP="166AA796" w:rsidRDefault="166AA796" w14:paraId="6687E3BD" w14:textId="72AC7B10">
      <w:pPr>
        <w:spacing w:before="240" w:after="0" w:line="360" w:lineRule="auto"/>
        <w:rPr>
          <w:rFonts w:ascii="Times New Roman" w:hAnsi="Times New Roman" w:eastAsia="Times New Roman" w:cs="Times New Roman"/>
          <w:noProof w:val="0"/>
          <w:color w:val="auto"/>
          <w:sz w:val="24"/>
          <w:szCs w:val="24"/>
          <w:lang w:val="en-GB"/>
        </w:rPr>
      </w:pPr>
      <w:r w:rsidRPr="166AA796" w:rsidR="166AA796">
        <w:rPr>
          <w:rFonts w:ascii="Times New Roman" w:hAnsi="Times New Roman" w:eastAsia="Times New Roman" w:cs="Times New Roman"/>
          <w:noProof w:val="0"/>
          <w:color w:val="auto"/>
          <w:sz w:val="24"/>
          <w:szCs w:val="24"/>
          <w:lang w:val="en-GB"/>
        </w:rPr>
        <w:t>Fleming, N.D. &amp; Mills, C. (1992) “Not another inventory, rather a catalyst for reflection”, To Improve the Academy, 11, (1), 137-155.</w:t>
      </w:r>
    </w:p>
    <w:p w:rsidR="166AA796" w:rsidP="166AA796" w:rsidRDefault="166AA796" w14:paraId="6CE52E5C" w14:textId="3CD68C91">
      <w:pPr>
        <w:spacing w:before="240" w:after="0" w:line="360" w:lineRule="auto"/>
        <w:rPr>
          <w:rFonts w:ascii="Times New Roman" w:hAnsi="Times New Roman" w:eastAsia="Times New Roman" w:cs="Times New Roman"/>
          <w:noProof w:val="0"/>
          <w:color w:val="auto"/>
          <w:sz w:val="24"/>
          <w:szCs w:val="24"/>
          <w:lang w:val="en-GB"/>
        </w:rPr>
      </w:pPr>
      <w:r w:rsidRPr="166AA796" w:rsidR="166AA796">
        <w:rPr>
          <w:rFonts w:ascii="Times New Roman" w:hAnsi="Times New Roman" w:eastAsia="Times New Roman" w:cs="Times New Roman"/>
          <w:noProof w:val="0"/>
          <w:color w:val="auto"/>
          <w:sz w:val="24"/>
          <w:szCs w:val="24"/>
          <w:lang w:val="en-GB"/>
        </w:rPr>
        <w:t>Gibbons, S. (2009) “Lessons from the past?”, English Teaching: Practice and Critique, 8, (1), 64 – 75.</w:t>
      </w:r>
    </w:p>
    <w:p w:rsidR="166AA796" w:rsidP="166AA796" w:rsidRDefault="166AA796" w14:paraId="1C35354E" w14:textId="2BC494EA">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Greene, M. (1995) Releasing the Imagination: Essays on education, the arts, and social change. San Francisco, CA: Jossey-Bass.</w:t>
      </w:r>
    </w:p>
    <w:p w:rsidR="166AA796" w:rsidP="166AA796" w:rsidRDefault="166AA796" w14:paraId="4A379089" w14:textId="2FEC5AA3">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Gronlund, N.E. and Linn, R.L. (1990) “Constructing objective test items: multiple-choice forms”, Measurement and Evaluation in Teaching, 166-191.</w:t>
      </w:r>
    </w:p>
    <w:p w:rsidR="166AA796" w:rsidP="166AA796" w:rsidRDefault="166AA796" w14:paraId="69467FB9" w14:textId="701D984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Gruber, D. D. (1994) “Evaluation of student achievement in K-12 art education programs: A balanced approach”, National Art Education Association, 47, (2), 40 – 45.</w:t>
      </w:r>
    </w:p>
    <w:p w:rsidR="166AA796" w:rsidP="166AA796" w:rsidRDefault="166AA796" w14:paraId="6C7CEBBB" w14:textId="77656871">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Gruber, D. D., &amp; Hobbs, J. (2002) “Historical analysis of assessment in Art Education”, Art Education, 55, (6), 12 – 17.</w:t>
      </w:r>
    </w:p>
    <w:p w:rsidR="166AA796" w:rsidP="166AA796" w:rsidRDefault="166AA796" w14:paraId="4FA34939" w14:textId="4BDEC16A">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Hamblen, K. A. (1984) “An Art Criticism Questioning Strategy within the Framework of Bloom's Taxonomy”, Studies in Art Education, 26, (1), 41-50.</w:t>
      </w:r>
      <w:proofErr w:type="spellEnd"/>
    </w:p>
    <w:p w:rsidR="166AA796" w:rsidP="166AA796" w:rsidRDefault="166AA796" w14:paraId="264C3F6E" w14:textId="57AF3907">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Hamblen, K.A., 1993. “Theories and Research That Support Art Instruction for Instrumental Outcomes”, Theory Into Practice, 32, (4), 191–198.</w:t>
      </w:r>
      <w:proofErr w:type="spellEnd"/>
    </w:p>
    <w:p w:rsidR="166AA796" w:rsidP="166AA796" w:rsidRDefault="166AA796" w14:paraId="77137152" w14:textId="45F74493">
      <w:pPr>
        <w:spacing w:after="160" w:line="360" w:lineRule="auto"/>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US"/>
        </w:rPr>
        <w:t>Harlen, W. (2004). A systematic review of the reliability and validity of assessment by teachers used for summative purposes. Research Evidence in Education Library. London: University of London.</w:t>
      </w:r>
      <w:proofErr w:type="spellEnd"/>
    </w:p>
    <w:p w:rsidR="166AA796" w:rsidP="166AA796" w:rsidRDefault="166AA796" w14:paraId="565ED4DF" w14:textId="1E1E35F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Housen, A. C., (2002) “Aesthetic Thought, Critical Thinking and Transfer”, Arts and Learning Research Journal, 18, (1), 99 – 130.</w:t>
      </w:r>
    </w:p>
    <w:p w:rsidR="166AA796" w:rsidP="166AA796" w:rsidRDefault="166AA796" w14:paraId="2CB6BB7B" w14:textId="0D8AD264">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Jokela, T., Hiltunen, M. &amp; Harkonen, E., (2015) “Art-based action research – participatory art for the north”, International Journal of Education through Art, 11, (3), 433 – 448.</w:t>
      </w:r>
    </w:p>
    <w:p w:rsidR="166AA796" w:rsidP="166AA796" w:rsidRDefault="166AA796" w14:paraId="2EA4D796" w14:textId="241E988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Kumar, K. (2014) Research methodology: a step-by-step guide for beginners. London: SAGE</w:t>
      </w:r>
    </w:p>
    <w:p w:rsidR="166AA796" w:rsidP="166AA796" w:rsidRDefault="166AA796" w14:paraId="60A2579A" w14:textId="296B01C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Lafont, L., Rivière, C., Darnis, F. &amp; Legrain, P. (2017) “How to structure group work? Conditions of efficacy and methodological considerations in physical education”, European Physical Education Review, 23(3), pp.327–338.</w:t>
      </w:r>
    </w:p>
    <w:p w:rsidR="166AA796" w:rsidP="166AA796" w:rsidRDefault="166AA796" w14:paraId="51069104" w14:textId="658F274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Lave, J., &amp; Wegner, E. (1991) Situated cognition: Legitimate peripheral participation. New York: Cambridge University Press.</w:t>
      </w:r>
    </w:p>
    <w:p w:rsidR="166AA796" w:rsidP="166AA796" w:rsidRDefault="166AA796" w14:paraId="68E3B017" w14:textId="0E220377">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Li, X., Kenzy, P., Underwood, L. &amp; Seversonm L. (2015) “Dramatic Impact of Action Research of Arts-Based Teaching on At-Risk Students”, Educational Action Research, 23, (4), 567 – 580. </w:t>
      </w:r>
    </w:p>
    <w:p w:rsidR="166AA796" w:rsidP="166AA796" w:rsidRDefault="166AA796" w14:paraId="7175D5F2" w14:textId="4268EEF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Little, M. E. (2012) “Action research and response to intervention: Bridging the discourse divide”, The Educational Forum, 76, (1), 69 – 80.</w:t>
      </w:r>
    </w:p>
    <w:p w:rsidR="166AA796" w:rsidP="166AA796" w:rsidRDefault="166AA796" w14:paraId="7CDA4998" w14:textId="68E545FD">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Lombardi, M. M. (2007) “Authentic learning for the 21</w:t>
      </w:r>
      <w:r w:rsidRPr="166AA796" w:rsidR="166AA796">
        <w:rPr>
          <w:rFonts w:ascii="Times New Roman" w:hAnsi="Times New Roman" w:eastAsia="Times New Roman" w:cs="Times New Roman"/>
          <w:noProof w:val="0"/>
          <w:sz w:val="24"/>
          <w:szCs w:val="24"/>
          <w:vertAlign w:val="superscript"/>
          <w:lang w:val="en-GB"/>
        </w:rPr>
        <w:t>st</w:t>
      </w:r>
      <w:r w:rsidRPr="166AA796" w:rsidR="166AA796">
        <w:rPr>
          <w:rFonts w:ascii="Times New Roman" w:hAnsi="Times New Roman" w:eastAsia="Times New Roman" w:cs="Times New Roman"/>
          <w:noProof w:val="0"/>
          <w:sz w:val="24"/>
          <w:szCs w:val="24"/>
          <w:lang w:val="en-GB"/>
        </w:rPr>
        <w:t xml:space="preserve"> century: an overview”, Educause learning initiative, 1, 1 – 12. </w:t>
      </w:r>
    </w:p>
    <w:p w:rsidR="166AA796" w:rsidP="166AA796" w:rsidRDefault="166AA796" w14:paraId="38E1DED7" w14:textId="4E264CE6">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Lowenfield, V., &amp; Brittain, W. L. (1982) Creative and mental growth. (7</w:t>
      </w:r>
      <w:proofErr w:type="spellEnd"/>
      <w:r w:rsidRPr="166AA796" w:rsidR="166AA796">
        <w:rPr>
          <w:rFonts w:ascii="Times New Roman" w:hAnsi="Times New Roman" w:eastAsia="Times New Roman" w:cs="Times New Roman"/>
          <w:noProof w:val="0"/>
          <w:sz w:val="24"/>
          <w:szCs w:val="24"/>
          <w:vertAlign w:val="superscript"/>
          <w:lang w:val="en-GB"/>
        </w:rPr>
        <w:t>th</w:t>
      </w:r>
      <w:r w:rsidRPr="166AA796" w:rsidR="166AA796">
        <w:rPr>
          <w:rFonts w:ascii="Times New Roman" w:hAnsi="Times New Roman" w:eastAsia="Times New Roman" w:cs="Times New Roman"/>
          <w:noProof w:val="0"/>
          <w:sz w:val="24"/>
          <w:szCs w:val="24"/>
          <w:lang w:val="en-GB"/>
        </w:rPr>
        <w:t xml:space="preserve"> ed.). New York: Macmillan.</w:t>
      </w:r>
    </w:p>
    <w:p w:rsidR="166AA796" w:rsidP="166AA796" w:rsidRDefault="166AA796" w14:paraId="45B486E3" w14:textId="40B3BDAA">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Mahlmann, J. J. (1996) “The arts: who shall teach?”, Beyond enrichment: Building effective arts partnerships with schools and your community. 1996, 405-6.</w:t>
      </w:r>
      <w:proofErr w:type="spellEnd"/>
    </w:p>
    <w:p w:rsidR="166AA796" w:rsidP="166AA796" w:rsidRDefault="166AA796" w14:paraId="2D4FF41C" w14:textId="15E23BA6">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Mason, R., &amp; Steers, J. (2006) “The impact of formal assessment procedures on teaching and learning in art and design in secondary schools”, International Journal of Art &amp; Design Education., 25, (2), 119 – 133.</w:t>
      </w:r>
    </w:p>
    <w:p w:rsidR="166AA796" w:rsidP="166AA796" w:rsidRDefault="166AA796" w14:paraId="299B8B7F" w14:textId="0A33A4C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Mills, G. E. (2014) Action Research: A guide for the teacher researcher (5</w:t>
      </w:r>
      <w:r w:rsidRPr="166AA796" w:rsidR="166AA796">
        <w:rPr>
          <w:rFonts w:ascii="Times New Roman" w:hAnsi="Times New Roman" w:eastAsia="Times New Roman" w:cs="Times New Roman"/>
          <w:noProof w:val="0"/>
          <w:sz w:val="24"/>
          <w:szCs w:val="24"/>
          <w:vertAlign w:val="superscript"/>
          <w:lang w:val="en-GB"/>
        </w:rPr>
        <w:t>th</w:t>
      </w:r>
      <w:r w:rsidRPr="166AA796" w:rsidR="166AA796">
        <w:rPr>
          <w:rFonts w:ascii="Times New Roman" w:hAnsi="Times New Roman" w:eastAsia="Times New Roman" w:cs="Times New Roman"/>
          <w:noProof w:val="0"/>
          <w:sz w:val="24"/>
          <w:szCs w:val="24"/>
          <w:lang w:val="en-GB"/>
        </w:rPr>
        <w:t xml:space="preserve"> ed.) New York: Pearson.</w:t>
      </w:r>
    </w:p>
    <w:p w:rsidR="166AA796" w:rsidP="166AA796" w:rsidRDefault="166AA796" w14:paraId="45965F5C" w14:textId="7A56EE23">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Murfee</w:t>
      </w:r>
      <w:proofErr w:type="spellEnd"/>
      <w:r w:rsidRPr="166AA796" w:rsidR="166AA796">
        <w:rPr>
          <w:rFonts w:ascii="Times New Roman" w:hAnsi="Times New Roman" w:eastAsia="Times New Roman" w:cs="Times New Roman"/>
          <w:noProof w:val="0"/>
          <w:sz w:val="24"/>
          <w:szCs w:val="24"/>
          <w:lang w:val="en-GB"/>
        </w:rPr>
        <w:t>, E. (1995) Eloquent evidence: Arts at the core of learning. Washington, DC: President’s Committee on the Arts and Humanities.</w:t>
      </w:r>
    </w:p>
    <w:p w:rsidR="166AA796" w:rsidP="166AA796" w:rsidRDefault="166AA796" w14:paraId="1D138AAA" w14:textId="7B16B83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Noffke, S. E. (2009) “Revisiting the professional, personal, and political dimensions of action research”, Review of Research in Education, 22, 305 – 343.</w:t>
      </w:r>
    </w:p>
    <w:p w:rsidR="166AA796" w:rsidP="166AA796" w:rsidRDefault="166AA796" w14:paraId="0F07A899" w14:textId="1E0EA8F3">
      <w:pPr>
        <w:spacing w:after="160" w:line="360" w:lineRule="auto"/>
        <w:jc w:val="left"/>
        <w:rPr>
          <w:rFonts w:ascii="Times New Roman" w:hAnsi="Times New Roman" w:eastAsia="Times New Roman" w:cs="Times New Roman"/>
          <w:noProof w:val="0"/>
          <w:sz w:val="24"/>
          <w:szCs w:val="24"/>
          <w:lang w:val="en-GB"/>
        </w:rPr>
      </w:pPr>
      <w:proofErr w:type="spellStart"/>
      <w:r w:rsidRPr="166AA796" w:rsidR="166AA796">
        <w:rPr>
          <w:rFonts w:ascii="Times New Roman" w:hAnsi="Times New Roman" w:eastAsia="Times New Roman" w:cs="Times New Roman"/>
          <w:noProof w:val="0"/>
          <w:sz w:val="24"/>
          <w:szCs w:val="24"/>
          <w:lang w:val="en-GB"/>
        </w:rPr>
        <w:t>Oksiutycz, A. &amp; Azionya, C. (2017) “Using action research for curriculum development and improving the learning experience: a case study”, South African Journal of Higher Education, 31, (3), 193 – 208.</w:t>
      </w:r>
      <w:proofErr w:type="spellEnd"/>
    </w:p>
    <w:p w:rsidR="166AA796" w:rsidP="166AA796" w:rsidRDefault="166AA796" w14:paraId="1217EB86" w14:textId="077EE8B7">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Parsons, M. (2011) “Art and Integrated Curriculum”, in Handbook of Research and Policy in Art Education, ed. Eisner, E. W. &amp; Day, M. D. New York: Routledge.</w:t>
      </w:r>
    </w:p>
    <w:p w:rsidR="166AA796" w:rsidP="166AA796" w:rsidRDefault="166AA796" w14:paraId="07EE1AEA" w14:textId="2437BC0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Public Health England (2018) The Eatwell Guide. London: British Government.</w:t>
      </w:r>
    </w:p>
    <w:p w:rsidR="166AA796" w:rsidP="166AA796" w:rsidRDefault="166AA796" w14:paraId="58F47AD3" w14:textId="28F4F590">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Pritchard, A. (2009) Ways of Learning: Learning theories and learning styles in the classroom (2</w:t>
      </w:r>
      <w:r w:rsidRPr="166AA796" w:rsidR="166AA796">
        <w:rPr>
          <w:rFonts w:ascii="Times New Roman" w:hAnsi="Times New Roman" w:eastAsia="Times New Roman" w:cs="Times New Roman"/>
          <w:noProof w:val="0"/>
          <w:sz w:val="24"/>
          <w:szCs w:val="24"/>
          <w:vertAlign w:val="superscript"/>
          <w:lang w:val="en-GB"/>
        </w:rPr>
        <w:t>nd</w:t>
      </w:r>
      <w:r w:rsidRPr="166AA796" w:rsidR="166AA796">
        <w:rPr>
          <w:rFonts w:ascii="Times New Roman" w:hAnsi="Times New Roman" w:eastAsia="Times New Roman" w:cs="Times New Roman"/>
          <w:noProof w:val="0"/>
          <w:sz w:val="24"/>
          <w:szCs w:val="24"/>
          <w:lang w:val="en-GB"/>
        </w:rPr>
        <w:t xml:space="preserve"> edition). London: Routeledge. </w:t>
      </w:r>
    </w:p>
    <w:p w:rsidR="166AA796" w:rsidP="166AA796" w:rsidRDefault="166AA796" w14:paraId="31B4A47B" w14:textId="5AD05D32">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Shak, P. (2016) “Taken for a ride: students’ coping strategies for free-riding in group work”, Pertankia Journal of Social Science and Humanities, 24, (1), 401 – 413.</w:t>
      </w:r>
    </w:p>
    <w:p w:rsidR="166AA796" w:rsidP="166AA796" w:rsidRDefault="166AA796" w14:paraId="06BE2BDC" w14:textId="02EDC5F5">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 xml:space="preserve">Steers, J. (2003) “Art and design in the UK: The theory gap”, in Issues in Art &amp; Design Teaching, ed. Addison, N. &amp; Burgess, </w:t>
      </w:r>
      <w:r w:rsidRPr="166AA796" w:rsidR="166AA796">
        <w:rPr>
          <w:rFonts w:ascii="Times New Roman" w:hAnsi="Times New Roman" w:eastAsia="Times New Roman" w:cs="Times New Roman"/>
          <w:noProof w:val="0"/>
          <w:sz w:val="24"/>
          <w:szCs w:val="24"/>
          <w:lang w:val="en-GB"/>
        </w:rPr>
        <w:t>L.</w:t>
      </w:r>
      <w:r w:rsidRPr="166AA796" w:rsidR="166AA796">
        <w:rPr>
          <w:rFonts w:ascii="Times New Roman" w:hAnsi="Times New Roman" w:eastAsia="Times New Roman" w:cs="Times New Roman"/>
          <w:noProof w:val="0"/>
          <w:sz w:val="24"/>
          <w:szCs w:val="24"/>
          <w:lang w:val="en-GB"/>
        </w:rPr>
        <w:t xml:space="preserve"> London: Routledge Falmer.</w:t>
      </w:r>
    </w:p>
    <w:p w:rsidR="166AA796" w:rsidP="166AA796" w:rsidRDefault="166AA796" w14:paraId="558203A9" w14:textId="0AE28517">
      <w:pPr>
        <w:spacing w:after="160" w:line="360" w:lineRule="auto"/>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GB"/>
        </w:rPr>
        <w:t>Thornton, A. (2013) Artist, Researcher, Teacher: A study of professional identity in art and education. Bristol: Intellect.</w:t>
      </w:r>
    </w:p>
    <w:p w:rsidR="166AA796" w:rsidP="166AA796" w:rsidRDefault="166AA796" w14:paraId="221FA1F7" w14:textId="6392BA79">
      <w:pPr>
        <w:spacing w:after="160" w:line="360" w:lineRule="auto"/>
        <w:jc w:val="left"/>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US"/>
        </w:rPr>
        <w:t xml:space="preserve">Welsh Government, (2018). School X. Available at: </w:t>
      </w:r>
      <w:r w:rsidRPr="166AA796" w:rsidR="166AA796">
        <w:rPr>
          <w:rFonts w:ascii="Times New Roman" w:hAnsi="Times New Roman" w:eastAsia="Times New Roman" w:cs="Times New Roman"/>
          <w:noProof w:val="0"/>
          <w:sz w:val="24"/>
          <w:szCs w:val="24"/>
          <w:lang w:val="en-US"/>
        </w:rPr>
        <w:t>http://mylocalschool.wales.gov.uk</w:t>
      </w:r>
      <w:r w:rsidRPr="166AA796" w:rsidR="166AA796">
        <w:rPr>
          <w:rFonts w:ascii="Times New Roman" w:hAnsi="Times New Roman" w:eastAsia="Times New Roman" w:cs="Times New Roman"/>
          <w:noProof w:val="0"/>
          <w:sz w:val="24"/>
          <w:szCs w:val="24"/>
          <w:lang w:val="en-US"/>
        </w:rPr>
        <w:t xml:space="preserve"> [accessed: 12</w:t>
      </w:r>
      <w:r w:rsidRPr="166AA796" w:rsidR="166AA796">
        <w:rPr>
          <w:rFonts w:ascii="Times New Roman" w:hAnsi="Times New Roman" w:eastAsia="Times New Roman" w:cs="Times New Roman"/>
          <w:noProof w:val="0"/>
          <w:sz w:val="24"/>
          <w:szCs w:val="24"/>
          <w:vertAlign w:val="superscript"/>
          <w:lang w:val="en-US"/>
        </w:rPr>
        <w:t>th</w:t>
      </w:r>
      <w:r w:rsidRPr="166AA796" w:rsidR="166AA796">
        <w:rPr>
          <w:rFonts w:ascii="Times New Roman" w:hAnsi="Times New Roman" w:eastAsia="Times New Roman" w:cs="Times New Roman"/>
          <w:noProof w:val="0"/>
          <w:sz w:val="24"/>
          <w:szCs w:val="24"/>
          <w:lang w:val="en-US"/>
        </w:rPr>
        <w:t xml:space="preserve"> March 2019].</w:t>
      </w:r>
    </w:p>
    <w:p w:rsidR="166AA796" w:rsidP="166AA796" w:rsidRDefault="166AA796" w14:paraId="4B29EFDD" w14:textId="1E48510D">
      <w:pPr>
        <w:spacing w:after="160" w:line="360" w:lineRule="auto"/>
        <w:rPr>
          <w:rFonts w:ascii="Times New Roman" w:hAnsi="Times New Roman" w:eastAsia="Times New Roman" w:cs="Times New Roman"/>
          <w:noProof w:val="0"/>
          <w:sz w:val="24"/>
          <w:szCs w:val="24"/>
          <w:lang w:val="en-GB"/>
        </w:rPr>
      </w:pPr>
      <w:r w:rsidRPr="166AA796" w:rsidR="166AA796">
        <w:rPr>
          <w:rFonts w:ascii="Times New Roman" w:hAnsi="Times New Roman" w:eastAsia="Times New Roman" w:cs="Times New Roman"/>
          <w:noProof w:val="0"/>
          <w:sz w:val="24"/>
          <w:szCs w:val="24"/>
          <w:lang w:val="en-US"/>
        </w:rPr>
        <w:t>Welsh Government, (2013). National Literacy and Numeracy Framework. Cardiff: Welsh Government.</w:t>
      </w:r>
    </w:p>
    <w:p w:rsidR="166AA796" w:rsidP="166AA796" w:rsidRDefault="166AA796" w14:paraId="5DFB8851" w14:textId="21CFC792">
      <w:pPr>
        <w:pStyle w:val="Normal"/>
        <w:rPr>
          <w:rFonts w:ascii="Times New Roman" w:hAnsi="Times New Roman" w:eastAsia="Times New Roman" w:cs="Times New Roman"/>
          <w:noProof w:val="0"/>
          <w:sz w:val="22"/>
          <w:szCs w:val="22"/>
          <w:lang w:val="en-GB"/>
        </w:rPr>
      </w:pPr>
    </w:p>
    <w:p w:rsidR="166AA796" w:rsidP="166AA796" w:rsidRDefault="166AA796" w14:paraId="2F637D30" w14:textId="55159096">
      <w:pPr>
        <w:rPr>
          <w:rFonts w:ascii="Times New Roman" w:hAnsi="Times New Roman" w:eastAsia="Times New Roman" w:cs="Times New Roman"/>
          <w:noProof w:val="0"/>
          <w:sz w:val="22"/>
          <w:szCs w:val="22"/>
          <w:lang w:val="en-GB"/>
        </w:rPr>
      </w:pPr>
    </w:p>
    <w:p w:rsidR="166AA796" w:rsidP="166AA796" w:rsidRDefault="166AA796" w14:paraId="4E4D88BB" w14:textId="022D68F6">
      <w:pPr>
        <w:rPr>
          <w:rFonts w:ascii="Times New Roman" w:hAnsi="Times New Roman" w:eastAsia="Times New Roman" w:cs="Times New Roman"/>
          <w:noProof w:val="0"/>
          <w:sz w:val="22"/>
          <w:szCs w:val="22"/>
          <w:lang w:val="en-GB"/>
        </w:rPr>
      </w:pPr>
    </w:p>
    <w:p w:rsidR="166AA796" w:rsidP="166AA796" w:rsidRDefault="166AA796" w14:paraId="3D0EFD3F" w14:textId="4C1225B9">
      <w:pPr>
        <w:rPr>
          <w:rFonts w:ascii="Times New Roman" w:hAnsi="Times New Roman" w:eastAsia="Times New Roman" w:cs="Times New Roman"/>
          <w:noProof w:val="0"/>
          <w:sz w:val="22"/>
          <w:szCs w:val="22"/>
          <w:lang w:val="en-GB"/>
        </w:rPr>
      </w:pPr>
    </w:p>
    <w:p w:rsidR="166AA796" w:rsidP="166AA796" w:rsidRDefault="166AA796" w14:paraId="7266BA5E" w14:textId="73628D89">
      <w:pPr>
        <w:pStyle w:val="Normal"/>
      </w:pPr>
    </w:p>
    <w:sectPr w:rsidRPr="004928E6" w:rsidR="004928E6" w:rsidSect="00E349A9">
      <w:pgSz w:w="11900" w:h="16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8E6"/>
    <w:rsid w:val="0003237B"/>
    <w:rsid w:val="003A7484"/>
    <w:rsid w:val="004928E6"/>
    <w:rsid w:val="00504D95"/>
    <w:rsid w:val="005860E5"/>
    <w:rsid w:val="00E349A9"/>
    <w:rsid w:val="166AA796"/>
    <w:rsid w:val="3D779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3CE18A"/>
  <w14:defaultImageDpi w14:val="32767"/>
  <w15:chartTrackingRefBased/>
  <w15:docId w15:val="{FBCACFD7-F4B4-8A45-BCBC-C7A9DD23A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004928E6"/>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4928E6"/>
    <w:pPr>
      <w:keepNext/>
      <w:jc w:val="both"/>
      <w:outlineLvl w:val="1"/>
    </w:pPr>
    <w:rPr>
      <w:b/>
      <w:sz w:val="24"/>
    </w:rPr>
  </w:style>
  <w:style w:type="paragraph" w:styleId="Heading4">
    <w:name w:val="heading 4"/>
    <w:basedOn w:val="Normal"/>
    <w:next w:val="Normal"/>
    <w:link w:val="Heading4Char"/>
    <w:qFormat/>
    <w:rsid w:val="004928E6"/>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4928E6"/>
    <w:rPr>
      <w:rFonts w:ascii="Times New Roman" w:hAnsi="Times New Roman" w:eastAsia="Times New Roman" w:cs="Times New Roman"/>
      <w:b/>
      <w:szCs w:val="20"/>
      <w:lang w:eastAsia="en-GB"/>
    </w:rPr>
  </w:style>
  <w:style w:type="character" w:styleId="Heading4Char" w:customStyle="1">
    <w:name w:val="Heading 4 Char"/>
    <w:basedOn w:val="DefaultParagraphFont"/>
    <w:link w:val="Heading4"/>
    <w:rsid w:val="004928E6"/>
    <w:rPr>
      <w:rFonts w:ascii="Times New Roman" w:hAnsi="Times New Roman" w:eastAsia="Times New Roman" w:cs="Times New Roman"/>
      <w:sz w:val="40"/>
      <w:szCs w:val="20"/>
      <w:lang w:eastAsia="en-GB"/>
    </w:rPr>
  </w:style>
  <w:style w:type="paragraph" w:styleId="Header">
    <w:name w:val="header"/>
    <w:basedOn w:val="Normal"/>
    <w:link w:val="HeaderChar"/>
    <w:rsid w:val="004928E6"/>
    <w:pPr>
      <w:tabs>
        <w:tab w:val="center" w:pos="4153"/>
        <w:tab w:val="right" w:pos="8306"/>
      </w:tabs>
    </w:pPr>
  </w:style>
  <w:style w:type="character" w:styleId="HeaderChar" w:customStyle="1">
    <w:name w:val="Header Char"/>
    <w:basedOn w:val="DefaultParagraphFont"/>
    <w:link w:val="Header"/>
    <w:rsid w:val="004928E6"/>
    <w:rPr>
      <w:rFonts w:ascii="Times New Roman" w:hAnsi="Times New Roman" w:eastAsia="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image" Target="cid:image001.png@01D0EA4A.2BD679A0" TargetMode="External" Id="rId5" /><Relationship Type="http://schemas.openxmlformats.org/officeDocument/2006/relationships/image" Target="media/image1.png"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Denny</dc:creator>
  <keywords/>
  <dc:description/>
  <lastModifiedBy>Kelly Jones (1804366)</lastModifiedBy>
  <revision>4</revision>
  <dcterms:created xsi:type="dcterms:W3CDTF">2019-05-02T14:05:00.0000000Z</dcterms:created>
  <dcterms:modified xsi:type="dcterms:W3CDTF">2019-05-12T00:40:09.6635139Z</dcterms:modified>
</coreProperties>
</file>