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1AEF" w:rsidRDefault="004D1AEF">
      <w:pPr>
        <w:rPr>
          <w:rFonts w:ascii="Arial" w:hAnsi="Arial" w:cs="Arial"/>
          <w:b/>
          <w:sz w:val="28"/>
          <w:szCs w:val="28"/>
        </w:rPr>
      </w:pPr>
      <w:r>
        <w:rPr>
          <w:rFonts w:ascii="Arial" w:hAnsi="Arial" w:cs="Arial"/>
          <w:b/>
          <w:sz w:val="28"/>
          <w:szCs w:val="28"/>
        </w:rPr>
        <w:t>Melda Grantham 0102024</w:t>
      </w:r>
    </w:p>
    <w:p w:rsidR="004D1AEF" w:rsidRDefault="004D1AEF">
      <w:pPr>
        <w:rPr>
          <w:rFonts w:ascii="Arial" w:hAnsi="Arial" w:cs="Arial"/>
          <w:b/>
          <w:sz w:val="28"/>
          <w:szCs w:val="28"/>
        </w:rPr>
      </w:pPr>
      <w:r>
        <w:rPr>
          <w:rFonts w:ascii="Arial" w:hAnsi="Arial" w:cs="Arial"/>
          <w:b/>
          <w:sz w:val="28"/>
          <w:szCs w:val="28"/>
        </w:rPr>
        <w:t xml:space="preserve">Word Count: </w:t>
      </w:r>
      <w:r w:rsidR="0062548C">
        <w:rPr>
          <w:rFonts w:ascii="Arial" w:hAnsi="Arial" w:cs="Arial"/>
          <w:b/>
          <w:sz w:val="28"/>
          <w:szCs w:val="28"/>
        </w:rPr>
        <w:t>2109</w:t>
      </w:r>
      <w:bookmarkStart w:id="0" w:name="_GoBack"/>
      <w:bookmarkEnd w:id="0"/>
    </w:p>
    <w:p w:rsidR="004D1AEF" w:rsidRDefault="002F1856">
      <w:pPr>
        <w:rPr>
          <w:rFonts w:ascii="Arial" w:hAnsi="Arial" w:cs="Arial"/>
          <w:b/>
          <w:sz w:val="28"/>
          <w:szCs w:val="28"/>
        </w:rPr>
      </w:pPr>
      <w:r>
        <w:rPr>
          <w:rFonts w:ascii="Arial" w:hAnsi="Arial" w:cs="Arial"/>
          <w:b/>
          <w:sz w:val="28"/>
          <w:szCs w:val="28"/>
        </w:rPr>
        <w:t>Module 1 TRDL 6017 Asses</w:t>
      </w:r>
      <w:r w:rsidR="004D1AEF">
        <w:rPr>
          <w:rFonts w:ascii="Arial" w:hAnsi="Arial" w:cs="Arial"/>
          <w:b/>
          <w:sz w:val="28"/>
          <w:szCs w:val="28"/>
        </w:rPr>
        <w:t>sment  2</w:t>
      </w:r>
    </w:p>
    <w:p w:rsidR="004D1AEF" w:rsidRDefault="004D1AEF">
      <w:pPr>
        <w:rPr>
          <w:rFonts w:ascii="Arial" w:hAnsi="Arial" w:cs="Arial"/>
          <w:b/>
          <w:sz w:val="28"/>
          <w:szCs w:val="28"/>
        </w:rPr>
      </w:pPr>
      <w:r>
        <w:rPr>
          <w:rFonts w:ascii="Arial" w:hAnsi="Arial" w:cs="Arial"/>
          <w:b/>
          <w:sz w:val="28"/>
          <w:szCs w:val="28"/>
        </w:rPr>
        <w:t xml:space="preserve">Annotated Bibliography </w:t>
      </w:r>
    </w:p>
    <w:p w:rsidR="00CB63D2" w:rsidRDefault="004D1AEF" w:rsidP="00CB63D2">
      <w:pPr>
        <w:rPr>
          <w:rFonts w:ascii="Arial" w:hAnsi="Arial" w:cs="Arial"/>
          <w:b/>
          <w:sz w:val="24"/>
          <w:szCs w:val="24"/>
        </w:rPr>
      </w:pPr>
      <w:r>
        <w:rPr>
          <w:rFonts w:ascii="Arial" w:hAnsi="Arial" w:cs="Arial"/>
          <w:b/>
          <w:sz w:val="24"/>
          <w:szCs w:val="24"/>
        </w:rPr>
        <w:t>Essay title: What might be meant by “public theology” and how (if at all) it should be done</w:t>
      </w:r>
      <w:r w:rsidR="00CB63D2">
        <w:rPr>
          <w:rFonts w:ascii="Arial" w:hAnsi="Arial" w:cs="Arial"/>
          <w:b/>
          <w:sz w:val="24"/>
          <w:szCs w:val="24"/>
        </w:rPr>
        <w:t>.</w:t>
      </w:r>
    </w:p>
    <w:p w:rsidR="00CB63D2" w:rsidRDefault="00CB63D2" w:rsidP="00CB63D2">
      <w:pPr>
        <w:rPr>
          <w:rFonts w:ascii="Arial" w:hAnsi="Arial" w:cs="Arial"/>
          <w:b/>
          <w:sz w:val="24"/>
          <w:szCs w:val="24"/>
        </w:rPr>
      </w:pPr>
    </w:p>
    <w:p w:rsidR="00CB63D2" w:rsidRPr="003A020D" w:rsidRDefault="002F1856" w:rsidP="00CB63D2">
      <w:pPr>
        <w:rPr>
          <w:rFonts w:ascii="Arial" w:hAnsi="Arial" w:cs="Arial"/>
          <w:sz w:val="24"/>
          <w:szCs w:val="24"/>
        </w:rPr>
      </w:pPr>
      <w:r>
        <w:rPr>
          <w:rFonts w:ascii="Arial" w:hAnsi="Arial" w:cs="Arial"/>
          <w:sz w:val="24"/>
          <w:szCs w:val="24"/>
        </w:rPr>
        <w:t>Bromell</w:t>
      </w:r>
      <w:r w:rsidR="003A020D">
        <w:rPr>
          <w:rFonts w:ascii="Arial" w:hAnsi="Arial" w:cs="Arial"/>
          <w:sz w:val="24"/>
          <w:szCs w:val="24"/>
        </w:rPr>
        <w:t>,</w:t>
      </w:r>
      <w:r>
        <w:rPr>
          <w:rFonts w:ascii="Arial" w:hAnsi="Arial" w:cs="Arial"/>
          <w:sz w:val="24"/>
          <w:szCs w:val="24"/>
        </w:rPr>
        <w:t xml:space="preserve"> D. </w:t>
      </w:r>
      <w:r w:rsidR="003A020D">
        <w:rPr>
          <w:rFonts w:ascii="Arial" w:hAnsi="Arial" w:cs="Arial"/>
          <w:sz w:val="24"/>
          <w:szCs w:val="24"/>
        </w:rPr>
        <w:t>‘</w:t>
      </w:r>
      <w:r w:rsidR="00CB63D2">
        <w:rPr>
          <w:rFonts w:ascii="Arial" w:hAnsi="Arial" w:cs="Arial"/>
          <w:sz w:val="24"/>
          <w:szCs w:val="24"/>
        </w:rPr>
        <w:t>What is Public Theology</w:t>
      </w:r>
      <w:r w:rsidR="003A020D">
        <w:rPr>
          <w:rFonts w:ascii="Arial" w:hAnsi="Arial" w:cs="Arial"/>
          <w:sz w:val="24"/>
          <w:szCs w:val="24"/>
        </w:rPr>
        <w:t>?’</w:t>
      </w:r>
      <w:r w:rsidR="00CB63D2" w:rsidRPr="003A020D">
        <w:rPr>
          <w:rFonts w:ascii="Arial" w:hAnsi="Arial" w:cs="Arial"/>
          <w:sz w:val="24"/>
          <w:szCs w:val="24"/>
        </w:rPr>
        <w:t xml:space="preserve"> </w:t>
      </w:r>
      <w:r w:rsidR="003A020D">
        <w:rPr>
          <w:rFonts w:ascii="Arial" w:hAnsi="Arial" w:cs="Arial"/>
          <w:sz w:val="24"/>
          <w:szCs w:val="24"/>
        </w:rPr>
        <w:t>2011</w:t>
      </w:r>
      <w:r w:rsidR="00FF3255">
        <w:rPr>
          <w:rFonts w:ascii="Arial" w:hAnsi="Arial" w:cs="Arial"/>
          <w:sz w:val="24"/>
          <w:szCs w:val="24"/>
        </w:rPr>
        <w:t>.</w:t>
      </w:r>
      <w:r w:rsidR="003A020D">
        <w:rPr>
          <w:rFonts w:ascii="Arial" w:hAnsi="Arial" w:cs="Arial"/>
          <w:sz w:val="24"/>
          <w:szCs w:val="24"/>
        </w:rPr>
        <w:t xml:space="preserve"> </w:t>
      </w:r>
      <w:hyperlink r:id="rId8" w:history="1">
        <w:r w:rsidR="00CB63D2" w:rsidRPr="00FF3255">
          <w:rPr>
            <w:rStyle w:val="Hyperlink"/>
            <w:rFonts w:ascii="Arial" w:hAnsi="Arial" w:cs="Arial"/>
            <w:sz w:val="24"/>
            <w:szCs w:val="24"/>
          </w:rPr>
          <w:t>www.otago.ac.nz/ctpi/otago032508.pdf</w:t>
        </w:r>
      </w:hyperlink>
      <w:r w:rsidR="00CB63D2" w:rsidRPr="003A020D">
        <w:rPr>
          <w:rFonts w:ascii="Arial" w:hAnsi="Arial" w:cs="Arial"/>
          <w:i/>
          <w:sz w:val="24"/>
          <w:szCs w:val="24"/>
        </w:rPr>
        <w:t xml:space="preserve"> </w:t>
      </w:r>
      <w:r w:rsidR="003A020D">
        <w:rPr>
          <w:rFonts w:ascii="Arial" w:hAnsi="Arial" w:cs="Arial"/>
          <w:sz w:val="24"/>
          <w:szCs w:val="24"/>
        </w:rPr>
        <w:t xml:space="preserve">[Accessed: </w:t>
      </w:r>
      <w:r w:rsidR="00CB63D2">
        <w:rPr>
          <w:rFonts w:ascii="Arial" w:hAnsi="Arial" w:cs="Arial"/>
          <w:sz w:val="24"/>
          <w:szCs w:val="24"/>
        </w:rPr>
        <w:t>15th January 2018]</w:t>
      </w:r>
    </w:p>
    <w:p w:rsidR="00C847D0" w:rsidRPr="00545097" w:rsidRDefault="00CB63D2" w:rsidP="00545097">
      <w:pPr>
        <w:rPr>
          <w:rFonts w:ascii="Arial" w:hAnsi="Arial" w:cs="Arial"/>
          <w:sz w:val="24"/>
          <w:szCs w:val="24"/>
        </w:rPr>
      </w:pPr>
      <w:r>
        <w:rPr>
          <w:rFonts w:ascii="Arial" w:hAnsi="Arial" w:cs="Arial"/>
          <w:sz w:val="24"/>
          <w:szCs w:val="24"/>
        </w:rPr>
        <w:t>A paper that address</w:t>
      </w:r>
      <w:r w:rsidR="00E33867">
        <w:rPr>
          <w:rFonts w:ascii="Arial" w:hAnsi="Arial" w:cs="Arial"/>
          <w:sz w:val="24"/>
          <w:szCs w:val="24"/>
        </w:rPr>
        <w:t>es</w:t>
      </w:r>
      <w:r>
        <w:rPr>
          <w:rFonts w:ascii="Arial" w:hAnsi="Arial" w:cs="Arial"/>
          <w:sz w:val="24"/>
          <w:szCs w:val="24"/>
        </w:rPr>
        <w:t xml:space="preserve"> four important questions regarding what the proper task of public theology is, whether it has a proper claim to be “taught and practised as an academic discipline in a state-funded university”; and if it is, sho</w:t>
      </w:r>
      <w:r w:rsidR="003A020D">
        <w:rPr>
          <w:rFonts w:ascii="Arial" w:hAnsi="Arial" w:cs="Arial"/>
          <w:sz w:val="24"/>
          <w:szCs w:val="24"/>
        </w:rPr>
        <w:t>uld it necessarily be Christian</w:t>
      </w:r>
      <w:r w:rsidR="002F1856">
        <w:rPr>
          <w:rFonts w:ascii="Arial" w:hAnsi="Arial" w:cs="Arial"/>
          <w:sz w:val="24"/>
          <w:szCs w:val="24"/>
        </w:rPr>
        <w:t xml:space="preserve"> theology; and finally, </w:t>
      </w:r>
      <w:r>
        <w:rPr>
          <w:rFonts w:ascii="Arial" w:hAnsi="Arial" w:cs="Arial"/>
          <w:sz w:val="24"/>
          <w:szCs w:val="24"/>
        </w:rPr>
        <w:t>what is meant by “public”? Bromell has a PhD in Systematic Theology from the University of Otago, New Zealand and is also Principal Advisor in the Ministry of Social Development as well as a Senior Associate of the Institute of Policy Studies, School of Government, Victoria University of Wellington and writes primarily about the situation in New Zealand, although much of what he says could be applied to other countries</w:t>
      </w:r>
      <w:r w:rsidR="003A020D">
        <w:rPr>
          <w:rFonts w:ascii="Arial" w:hAnsi="Arial" w:cs="Arial"/>
          <w:sz w:val="24"/>
          <w:szCs w:val="24"/>
        </w:rPr>
        <w:t>,</w:t>
      </w:r>
      <w:r>
        <w:rPr>
          <w:rFonts w:ascii="Arial" w:hAnsi="Arial" w:cs="Arial"/>
          <w:sz w:val="24"/>
          <w:szCs w:val="24"/>
        </w:rPr>
        <w:t xml:space="preserve"> such as the UK. Drawing on the works of Schubert Ogden he categorizes theology in to four branches, and adds public theology to the list of historical, systematic and applied theologies, claiming that it is a form of applied theology, and defines it thus; “critical thinking, with others, about religious faith and public life”. Bromell regards public theology as an academic discipline which if it is to be taken seriously must offer more than “an interpretation of principles, values or insights from scripture and tradition applied to contempor</w:t>
      </w:r>
      <w:r w:rsidR="00545097">
        <w:rPr>
          <w:rFonts w:ascii="Arial" w:hAnsi="Arial" w:cs="Arial"/>
          <w:sz w:val="24"/>
          <w:szCs w:val="24"/>
        </w:rPr>
        <w:t xml:space="preserve">ary questions of public life”. </w:t>
      </w:r>
      <w:r w:rsidR="00C847D0" w:rsidRPr="00C847D0">
        <w:rPr>
          <w:rFonts w:ascii="Arial" w:eastAsia="Times New Roman" w:hAnsi="Arial" w:cs="Arial"/>
          <w:vanish/>
          <w:sz w:val="16"/>
          <w:szCs w:val="16"/>
          <w:lang w:eastAsia="en-GB"/>
        </w:rPr>
        <w:t>Bottom of Form</w:t>
      </w:r>
    </w:p>
    <w:p w:rsidR="00E33867" w:rsidRDefault="00E33867" w:rsidP="00CB63D2">
      <w:pPr>
        <w:rPr>
          <w:rFonts w:ascii="Arial" w:hAnsi="Arial" w:cs="Arial"/>
          <w:sz w:val="24"/>
          <w:szCs w:val="24"/>
        </w:rPr>
      </w:pPr>
    </w:p>
    <w:p w:rsidR="00C847D0" w:rsidRPr="00C847D0" w:rsidRDefault="002F1856" w:rsidP="00CB63D2">
      <w:pPr>
        <w:rPr>
          <w:rFonts w:ascii="Arial" w:hAnsi="Arial" w:cs="Arial"/>
          <w:sz w:val="24"/>
          <w:szCs w:val="24"/>
        </w:rPr>
      </w:pPr>
      <w:r>
        <w:rPr>
          <w:rFonts w:ascii="Arial" w:hAnsi="Arial" w:cs="Arial"/>
          <w:sz w:val="24"/>
          <w:szCs w:val="24"/>
        </w:rPr>
        <w:t>Forrester, Duncan B.</w:t>
      </w:r>
      <w:r w:rsidR="00C847D0">
        <w:rPr>
          <w:rFonts w:ascii="Arial" w:hAnsi="Arial" w:cs="Arial"/>
          <w:sz w:val="24"/>
          <w:szCs w:val="24"/>
        </w:rPr>
        <w:t xml:space="preserve">, ‘The Scope of Public Theology’, </w:t>
      </w:r>
      <w:r w:rsidR="00C847D0">
        <w:rPr>
          <w:rFonts w:ascii="Arial" w:hAnsi="Arial" w:cs="Arial"/>
          <w:i/>
          <w:sz w:val="24"/>
          <w:szCs w:val="24"/>
        </w:rPr>
        <w:t xml:space="preserve">Studies in Christian Ethics, </w:t>
      </w:r>
      <w:r w:rsidR="00C847D0">
        <w:rPr>
          <w:rFonts w:ascii="Arial" w:hAnsi="Arial" w:cs="Arial"/>
          <w:sz w:val="24"/>
          <w:szCs w:val="24"/>
        </w:rPr>
        <w:t xml:space="preserve">Vol 17, No. 2, Aug, 2004, pp. 5-19.[Online]. Available at </w:t>
      </w:r>
      <w:hyperlink r:id="rId9" w:history="1">
        <w:r w:rsidR="00C847D0" w:rsidRPr="00365BB0">
          <w:rPr>
            <w:rStyle w:val="Hyperlink"/>
            <w:rFonts w:ascii="Arial" w:hAnsi="Arial" w:cs="Arial"/>
            <w:sz w:val="24"/>
            <w:szCs w:val="24"/>
          </w:rPr>
          <w:t>https://doi.org/10.1177/095394680401700209</w:t>
        </w:r>
      </w:hyperlink>
      <w:r w:rsidR="00C847D0">
        <w:rPr>
          <w:rFonts w:ascii="Arial" w:hAnsi="Arial" w:cs="Arial"/>
          <w:sz w:val="24"/>
          <w:szCs w:val="24"/>
        </w:rPr>
        <w:t xml:space="preserve"> [Accessed</w:t>
      </w:r>
      <w:r w:rsidR="00545097">
        <w:rPr>
          <w:rFonts w:ascii="Arial" w:hAnsi="Arial" w:cs="Arial"/>
          <w:sz w:val="24"/>
          <w:szCs w:val="24"/>
        </w:rPr>
        <w:t>: 19</w:t>
      </w:r>
      <w:r w:rsidR="00545097" w:rsidRPr="00545097">
        <w:rPr>
          <w:rFonts w:ascii="Arial" w:hAnsi="Arial" w:cs="Arial"/>
          <w:sz w:val="24"/>
          <w:szCs w:val="24"/>
          <w:vertAlign w:val="superscript"/>
        </w:rPr>
        <w:t>th</w:t>
      </w:r>
      <w:r w:rsidR="00545097">
        <w:rPr>
          <w:rFonts w:ascii="Arial" w:hAnsi="Arial" w:cs="Arial"/>
          <w:sz w:val="24"/>
          <w:szCs w:val="24"/>
        </w:rPr>
        <w:t xml:space="preserve"> January 2018]</w:t>
      </w:r>
    </w:p>
    <w:p w:rsidR="00CB63D2" w:rsidRDefault="00A872B6" w:rsidP="00CB63D2">
      <w:pPr>
        <w:rPr>
          <w:rFonts w:ascii="Arial" w:hAnsi="Arial" w:cs="Arial"/>
          <w:sz w:val="24"/>
          <w:szCs w:val="24"/>
        </w:rPr>
      </w:pPr>
      <w:r>
        <w:rPr>
          <w:rFonts w:ascii="Arial" w:hAnsi="Arial" w:cs="Arial"/>
          <w:sz w:val="24"/>
          <w:szCs w:val="24"/>
        </w:rPr>
        <w:lastRenderedPageBreak/>
        <w:t>Examining the changing role of public theology since the World Missionary Conference of 1910 to the present, in this article Forrester concludes that the changes made were in response to political and ideological  changes, and that this presents new challenges to</w:t>
      </w:r>
      <w:r w:rsidR="001D4895">
        <w:rPr>
          <w:rFonts w:ascii="Arial" w:hAnsi="Arial" w:cs="Arial"/>
          <w:sz w:val="24"/>
          <w:szCs w:val="24"/>
        </w:rPr>
        <w:t xml:space="preserve">day. He traces the development of public theology from the type of confessional ethics that arose out of the German Church Struggle, through the realist ecumenical ethics which owed much to Reinhold Niebuhr and Ronald Preston to the “radically new challenges” facing public theology following the end of the Cold War and the events of 9/11. </w:t>
      </w:r>
      <w:r w:rsidR="00543F4B">
        <w:rPr>
          <w:rFonts w:ascii="Arial" w:hAnsi="Arial" w:cs="Arial"/>
          <w:sz w:val="24"/>
          <w:szCs w:val="24"/>
        </w:rPr>
        <w:t>He sees public theology as a theology which “seeks the welfare of the city before protecting the interests of the Church”. He defines it further by adding “it seeks to deploy theology in public debate, rather than a vague and optimistic idealism which tends to disintegrate in the face</w:t>
      </w:r>
      <w:r w:rsidR="001D277F">
        <w:rPr>
          <w:rFonts w:ascii="Arial" w:hAnsi="Arial" w:cs="Arial"/>
          <w:sz w:val="24"/>
          <w:szCs w:val="24"/>
        </w:rPr>
        <w:t xml:space="preserve"> of radical evil.” This article by a prolific writer and founder of the Centre for Theology and Public Issues at New College, University of Edinburgh provides a clear route through the evolvement of Public Theology and concludes that although the challenges facing public theology t</w:t>
      </w:r>
      <w:r w:rsidR="000249FD">
        <w:rPr>
          <w:rFonts w:ascii="Arial" w:hAnsi="Arial" w:cs="Arial"/>
          <w:sz w:val="24"/>
          <w:szCs w:val="24"/>
        </w:rPr>
        <w:t>oday are “urgent and demanding”</w:t>
      </w:r>
      <w:r w:rsidR="001D277F">
        <w:rPr>
          <w:rFonts w:ascii="Arial" w:hAnsi="Arial" w:cs="Arial"/>
          <w:sz w:val="24"/>
          <w:szCs w:val="24"/>
        </w:rPr>
        <w:t xml:space="preserve"> any theology that is prepared to </w:t>
      </w:r>
      <w:r w:rsidR="000249FD">
        <w:rPr>
          <w:rFonts w:ascii="Arial" w:hAnsi="Arial" w:cs="Arial"/>
          <w:sz w:val="24"/>
          <w:szCs w:val="24"/>
        </w:rPr>
        <w:t xml:space="preserve">take this new agenda seriously is capable of making a difference. </w:t>
      </w:r>
    </w:p>
    <w:p w:rsidR="00542CE9" w:rsidRDefault="00542CE9" w:rsidP="00CB63D2">
      <w:pPr>
        <w:rPr>
          <w:rFonts w:ascii="Arial" w:hAnsi="Arial" w:cs="Arial"/>
          <w:sz w:val="24"/>
          <w:szCs w:val="24"/>
        </w:rPr>
      </w:pPr>
    </w:p>
    <w:p w:rsidR="00542CE9" w:rsidRPr="002F1856" w:rsidRDefault="002F1856" w:rsidP="00CB63D2">
      <w:pPr>
        <w:rPr>
          <w:rFonts w:ascii="Arial" w:hAnsi="Arial" w:cs="Arial"/>
          <w:sz w:val="24"/>
          <w:szCs w:val="24"/>
        </w:rPr>
      </w:pPr>
      <w:r>
        <w:rPr>
          <w:rFonts w:ascii="Arial" w:hAnsi="Arial" w:cs="Arial"/>
          <w:sz w:val="24"/>
          <w:szCs w:val="24"/>
        </w:rPr>
        <w:t xml:space="preserve">Graham, E.L. ‘Why Public Theology must go Public’, </w:t>
      </w:r>
      <w:r>
        <w:rPr>
          <w:rFonts w:ascii="Arial" w:hAnsi="Arial" w:cs="Arial"/>
          <w:i/>
          <w:sz w:val="24"/>
          <w:szCs w:val="24"/>
        </w:rPr>
        <w:t>Practical Theology,</w:t>
      </w:r>
      <w:r>
        <w:rPr>
          <w:rFonts w:ascii="Arial" w:hAnsi="Arial" w:cs="Arial"/>
          <w:sz w:val="24"/>
          <w:szCs w:val="24"/>
        </w:rPr>
        <w:t xml:space="preserve"> Vol.1, No. 1, 2008, pp. 11-17 [online] </w:t>
      </w:r>
      <w:r w:rsidR="00B808AA">
        <w:rPr>
          <w:rFonts w:ascii="Arial" w:hAnsi="Arial" w:cs="Arial"/>
          <w:sz w:val="24"/>
          <w:szCs w:val="24"/>
        </w:rPr>
        <w:t xml:space="preserve"> Available at: </w:t>
      </w:r>
      <w:hyperlink r:id="rId10" w:history="1">
        <w:r w:rsidRPr="00365BB0">
          <w:rPr>
            <w:rStyle w:val="Hyperlink"/>
            <w:rFonts w:ascii="Arial" w:hAnsi="Arial" w:cs="Arial"/>
            <w:sz w:val="24"/>
            <w:szCs w:val="24"/>
          </w:rPr>
          <w:t>http://web.a.ebscohost.com.ezproxy.uwtsd.ac.uk/ehost/pdfviewer/pdfviewer?vid=1&amp;sid=24e14ccd-987c-4360-93d3-638d38fecabe%40sessionmgr4008</w:t>
        </w:r>
      </w:hyperlink>
      <w:r>
        <w:rPr>
          <w:rFonts w:ascii="Arial" w:hAnsi="Arial" w:cs="Arial"/>
          <w:sz w:val="24"/>
          <w:szCs w:val="24"/>
        </w:rPr>
        <w:t xml:space="preserve"> [Accessed: 19</w:t>
      </w:r>
      <w:r w:rsidRPr="002F1856">
        <w:rPr>
          <w:rFonts w:ascii="Arial" w:hAnsi="Arial" w:cs="Arial"/>
          <w:sz w:val="24"/>
          <w:szCs w:val="24"/>
          <w:vertAlign w:val="superscript"/>
        </w:rPr>
        <w:t>th</w:t>
      </w:r>
      <w:r>
        <w:rPr>
          <w:rFonts w:ascii="Arial" w:hAnsi="Arial" w:cs="Arial"/>
          <w:sz w:val="24"/>
          <w:szCs w:val="24"/>
        </w:rPr>
        <w:t xml:space="preserve"> January 2018]</w:t>
      </w:r>
    </w:p>
    <w:p w:rsidR="00CB63D2" w:rsidRDefault="00CB63D2" w:rsidP="00CB63D2">
      <w:pPr>
        <w:rPr>
          <w:rFonts w:ascii="Arial" w:hAnsi="Arial" w:cs="Arial"/>
          <w:sz w:val="24"/>
          <w:szCs w:val="24"/>
        </w:rPr>
      </w:pPr>
      <w:r>
        <w:rPr>
          <w:rFonts w:ascii="Arial" w:hAnsi="Arial" w:cs="Arial"/>
          <w:sz w:val="24"/>
          <w:szCs w:val="24"/>
        </w:rPr>
        <w:t xml:space="preserve">This article by Elaine Graham, Samuel Ferguson Professor of Social and pastoral theology at the University of Manchester argues that there should be “a strong affinity between pastoral studies and practical theology as conceived in the UK and the emergent field pf public theology”. She believes that it is necessary for practical theologians to continue to do their work in public if greater religious literacy is to be achieved within wider society. She applauds the fact that the UK maintains a diverse approach to pastoral studies and practical theology, and that they have not been divided in to sub-disciplines as they have been in many other countries. Furthermore she sees the understanding of the need to span a variety of contexts </w:t>
      </w:r>
      <w:r w:rsidR="00016215">
        <w:rPr>
          <w:rFonts w:ascii="Arial" w:hAnsi="Arial" w:cs="Arial"/>
          <w:sz w:val="24"/>
          <w:szCs w:val="24"/>
        </w:rPr>
        <w:t xml:space="preserve">such as health trusts, the community and voluntary sector as well as churches to be a great strength </w:t>
      </w:r>
      <w:r w:rsidR="00016215">
        <w:rPr>
          <w:rFonts w:ascii="Arial" w:hAnsi="Arial" w:cs="Arial"/>
          <w:sz w:val="24"/>
          <w:szCs w:val="24"/>
        </w:rPr>
        <w:lastRenderedPageBreak/>
        <w:t xml:space="preserve">and uniquely British. This article provides a different view of what ‘public theology’ is; enabling a further consideration of whether it is the academic discipline and extension of applied theology of Bromell and New Zealand, or a more holistic, diverse approach, combining pastoral and practical theology as Graham believes it to be in the UK. </w:t>
      </w:r>
    </w:p>
    <w:p w:rsidR="00E33867" w:rsidRDefault="00E33867" w:rsidP="00CB63D2">
      <w:pPr>
        <w:rPr>
          <w:rFonts w:ascii="Arial" w:hAnsi="Arial" w:cs="Arial"/>
          <w:sz w:val="24"/>
          <w:szCs w:val="24"/>
        </w:rPr>
      </w:pPr>
    </w:p>
    <w:p w:rsidR="00406DA7" w:rsidRDefault="002F1856">
      <w:pPr>
        <w:rPr>
          <w:rFonts w:ascii="Arial" w:hAnsi="Arial" w:cs="Arial"/>
          <w:sz w:val="24"/>
          <w:szCs w:val="24"/>
        </w:rPr>
      </w:pPr>
      <w:r>
        <w:rPr>
          <w:rFonts w:ascii="Arial" w:hAnsi="Arial" w:cs="Arial"/>
          <w:sz w:val="24"/>
          <w:szCs w:val="24"/>
        </w:rPr>
        <w:t xml:space="preserve">Ramsey, </w:t>
      </w:r>
      <w:r w:rsidR="00E03EE0">
        <w:rPr>
          <w:rFonts w:ascii="Arial" w:hAnsi="Arial" w:cs="Arial"/>
          <w:sz w:val="24"/>
          <w:szCs w:val="24"/>
        </w:rPr>
        <w:t xml:space="preserve">Paul, </w:t>
      </w:r>
      <w:r w:rsidR="00E03EE0">
        <w:rPr>
          <w:rFonts w:ascii="Arial" w:hAnsi="Arial" w:cs="Arial"/>
          <w:i/>
          <w:sz w:val="24"/>
          <w:szCs w:val="24"/>
        </w:rPr>
        <w:t>Who speaks for the Church?</w:t>
      </w:r>
      <w:r>
        <w:rPr>
          <w:rFonts w:ascii="Arial" w:hAnsi="Arial" w:cs="Arial"/>
          <w:i/>
          <w:sz w:val="24"/>
          <w:szCs w:val="24"/>
        </w:rPr>
        <w:t xml:space="preserve"> </w:t>
      </w:r>
      <w:r w:rsidR="00E03EE0">
        <w:rPr>
          <w:rFonts w:ascii="Arial" w:hAnsi="Arial" w:cs="Arial"/>
          <w:sz w:val="24"/>
          <w:szCs w:val="24"/>
        </w:rPr>
        <w:t>[</w:t>
      </w:r>
      <w:r w:rsidR="004526DA">
        <w:rPr>
          <w:rFonts w:ascii="Arial" w:hAnsi="Arial" w:cs="Arial"/>
          <w:sz w:val="24"/>
          <w:szCs w:val="24"/>
        </w:rPr>
        <w:t xml:space="preserve">Edinburgh: </w:t>
      </w:r>
      <w:r w:rsidR="00E03EE0">
        <w:rPr>
          <w:rFonts w:ascii="Arial" w:hAnsi="Arial" w:cs="Arial"/>
          <w:sz w:val="24"/>
          <w:szCs w:val="24"/>
        </w:rPr>
        <w:t>The Saint Andrew Press</w:t>
      </w:r>
      <w:r w:rsidR="00406DA7">
        <w:rPr>
          <w:rFonts w:ascii="Arial" w:hAnsi="Arial" w:cs="Arial"/>
          <w:sz w:val="24"/>
          <w:szCs w:val="24"/>
        </w:rPr>
        <w:t xml:space="preserve">, 1969] </w:t>
      </w:r>
    </w:p>
    <w:p w:rsidR="00406DA7" w:rsidRDefault="00406DA7">
      <w:pPr>
        <w:rPr>
          <w:rFonts w:ascii="Arial" w:hAnsi="Arial" w:cs="Arial"/>
          <w:sz w:val="24"/>
          <w:szCs w:val="24"/>
        </w:rPr>
      </w:pPr>
      <w:r>
        <w:rPr>
          <w:rFonts w:ascii="Arial" w:hAnsi="Arial" w:cs="Arial"/>
          <w:sz w:val="24"/>
          <w:szCs w:val="24"/>
        </w:rPr>
        <w:t xml:space="preserve">This book is a </w:t>
      </w:r>
      <w:r w:rsidR="00DA0ACD">
        <w:rPr>
          <w:rFonts w:ascii="Arial" w:hAnsi="Arial" w:cs="Arial"/>
          <w:sz w:val="24"/>
          <w:szCs w:val="24"/>
        </w:rPr>
        <w:t xml:space="preserve">partial </w:t>
      </w:r>
      <w:r>
        <w:rPr>
          <w:rFonts w:ascii="Arial" w:hAnsi="Arial" w:cs="Arial"/>
          <w:sz w:val="24"/>
          <w:szCs w:val="24"/>
        </w:rPr>
        <w:t>critique of the 1966 Geneva Conference on Church and Society an</w:t>
      </w:r>
      <w:r w:rsidR="00DA0ACD">
        <w:rPr>
          <w:rFonts w:ascii="Arial" w:hAnsi="Arial" w:cs="Arial"/>
          <w:sz w:val="24"/>
          <w:szCs w:val="24"/>
        </w:rPr>
        <w:t>d questions whether the church should confine itself to abstract, pious irrelevancies or get involved in policy making exercises</w:t>
      </w:r>
      <w:r>
        <w:rPr>
          <w:rFonts w:ascii="Arial" w:hAnsi="Arial" w:cs="Arial"/>
          <w:sz w:val="24"/>
          <w:szCs w:val="24"/>
        </w:rPr>
        <w:t xml:space="preserve">. Dr Ramsey attended the conference as an observer </w:t>
      </w:r>
      <w:r w:rsidR="00AC6661">
        <w:rPr>
          <w:rFonts w:ascii="Arial" w:hAnsi="Arial" w:cs="Arial"/>
          <w:sz w:val="24"/>
          <w:szCs w:val="24"/>
        </w:rPr>
        <w:t>and is of the view that “conference members have a tendency to produce particular policy judgments which they are not competent to make.” He states that churchmen ought to be limited to making moral judgements and any statements made should be careful not to give the impression that Christians as such “have such insights that would supplant the office of political judgment.”</w:t>
      </w:r>
      <w:r>
        <w:rPr>
          <w:rFonts w:ascii="Arial" w:hAnsi="Arial" w:cs="Arial"/>
          <w:sz w:val="24"/>
          <w:szCs w:val="24"/>
        </w:rPr>
        <w:t xml:space="preserve"> </w:t>
      </w:r>
      <w:r w:rsidR="009D10CC">
        <w:rPr>
          <w:rFonts w:ascii="Arial" w:hAnsi="Arial" w:cs="Arial"/>
          <w:sz w:val="24"/>
          <w:szCs w:val="24"/>
        </w:rPr>
        <w:t>The decision to include this book as part of my reading was ma</w:t>
      </w:r>
      <w:r w:rsidR="003B21DC">
        <w:rPr>
          <w:rFonts w:ascii="Arial" w:hAnsi="Arial" w:cs="Arial"/>
          <w:sz w:val="24"/>
          <w:szCs w:val="24"/>
        </w:rPr>
        <w:t>de to ensure that the opinion of someone who is generally opposed to the church making statements regarding public policy was considered.</w:t>
      </w:r>
    </w:p>
    <w:p w:rsidR="00DA0ACD" w:rsidRDefault="00DA0ACD">
      <w:pPr>
        <w:rPr>
          <w:rFonts w:ascii="Arial" w:hAnsi="Arial" w:cs="Arial"/>
          <w:sz w:val="24"/>
          <w:szCs w:val="24"/>
        </w:rPr>
      </w:pPr>
    </w:p>
    <w:p w:rsidR="00DA0ACD" w:rsidRDefault="00651A55">
      <w:pPr>
        <w:rPr>
          <w:rFonts w:ascii="Arial" w:hAnsi="Arial" w:cs="Arial"/>
          <w:sz w:val="24"/>
          <w:szCs w:val="24"/>
        </w:rPr>
      </w:pPr>
      <w:r>
        <w:rPr>
          <w:rFonts w:ascii="Arial" w:hAnsi="Arial" w:cs="Arial"/>
          <w:sz w:val="24"/>
          <w:szCs w:val="24"/>
        </w:rPr>
        <w:t xml:space="preserve">Ruston, Alan, and John </w:t>
      </w:r>
      <w:proofErr w:type="spellStart"/>
      <w:r>
        <w:rPr>
          <w:rFonts w:ascii="Arial" w:hAnsi="Arial" w:cs="Arial"/>
          <w:sz w:val="24"/>
          <w:szCs w:val="24"/>
        </w:rPr>
        <w:t>Storer</w:t>
      </w:r>
      <w:proofErr w:type="spellEnd"/>
      <w:r w:rsidR="009D10CC">
        <w:rPr>
          <w:rFonts w:ascii="Arial" w:hAnsi="Arial" w:cs="Arial"/>
          <w:sz w:val="24"/>
          <w:szCs w:val="24"/>
        </w:rPr>
        <w:t>,</w:t>
      </w:r>
      <w:r w:rsidR="002F1856">
        <w:rPr>
          <w:rFonts w:ascii="Arial" w:hAnsi="Arial" w:cs="Arial"/>
          <w:sz w:val="24"/>
          <w:szCs w:val="24"/>
        </w:rPr>
        <w:t xml:space="preserve"> </w:t>
      </w:r>
      <w:r w:rsidR="009D10CC">
        <w:rPr>
          <w:rFonts w:ascii="Arial" w:hAnsi="Arial" w:cs="Arial"/>
          <w:sz w:val="24"/>
          <w:szCs w:val="24"/>
        </w:rPr>
        <w:t>(</w:t>
      </w:r>
      <w:proofErr w:type="spellStart"/>
      <w:r w:rsidR="009D10CC">
        <w:rPr>
          <w:rFonts w:ascii="Arial" w:hAnsi="Arial" w:cs="Arial"/>
          <w:sz w:val="24"/>
          <w:szCs w:val="24"/>
        </w:rPr>
        <w:t>eds</w:t>
      </w:r>
      <w:proofErr w:type="spellEnd"/>
      <w:r w:rsidR="009D10CC">
        <w:rPr>
          <w:rFonts w:ascii="Arial" w:hAnsi="Arial" w:cs="Arial"/>
          <w:sz w:val="24"/>
          <w:szCs w:val="24"/>
        </w:rPr>
        <w:t xml:space="preserve">), </w:t>
      </w:r>
      <w:r w:rsidR="009D10CC">
        <w:rPr>
          <w:rFonts w:ascii="Arial" w:hAnsi="Arial" w:cs="Arial"/>
          <w:i/>
          <w:sz w:val="24"/>
          <w:szCs w:val="24"/>
        </w:rPr>
        <w:t>Church and Society, Some Unitarian Views for Discussion,</w:t>
      </w:r>
      <w:r w:rsidR="007056D0">
        <w:rPr>
          <w:rFonts w:ascii="Arial" w:hAnsi="Arial" w:cs="Arial"/>
          <w:i/>
          <w:sz w:val="24"/>
          <w:szCs w:val="24"/>
        </w:rPr>
        <w:t xml:space="preserve"> </w:t>
      </w:r>
      <w:r w:rsidR="009D10CC">
        <w:rPr>
          <w:rFonts w:ascii="Arial" w:hAnsi="Arial" w:cs="Arial"/>
          <w:sz w:val="24"/>
          <w:szCs w:val="24"/>
        </w:rPr>
        <w:t>[Lo</w:t>
      </w:r>
      <w:r w:rsidR="004526DA">
        <w:rPr>
          <w:rFonts w:ascii="Arial" w:hAnsi="Arial" w:cs="Arial"/>
          <w:sz w:val="24"/>
          <w:szCs w:val="24"/>
        </w:rPr>
        <w:t xml:space="preserve">ndon: </w:t>
      </w:r>
      <w:r w:rsidR="009D10CC">
        <w:rPr>
          <w:rFonts w:ascii="Arial" w:hAnsi="Arial" w:cs="Arial"/>
          <w:sz w:val="24"/>
          <w:szCs w:val="24"/>
        </w:rPr>
        <w:t xml:space="preserve"> GAUFCC, 1969]</w:t>
      </w:r>
    </w:p>
    <w:p w:rsidR="003B21DC" w:rsidRDefault="003B21DC">
      <w:pPr>
        <w:rPr>
          <w:rFonts w:ascii="Arial" w:hAnsi="Arial" w:cs="Arial"/>
          <w:sz w:val="24"/>
          <w:szCs w:val="24"/>
        </w:rPr>
      </w:pPr>
      <w:r>
        <w:rPr>
          <w:rFonts w:ascii="Arial" w:hAnsi="Arial" w:cs="Arial"/>
          <w:sz w:val="24"/>
          <w:szCs w:val="24"/>
        </w:rPr>
        <w:t>From the same period as Paul Ramsey’s “Who speaks for the Church” this booklet was printed to enable Unitarian congregations to give attention to the subjects of social servi</w:t>
      </w:r>
      <w:r w:rsidR="00A56D88">
        <w:rPr>
          <w:rFonts w:ascii="Arial" w:hAnsi="Arial" w:cs="Arial"/>
          <w:sz w:val="24"/>
          <w:szCs w:val="24"/>
        </w:rPr>
        <w:t>c</w:t>
      </w:r>
      <w:r>
        <w:rPr>
          <w:rFonts w:ascii="Arial" w:hAnsi="Arial" w:cs="Arial"/>
          <w:sz w:val="24"/>
          <w:szCs w:val="24"/>
        </w:rPr>
        <w:t>e and social action before the general Assembly meeting of 1969, where a session was given over to “Church and Society”. It consists of four essays, three written by Unitarian ministers and the fourth by a civil servant who was also the acting secretary of the Unitarian Social Service Department. It raises many useful discussion points on the role of the church in matters of social justice in 1969. The prophetic role of the church is discussed, as opposed to the institutional and assertive role</w:t>
      </w:r>
      <w:r w:rsidR="00A56D88">
        <w:rPr>
          <w:rFonts w:ascii="Arial" w:hAnsi="Arial" w:cs="Arial"/>
          <w:sz w:val="24"/>
          <w:szCs w:val="24"/>
        </w:rPr>
        <w:t xml:space="preserve">. The overall impression is that, although the Unitarian church believed </w:t>
      </w:r>
      <w:r w:rsidR="00A56D88">
        <w:rPr>
          <w:rFonts w:ascii="Arial" w:hAnsi="Arial" w:cs="Arial"/>
          <w:sz w:val="24"/>
          <w:szCs w:val="24"/>
        </w:rPr>
        <w:lastRenderedPageBreak/>
        <w:t>that it was their business to get involved in social issues, they were reluctant to risk mixing church</w:t>
      </w:r>
      <w:r w:rsidR="00E33867">
        <w:rPr>
          <w:rFonts w:ascii="Arial" w:hAnsi="Arial" w:cs="Arial"/>
          <w:sz w:val="24"/>
          <w:szCs w:val="24"/>
        </w:rPr>
        <w:t xml:space="preserve"> life with party politics. As a</w:t>
      </w:r>
      <w:r w:rsidR="00A56D88">
        <w:rPr>
          <w:rFonts w:ascii="Arial" w:hAnsi="Arial" w:cs="Arial"/>
          <w:sz w:val="24"/>
          <w:szCs w:val="24"/>
        </w:rPr>
        <w:t xml:space="preserve"> Unitarian I was interested to learn how a church which had always been known for its’ outspoken views in matters of social justice and for its involvement in political issues had become so reluctant to continue with this tradition in the 1970’s and 80’s. This booklet goes a long way towards explaining the views of that period, a period which co-incidentally saw a drop in attendance and membership of the Unitarian movement. </w:t>
      </w:r>
    </w:p>
    <w:p w:rsidR="003A7868" w:rsidRDefault="003A7868">
      <w:pPr>
        <w:rPr>
          <w:rFonts w:ascii="Arial" w:hAnsi="Arial" w:cs="Arial"/>
          <w:sz w:val="24"/>
          <w:szCs w:val="24"/>
        </w:rPr>
      </w:pPr>
    </w:p>
    <w:p w:rsidR="00357E14" w:rsidRDefault="00357E14">
      <w:pPr>
        <w:rPr>
          <w:rFonts w:ascii="Arial" w:hAnsi="Arial" w:cs="Arial"/>
          <w:sz w:val="24"/>
          <w:szCs w:val="24"/>
        </w:rPr>
      </w:pPr>
      <w:r>
        <w:rPr>
          <w:rFonts w:ascii="Arial" w:hAnsi="Arial" w:cs="Arial"/>
          <w:sz w:val="24"/>
          <w:szCs w:val="24"/>
        </w:rPr>
        <w:t xml:space="preserve">Smith, Graeme, ‘A Popular Public Theology. Issues of Pluralism, Identity, and Justice’, </w:t>
      </w:r>
      <w:r>
        <w:rPr>
          <w:rFonts w:ascii="Arial" w:hAnsi="Arial" w:cs="Arial"/>
          <w:i/>
          <w:sz w:val="24"/>
          <w:szCs w:val="24"/>
        </w:rPr>
        <w:t xml:space="preserve">Political Theology, </w:t>
      </w:r>
      <w:r w:rsidR="00B808AA">
        <w:rPr>
          <w:rFonts w:ascii="Arial" w:hAnsi="Arial" w:cs="Arial"/>
          <w:sz w:val="24"/>
          <w:szCs w:val="24"/>
        </w:rPr>
        <w:t>Vol. 16, No. 1, April,</w:t>
      </w:r>
      <w:r>
        <w:rPr>
          <w:rFonts w:ascii="Arial" w:hAnsi="Arial" w:cs="Arial"/>
          <w:sz w:val="24"/>
          <w:szCs w:val="24"/>
        </w:rPr>
        <w:t xml:space="preserve"> 2015, pp. 20-32, [Online]. Available at: </w:t>
      </w:r>
      <w:hyperlink r:id="rId11" w:history="1">
        <w:r w:rsidRPr="00365BB0">
          <w:rPr>
            <w:rStyle w:val="Hyperlink"/>
            <w:rFonts w:ascii="Arial" w:hAnsi="Arial" w:cs="Arial"/>
            <w:sz w:val="24"/>
            <w:szCs w:val="24"/>
          </w:rPr>
          <w:t>http://web.a.ebscohost.com.ezproxy.uwtsd.ac.uk/ehost/pdfviewer/pdfviewer?vid=1&amp;sid=bf74ef8b-9ae9-4624-a5b6-7b67ce59a9e6%40sessionmgr4008</w:t>
        </w:r>
      </w:hyperlink>
      <w:r>
        <w:rPr>
          <w:rFonts w:ascii="Arial" w:hAnsi="Arial" w:cs="Arial"/>
          <w:sz w:val="24"/>
          <w:szCs w:val="24"/>
        </w:rPr>
        <w:t xml:space="preserve">  [Accessed: 20</w:t>
      </w:r>
      <w:r w:rsidRPr="00357E14">
        <w:rPr>
          <w:rFonts w:ascii="Arial" w:hAnsi="Arial" w:cs="Arial"/>
          <w:sz w:val="24"/>
          <w:szCs w:val="24"/>
          <w:vertAlign w:val="superscript"/>
        </w:rPr>
        <w:t>th</w:t>
      </w:r>
      <w:r>
        <w:rPr>
          <w:rFonts w:ascii="Arial" w:hAnsi="Arial" w:cs="Arial"/>
          <w:sz w:val="24"/>
          <w:szCs w:val="24"/>
        </w:rPr>
        <w:t xml:space="preserve"> January 2018]</w:t>
      </w:r>
    </w:p>
    <w:p w:rsidR="007056D0" w:rsidRDefault="00720CC5">
      <w:pPr>
        <w:rPr>
          <w:rFonts w:ascii="Arial" w:hAnsi="Arial" w:cs="Arial"/>
          <w:sz w:val="24"/>
          <w:szCs w:val="24"/>
        </w:rPr>
      </w:pPr>
      <w:r>
        <w:rPr>
          <w:rFonts w:ascii="Arial" w:hAnsi="Arial" w:cs="Arial"/>
          <w:sz w:val="24"/>
          <w:szCs w:val="24"/>
        </w:rPr>
        <w:t xml:space="preserve">Smith draws on the work of Werner </w:t>
      </w:r>
      <w:proofErr w:type="spellStart"/>
      <w:r>
        <w:rPr>
          <w:rFonts w:ascii="Arial" w:hAnsi="Arial" w:cs="Arial"/>
          <w:sz w:val="24"/>
          <w:szCs w:val="24"/>
        </w:rPr>
        <w:t>Ustorf</w:t>
      </w:r>
      <w:proofErr w:type="spellEnd"/>
      <w:r>
        <w:rPr>
          <w:rFonts w:ascii="Arial" w:hAnsi="Arial" w:cs="Arial"/>
          <w:sz w:val="24"/>
          <w:szCs w:val="24"/>
        </w:rPr>
        <w:t xml:space="preserve"> and Elaine Graham in this article, to examine what a “popular public theology” means, and concludes that it is something quite different to the formal theology of the Church and the academy. He believes that it’s found in contemporary culture, though not always recognizable as “theology”, and is generated by the public in the first place, rather than by the Church taking the lead. He sees advantages in this approach, seeing it as being “</w:t>
      </w:r>
      <w:r w:rsidR="00D4692E">
        <w:rPr>
          <w:rFonts w:ascii="Arial" w:hAnsi="Arial" w:cs="Arial"/>
          <w:sz w:val="24"/>
          <w:szCs w:val="24"/>
        </w:rPr>
        <w:t>relevant within Western society,</w:t>
      </w:r>
      <w:r>
        <w:rPr>
          <w:rFonts w:ascii="Arial" w:hAnsi="Arial" w:cs="Arial"/>
          <w:sz w:val="24"/>
          <w:szCs w:val="24"/>
        </w:rPr>
        <w:t xml:space="preserve"> it does not require the public theologian to be fluent in any discourse except theology, and it avoids the danger of being reliant on social theory and so losing its theological identity.” This is in contrast to Elaine Graham’s view that public theologians must be “bilingual” and be able to communicate Christian theology to a world which is not theological. Sm</w:t>
      </w:r>
      <w:r w:rsidR="00D4692E">
        <w:rPr>
          <w:rFonts w:ascii="Arial" w:hAnsi="Arial" w:cs="Arial"/>
          <w:sz w:val="24"/>
          <w:szCs w:val="24"/>
        </w:rPr>
        <w:t>ith also asks if there is a plac</w:t>
      </w:r>
      <w:r>
        <w:rPr>
          <w:rFonts w:ascii="Arial" w:hAnsi="Arial" w:cs="Arial"/>
          <w:sz w:val="24"/>
          <w:szCs w:val="24"/>
        </w:rPr>
        <w:t xml:space="preserve">e in the public arena for “ecclesial and academic theology”, and hopes that popular theologies can interact with both, without favouring one or the other. </w:t>
      </w:r>
      <w:r w:rsidR="00D4692E">
        <w:rPr>
          <w:rFonts w:ascii="Arial" w:hAnsi="Arial" w:cs="Arial"/>
          <w:sz w:val="24"/>
          <w:szCs w:val="24"/>
        </w:rPr>
        <w:t xml:space="preserve">As this is a fairly recent article it is interesting to note the shift in attitudes as the concept of a theology instigated by the public would have been inconceivable even thirty years ago. It is even more interesting that despite the title suggesting that issues of pluralism would be considered, it is written from a purely Christian viewpoint and makes no mention of any other religion or faith. Does this article truly reflect the position today or should </w:t>
      </w:r>
      <w:r w:rsidR="00D4692E">
        <w:rPr>
          <w:rFonts w:ascii="Arial" w:hAnsi="Arial" w:cs="Arial"/>
          <w:sz w:val="24"/>
          <w:szCs w:val="24"/>
        </w:rPr>
        <w:lastRenderedPageBreak/>
        <w:t>more consideration be given to other faiths and religions when considering public theology?</w:t>
      </w:r>
    </w:p>
    <w:p w:rsidR="00E33867" w:rsidRDefault="00E33867">
      <w:pPr>
        <w:rPr>
          <w:rFonts w:ascii="Arial" w:hAnsi="Arial" w:cs="Arial"/>
          <w:sz w:val="24"/>
          <w:szCs w:val="24"/>
        </w:rPr>
      </w:pPr>
    </w:p>
    <w:p w:rsidR="00A56D88" w:rsidRDefault="00A56D88">
      <w:pPr>
        <w:rPr>
          <w:rFonts w:ascii="Arial" w:hAnsi="Arial" w:cs="Arial"/>
          <w:sz w:val="24"/>
          <w:szCs w:val="24"/>
        </w:rPr>
      </w:pPr>
      <w:r w:rsidRPr="00CF1EAF">
        <w:rPr>
          <w:rFonts w:ascii="Arial" w:hAnsi="Arial" w:cs="Arial"/>
          <w:sz w:val="24"/>
          <w:szCs w:val="24"/>
        </w:rPr>
        <w:t xml:space="preserve">Temple, William, </w:t>
      </w:r>
      <w:r w:rsidRPr="00CF1EAF">
        <w:rPr>
          <w:rFonts w:ascii="Arial" w:hAnsi="Arial" w:cs="Arial"/>
          <w:i/>
          <w:sz w:val="24"/>
          <w:szCs w:val="24"/>
        </w:rPr>
        <w:t>Christianity &amp; Social Order,</w:t>
      </w:r>
      <w:r w:rsidR="00CF1EAF">
        <w:rPr>
          <w:rFonts w:ascii="Arial" w:hAnsi="Arial" w:cs="Arial"/>
          <w:i/>
          <w:sz w:val="24"/>
          <w:szCs w:val="24"/>
        </w:rPr>
        <w:t xml:space="preserve"> </w:t>
      </w:r>
      <w:r w:rsidR="00CF1EAF">
        <w:rPr>
          <w:rFonts w:ascii="Arial" w:hAnsi="Arial" w:cs="Arial"/>
          <w:sz w:val="24"/>
          <w:szCs w:val="24"/>
        </w:rPr>
        <w:t>[3</w:t>
      </w:r>
      <w:r w:rsidR="00CF1EAF" w:rsidRPr="00CF1EAF">
        <w:rPr>
          <w:rFonts w:ascii="Arial" w:hAnsi="Arial" w:cs="Arial"/>
          <w:sz w:val="24"/>
          <w:szCs w:val="24"/>
          <w:vertAlign w:val="superscript"/>
        </w:rPr>
        <w:t>rd</w:t>
      </w:r>
      <w:r w:rsidR="00CF1EAF">
        <w:rPr>
          <w:rFonts w:ascii="Arial" w:hAnsi="Arial" w:cs="Arial"/>
          <w:sz w:val="24"/>
          <w:szCs w:val="24"/>
        </w:rPr>
        <w:t xml:space="preserve"> </w:t>
      </w:r>
      <w:proofErr w:type="spellStart"/>
      <w:r w:rsidR="00CF1EAF">
        <w:rPr>
          <w:rFonts w:ascii="Arial" w:hAnsi="Arial" w:cs="Arial"/>
          <w:sz w:val="24"/>
          <w:szCs w:val="24"/>
        </w:rPr>
        <w:t>ed</w:t>
      </w:r>
      <w:proofErr w:type="spellEnd"/>
      <w:r w:rsidR="00CF1EAF">
        <w:rPr>
          <w:rFonts w:ascii="Arial" w:hAnsi="Arial" w:cs="Arial"/>
          <w:sz w:val="24"/>
          <w:szCs w:val="24"/>
        </w:rPr>
        <w:t xml:space="preserve">] </w:t>
      </w:r>
      <w:r w:rsidRPr="00CF1EAF">
        <w:rPr>
          <w:rFonts w:ascii="Arial" w:hAnsi="Arial" w:cs="Arial"/>
          <w:sz w:val="24"/>
          <w:szCs w:val="24"/>
        </w:rPr>
        <w:t>[</w:t>
      </w:r>
      <w:r w:rsidR="004526DA" w:rsidRPr="00CF1EAF">
        <w:rPr>
          <w:rFonts w:ascii="Arial" w:hAnsi="Arial" w:cs="Arial"/>
          <w:sz w:val="24"/>
          <w:szCs w:val="24"/>
        </w:rPr>
        <w:t>London: Shepheard-Walwyn,1976]</w:t>
      </w:r>
    </w:p>
    <w:p w:rsidR="00C705EE" w:rsidRDefault="003C48E4" w:rsidP="00C705EE">
      <w:pPr>
        <w:rPr>
          <w:rFonts w:ascii="Arial" w:hAnsi="Arial" w:cs="Arial"/>
          <w:sz w:val="24"/>
          <w:szCs w:val="24"/>
        </w:rPr>
      </w:pPr>
      <w:r>
        <w:rPr>
          <w:rFonts w:ascii="Arial" w:hAnsi="Arial" w:cs="Arial"/>
          <w:sz w:val="24"/>
          <w:szCs w:val="24"/>
        </w:rPr>
        <w:t>First published in 1941, i</w:t>
      </w:r>
      <w:r w:rsidR="00CF1EAF">
        <w:rPr>
          <w:rFonts w:ascii="Arial" w:hAnsi="Arial" w:cs="Arial"/>
          <w:sz w:val="24"/>
          <w:szCs w:val="24"/>
        </w:rPr>
        <w:t xml:space="preserve">n the year that Temple became Archbishop of Canterbury, this is a new edition with the foreword written by Edward Heath, the former Prime Minister. </w:t>
      </w:r>
      <w:r>
        <w:rPr>
          <w:rFonts w:ascii="Arial" w:hAnsi="Arial" w:cs="Arial"/>
          <w:sz w:val="24"/>
          <w:szCs w:val="24"/>
        </w:rPr>
        <w:t xml:space="preserve">This book presents an alternative view of public theology as Temple argues that ideally the Church as a corporate entity should not interfere in matters of social order, but that “the aim of a Christian social order is the fullest development of individual personality in the widest and deepest possible fellowship.” </w:t>
      </w:r>
    </w:p>
    <w:p w:rsidR="00CF1EAF" w:rsidRDefault="00CF1EAF">
      <w:pPr>
        <w:rPr>
          <w:rFonts w:ascii="Arial" w:hAnsi="Arial" w:cs="Arial"/>
          <w:sz w:val="24"/>
          <w:szCs w:val="24"/>
        </w:rPr>
      </w:pPr>
      <w:r>
        <w:rPr>
          <w:rFonts w:ascii="Arial" w:hAnsi="Arial" w:cs="Arial"/>
          <w:sz w:val="24"/>
          <w:szCs w:val="24"/>
        </w:rPr>
        <w:t xml:space="preserve">The first three chapters explore whether the Church has the right to interfere, how it should interfere and had the Church claimed to intervene before. He argues that “it is ‘bound to interfere’ </w:t>
      </w:r>
      <w:r w:rsidR="003C48E4">
        <w:rPr>
          <w:rFonts w:ascii="Arial" w:hAnsi="Arial" w:cs="Arial"/>
          <w:sz w:val="24"/>
          <w:szCs w:val="24"/>
        </w:rPr>
        <w:t xml:space="preserve">because </w:t>
      </w:r>
      <w:r w:rsidR="00075C86">
        <w:rPr>
          <w:rFonts w:ascii="Arial" w:hAnsi="Arial" w:cs="Arial"/>
          <w:sz w:val="24"/>
          <w:szCs w:val="24"/>
        </w:rPr>
        <w:t>it is by vocation the agent of G</w:t>
      </w:r>
      <w:r w:rsidR="003C48E4">
        <w:rPr>
          <w:rFonts w:ascii="Arial" w:hAnsi="Arial" w:cs="Arial"/>
          <w:sz w:val="24"/>
          <w:szCs w:val="24"/>
        </w:rPr>
        <w:t xml:space="preserve">od’s purpose, outside the scope of which no human interest or activity can fall.” He approves of individuals such as Wilberforce and his friends, who brought about the abolition of slavery, inspired by their Christian faith, but not acting as part of the official system of the church; but also asserts that </w:t>
      </w:r>
      <w:r w:rsidR="000650E5">
        <w:rPr>
          <w:rFonts w:ascii="Arial" w:hAnsi="Arial" w:cs="Arial"/>
          <w:sz w:val="24"/>
          <w:szCs w:val="24"/>
        </w:rPr>
        <w:t>it was crucially important that the Church did not act as a corporate being to support any particular policy.</w:t>
      </w:r>
      <w:r w:rsidR="003C48E4">
        <w:rPr>
          <w:rFonts w:ascii="Arial" w:hAnsi="Arial" w:cs="Arial"/>
          <w:sz w:val="24"/>
          <w:szCs w:val="24"/>
        </w:rPr>
        <w:t xml:space="preserve"> His conclusion is that “If we have to choose between making men Christian and making the social order more Christian, we must choose the former.”</w:t>
      </w:r>
      <w:r w:rsidR="00C705EE">
        <w:rPr>
          <w:rFonts w:ascii="Arial" w:hAnsi="Arial" w:cs="Arial"/>
          <w:sz w:val="24"/>
          <w:szCs w:val="24"/>
        </w:rPr>
        <w:t xml:space="preserve"> </w:t>
      </w:r>
      <w:r w:rsidR="00E60984">
        <w:rPr>
          <w:rFonts w:ascii="Arial" w:hAnsi="Arial" w:cs="Arial"/>
          <w:sz w:val="24"/>
          <w:szCs w:val="24"/>
        </w:rPr>
        <w:t>Seventy five years on from its’ original publication i</w:t>
      </w:r>
      <w:r w:rsidR="00C705EE">
        <w:rPr>
          <w:rFonts w:ascii="Arial" w:hAnsi="Arial" w:cs="Arial"/>
          <w:sz w:val="24"/>
          <w:szCs w:val="24"/>
        </w:rPr>
        <w:t>t has to be remembered that this book was written during the Second World War and</w:t>
      </w:r>
      <w:r w:rsidR="00E60984">
        <w:rPr>
          <w:rFonts w:ascii="Arial" w:hAnsi="Arial" w:cs="Arial"/>
          <w:sz w:val="24"/>
          <w:szCs w:val="24"/>
        </w:rPr>
        <w:t xml:space="preserve"> during</w:t>
      </w:r>
      <w:r w:rsidR="00C705EE">
        <w:rPr>
          <w:rFonts w:ascii="Arial" w:hAnsi="Arial" w:cs="Arial"/>
          <w:sz w:val="24"/>
          <w:szCs w:val="24"/>
        </w:rPr>
        <w:t xml:space="preserve"> the time of the Beveridge Report which called for a war against want, disease</w:t>
      </w:r>
      <w:r w:rsidR="00E60984">
        <w:rPr>
          <w:rFonts w:ascii="Arial" w:hAnsi="Arial" w:cs="Arial"/>
          <w:sz w:val="24"/>
          <w:szCs w:val="24"/>
        </w:rPr>
        <w:t xml:space="preserve">, </w:t>
      </w:r>
      <w:r w:rsidR="00182629">
        <w:rPr>
          <w:rFonts w:ascii="Arial" w:hAnsi="Arial" w:cs="Arial"/>
          <w:sz w:val="24"/>
          <w:szCs w:val="24"/>
        </w:rPr>
        <w:t>ig</w:t>
      </w:r>
      <w:r w:rsidR="00075C86">
        <w:rPr>
          <w:rFonts w:ascii="Arial" w:hAnsi="Arial" w:cs="Arial"/>
          <w:sz w:val="24"/>
          <w:szCs w:val="24"/>
        </w:rPr>
        <w:t xml:space="preserve">norance, squalor and idleness,  and </w:t>
      </w:r>
      <w:r w:rsidR="00182629">
        <w:rPr>
          <w:rFonts w:ascii="Arial" w:hAnsi="Arial" w:cs="Arial"/>
          <w:sz w:val="24"/>
          <w:szCs w:val="24"/>
        </w:rPr>
        <w:t xml:space="preserve">in my opinion, </w:t>
      </w:r>
      <w:r w:rsidR="00E60984">
        <w:rPr>
          <w:rFonts w:ascii="Arial" w:hAnsi="Arial" w:cs="Arial"/>
          <w:sz w:val="24"/>
          <w:szCs w:val="24"/>
        </w:rPr>
        <w:t xml:space="preserve"> offers a less confrontational, more middle-of-the-road approach than the ones that were to follow in the 1960’s and 70’</w:t>
      </w:r>
      <w:r w:rsidR="000650E5">
        <w:rPr>
          <w:rFonts w:ascii="Arial" w:hAnsi="Arial" w:cs="Arial"/>
          <w:sz w:val="24"/>
          <w:szCs w:val="24"/>
        </w:rPr>
        <w:t xml:space="preserve">s during the civil rights period. </w:t>
      </w:r>
    </w:p>
    <w:p w:rsidR="0031731D" w:rsidRDefault="0031731D">
      <w:pPr>
        <w:rPr>
          <w:rFonts w:ascii="Arial" w:hAnsi="Arial" w:cs="Arial"/>
          <w:sz w:val="24"/>
          <w:szCs w:val="24"/>
        </w:rPr>
      </w:pPr>
    </w:p>
    <w:p w:rsidR="0031731D" w:rsidRDefault="0031731D">
      <w:pPr>
        <w:rPr>
          <w:rFonts w:ascii="Arial" w:hAnsi="Arial" w:cs="Arial"/>
          <w:sz w:val="24"/>
          <w:szCs w:val="24"/>
        </w:rPr>
      </w:pPr>
      <w:r>
        <w:rPr>
          <w:rFonts w:ascii="Arial" w:hAnsi="Arial" w:cs="Arial"/>
          <w:sz w:val="24"/>
          <w:szCs w:val="24"/>
        </w:rPr>
        <w:t xml:space="preserve">The Church of England in Parliament 2018  </w:t>
      </w:r>
      <w:hyperlink r:id="rId12" w:history="1">
        <w:r w:rsidRPr="007051BB">
          <w:rPr>
            <w:rStyle w:val="Hyperlink"/>
            <w:rFonts w:ascii="Arial" w:hAnsi="Arial" w:cs="Arial"/>
            <w:sz w:val="24"/>
            <w:szCs w:val="24"/>
          </w:rPr>
          <w:t>https://churchinparliament.org</w:t>
        </w:r>
      </w:hyperlink>
      <w:r>
        <w:rPr>
          <w:rFonts w:ascii="Arial" w:hAnsi="Arial" w:cs="Arial"/>
          <w:sz w:val="24"/>
          <w:szCs w:val="24"/>
        </w:rPr>
        <w:t xml:space="preserve"> [accessed 23</w:t>
      </w:r>
      <w:r w:rsidRPr="0031731D">
        <w:rPr>
          <w:rFonts w:ascii="Arial" w:hAnsi="Arial" w:cs="Arial"/>
          <w:sz w:val="24"/>
          <w:szCs w:val="24"/>
          <w:vertAlign w:val="superscript"/>
        </w:rPr>
        <w:t>rd</w:t>
      </w:r>
      <w:r>
        <w:rPr>
          <w:rFonts w:ascii="Arial" w:hAnsi="Arial" w:cs="Arial"/>
          <w:sz w:val="24"/>
          <w:szCs w:val="24"/>
        </w:rPr>
        <w:t xml:space="preserve"> January 2018</w:t>
      </w:r>
    </w:p>
    <w:p w:rsidR="0031731D" w:rsidRDefault="0031731D">
      <w:pPr>
        <w:rPr>
          <w:rFonts w:ascii="Arial" w:hAnsi="Arial" w:cs="Arial"/>
          <w:sz w:val="24"/>
          <w:szCs w:val="24"/>
        </w:rPr>
      </w:pPr>
      <w:r>
        <w:rPr>
          <w:rFonts w:ascii="Arial" w:hAnsi="Arial" w:cs="Arial"/>
          <w:sz w:val="24"/>
          <w:szCs w:val="24"/>
        </w:rPr>
        <w:lastRenderedPageBreak/>
        <w:t xml:space="preserve">Supporting the work of the Church of England in Parliament, including the twenty six bishops in the House of Lords (the Lords Spiritual) and the Second Estate Commissioner in the House of Commons, this website offers an overview of their work. It includes photographs of the twenty six </w:t>
      </w:r>
      <w:r w:rsidR="00075C86">
        <w:rPr>
          <w:rFonts w:ascii="Arial" w:hAnsi="Arial" w:cs="Arial"/>
          <w:sz w:val="24"/>
          <w:szCs w:val="24"/>
        </w:rPr>
        <w:t>bishops which include one black man</w:t>
      </w:r>
      <w:r>
        <w:rPr>
          <w:rFonts w:ascii="Arial" w:hAnsi="Arial" w:cs="Arial"/>
          <w:sz w:val="24"/>
          <w:szCs w:val="24"/>
        </w:rPr>
        <w:t>, three women and twenty two white, middle aged men, and it could be easily argued that this seems hardly reflective of the diversity of the population of the United Kingdom in modern times. There is a page devoted to the current week’s events and a sample for the week 15</w:t>
      </w:r>
      <w:r w:rsidRPr="0031731D">
        <w:rPr>
          <w:rFonts w:ascii="Arial" w:hAnsi="Arial" w:cs="Arial"/>
          <w:sz w:val="24"/>
          <w:szCs w:val="24"/>
          <w:vertAlign w:val="superscript"/>
        </w:rPr>
        <w:t>th</w:t>
      </w:r>
      <w:r>
        <w:rPr>
          <w:rFonts w:ascii="Arial" w:hAnsi="Arial" w:cs="Arial"/>
          <w:sz w:val="24"/>
          <w:szCs w:val="24"/>
        </w:rPr>
        <w:t xml:space="preserve"> to the 19</w:t>
      </w:r>
      <w:r w:rsidRPr="0031731D">
        <w:rPr>
          <w:rFonts w:ascii="Arial" w:hAnsi="Arial" w:cs="Arial"/>
          <w:sz w:val="24"/>
          <w:szCs w:val="24"/>
          <w:vertAlign w:val="superscript"/>
        </w:rPr>
        <w:t>th</w:t>
      </w:r>
      <w:r>
        <w:rPr>
          <w:rFonts w:ascii="Arial" w:hAnsi="Arial" w:cs="Arial"/>
          <w:sz w:val="24"/>
          <w:szCs w:val="24"/>
        </w:rPr>
        <w:t xml:space="preserve"> January 2018 records</w:t>
      </w:r>
      <w:r w:rsidR="00CB7E3D">
        <w:rPr>
          <w:rFonts w:ascii="Arial" w:hAnsi="Arial" w:cs="Arial"/>
          <w:sz w:val="24"/>
          <w:szCs w:val="24"/>
        </w:rPr>
        <w:t xml:space="preserve"> the bishops spoke about the nee</w:t>
      </w:r>
      <w:r>
        <w:rPr>
          <w:rFonts w:ascii="Arial" w:hAnsi="Arial" w:cs="Arial"/>
          <w:sz w:val="24"/>
          <w:szCs w:val="24"/>
        </w:rPr>
        <w:t xml:space="preserve">d to keep the UK a global leader in green finance and that the Bishop of Portsmouth called for a full defence review and asked for resources for the Armed Forces. </w:t>
      </w:r>
    </w:p>
    <w:p w:rsidR="0031731D" w:rsidRDefault="0031731D">
      <w:pPr>
        <w:rPr>
          <w:rFonts w:ascii="Arial" w:hAnsi="Arial" w:cs="Arial"/>
          <w:sz w:val="24"/>
          <w:szCs w:val="24"/>
        </w:rPr>
      </w:pPr>
      <w:r>
        <w:rPr>
          <w:rFonts w:ascii="Arial" w:hAnsi="Arial" w:cs="Arial"/>
          <w:sz w:val="24"/>
          <w:szCs w:val="24"/>
        </w:rPr>
        <w:t>I chose to i</w:t>
      </w:r>
      <w:r w:rsidR="008E0A6C">
        <w:rPr>
          <w:rFonts w:ascii="Arial" w:hAnsi="Arial" w:cs="Arial"/>
          <w:sz w:val="24"/>
          <w:szCs w:val="24"/>
        </w:rPr>
        <w:t xml:space="preserve">nvestigate how Parliament currently provided a forum for public theology, and it seems that as the Church of England is the only faith that has official representation, that it is only theology of a Christian nature that can be considered. In my view, this system is outdated, and can not possibly reflect the religious beliefs, needs and aspirations of a multi-faith society, therefore making it ineffective. </w:t>
      </w:r>
    </w:p>
    <w:p w:rsidR="00CB7E3D" w:rsidRDefault="00CB7E3D">
      <w:pPr>
        <w:rPr>
          <w:rFonts w:ascii="Arial" w:hAnsi="Arial" w:cs="Arial"/>
          <w:sz w:val="24"/>
          <w:szCs w:val="24"/>
        </w:rPr>
      </w:pPr>
    </w:p>
    <w:p w:rsidR="00CB7E3D" w:rsidRDefault="00CB7E3D">
      <w:pPr>
        <w:rPr>
          <w:rFonts w:ascii="Arial" w:hAnsi="Arial" w:cs="Arial"/>
          <w:sz w:val="24"/>
          <w:szCs w:val="24"/>
        </w:rPr>
      </w:pPr>
      <w:r>
        <w:rPr>
          <w:rFonts w:ascii="Arial" w:hAnsi="Arial" w:cs="Arial"/>
          <w:sz w:val="24"/>
          <w:szCs w:val="24"/>
        </w:rPr>
        <w:t xml:space="preserve">The Welsh Government </w:t>
      </w:r>
      <w:r w:rsidR="00226771">
        <w:rPr>
          <w:rFonts w:ascii="Arial" w:hAnsi="Arial" w:cs="Arial"/>
          <w:sz w:val="24"/>
          <w:szCs w:val="24"/>
        </w:rPr>
        <w:t xml:space="preserve">‘Faith Communities Forum’ December 2017 </w:t>
      </w:r>
      <w:hyperlink r:id="rId13" w:history="1">
        <w:r w:rsidR="00226771" w:rsidRPr="007051BB">
          <w:rPr>
            <w:rStyle w:val="Hyperlink"/>
            <w:rFonts w:ascii="Arial" w:hAnsi="Arial" w:cs="Arial"/>
            <w:sz w:val="24"/>
            <w:szCs w:val="24"/>
          </w:rPr>
          <w:t>http://gov.wales/topics/people-and-communities/equality-diversity/rightsequality/faith/faithforum1/?lang=en</w:t>
        </w:r>
      </w:hyperlink>
      <w:r w:rsidR="00226771">
        <w:rPr>
          <w:rFonts w:ascii="Arial" w:hAnsi="Arial" w:cs="Arial"/>
          <w:sz w:val="24"/>
          <w:szCs w:val="24"/>
        </w:rPr>
        <w:t xml:space="preserve"> [Accessed 23</w:t>
      </w:r>
      <w:r w:rsidR="00226771" w:rsidRPr="00226771">
        <w:rPr>
          <w:rFonts w:ascii="Arial" w:hAnsi="Arial" w:cs="Arial"/>
          <w:sz w:val="24"/>
          <w:szCs w:val="24"/>
          <w:vertAlign w:val="superscript"/>
        </w:rPr>
        <w:t>rd</w:t>
      </w:r>
      <w:r w:rsidR="00226771">
        <w:rPr>
          <w:rFonts w:ascii="Arial" w:hAnsi="Arial" w:cs="Arial"/>
          <w:sz w:val="24"/>
          <w:szCs w:val="24"/>
        </w:rPr>
        <w:t xml:space="preserve"> January 2018]</w:t>
      </w:r>
    </w:p>
    <w:p w:rsidR="00226771" w:rsidRDefault="0087745C">
      <w:pPr>
        <w:rPr>
          <w:rFonts w:ascii="Arial" w:hAnsi="Arial" w:cs="Arial"/>
          <w:sz w:val="24"/>
          <w:szCs w:val="24"/>
        </w:rPr>
      </w:pPr>
      <w:r>
        <w:rPr>
          <w:rFonts w:ascii="Arial" w:hAnsi="Arial" w:cs="Arial"/>
          <w:sz w:val="24"/>
          <w:szCs w:val="24"/>
        </w:rPr>
        <w:t>In complete contrast to Westmins</w:t>
      </w:r>
      <w:r w:rsidR="00A70498">
        <w:rPr>
          <w:rFonts w:ascii="Arial" w:hAnsi="Arial" w:cs="Arial"/>
          <w:sz w:val="24"/>
          <w:szCs w:val="24"/>
        </w:rPr>
        <w:t>ter the Welsh Government have taken a far more inclusive approach to public theology by forming a Faith Communities Forum, with representatives from the Baha’i, Buddhist, Hindu, Jewish, Muslim and Sikh faiths, as well as from the Christian faiths and the Interfaith Council of Wales. According to the terms of reference the purpose is “to facilitate dialogue between the Welsh Government and the major faith communities on any matters affecting the economic, social and cultural life in Wales”, and does not require the faiths to present a collective view. The Faith Forum represents the Religi</w:t>
      </w:r>
      <w:r w:rsidR="00B341B0">
        <w:rPr>
          <w:rFonts w:ascii="Arial" w:hAnsi="Arial" w:cs="Arial"/>
          <w:sz w:val="24"/>
          <w:szCs w:val="24"/>
        </w:rPr>
        <w:t>on sector in engaging with the W</w:t>
      </w:r>
      <w:r w:rsidR="00A70498">
        <w:rPr>
          <w:rFonts w:ascii="Arial" w:hAnsi="Arial" w:cs="Arial"/>
          <w:sz w:val="24"/>
          <w:szCs w:val="24"/>
        </w:rPr>
        <w:t xml:space="preserve">elsh Government </w:t>
      </w:r>
      <w:r w:rsidR="00B341B0">
        <w:rPr>
          <w:rFonts w:ascii="Arial" w:hAnsi="Arial" w:cs="Arial"/>
          <w:sz w:val="24"/>
          <w:szCs w:val="24"/>
        </w:rPr>
        <w:t>and is the only body, through the Third Sector Partnership Council that is represented in all the devolved policy areas.</w:t>
      </w:r>
    </w:p>
    <w:p w:rsidR="00B341B0" w:rsidRDefault="00B341B0">
      <w:pPr>
        <w:rPr>
          <w:rFonts w:ascii="Arial" w:hAnsi="Arial" w:cs="Arial"/>
          <w:sz w:val="24"/>
          <w:szCs w:val="24"/>
        </w:rPr>
      </w:pPr>
      <w:r>
        <w:rPr>
          <w:rFonts w:ascii="Arial" w:hAnsi="Arial" w:cs="Arial"/>
          <w:sz w:val="24"/>
          <w:szCs w:val="24"/>
        </w:rPr>
        <w:lastRenderedPageBreak/>
        <w:t>As a member of t</w:t>
      </w:r>
      <w:r w:rsidR="00075C86">
        <w:rPr>
          <w:rFonts w:ascii="Arial" w:hAnsi="Arial" w:cs="Arial"/>
          <w:sz w:val="24"/>
          <w:szCs w:val="24"/>
        </w:rPr>
        <w:t>he Interfaith Council of Wales I</w:t>
      </w:r>
      <w:r>
        <w:rPr>
          <w:rFonts w:ascii="Arial" w:hAnsi="Arial" w:cs="Arial"/>
          <w:sz w:val="24"/>
          <w:szCs w:val="24"/>
        </w:rPr>
        <w:t xml:space="preserve"> have represented the Faith Forum at governmental meetings and would argue that this model of public theology provides a fairer way of addressing issues of common interest, whilst respecting the fact that we now live in a multi-faith, pluralist society. </w:t>
      </w:r>
    </w:p>
    <w:p w:rsidR="004D1AEF" w:rsidRDefault="004D1AEF">
      <w:pPr>
        <w:rPr>
          <w:rFonts w:ascii="Arial" w:hAnsi="Arial" w:cs="Arial"/>
          <w:sz w:val="24"/>
          <w:szCs w:val="24"/>
        </w:rPr>
      </w:pPr>
    </w:p>
    <w:p w:rsidR="004526DA" w:rsidRDefault="004526DA">
      <w:pPr>
        <w:rPr>
          <w:rFonts w:ascii="Arial" w:hAnsi="Arial" w:cs="Arial"/>
          <w:sz w:val="24"/>
          <w:szCs w:val="24"/>
        </w:rPr>
      </w:pPr>
    </w:p>
    <w:p w:rsidR="00E41A57" w:rsidRDefault="00E41A57">
      <w:pPr>
        <w:rPr>
          <w:rFonts w:ascii="Arial" w:hAnsi="Arial" w:cs="Arial"/>
          <w:sz w:val="24"/>
          <w:szCs w:val="24"/>
        </w:rPr>
      </w:pPr>
    </w:p>
    <w:p w:rsidR="00E41A57" w:rsidRDefault="00E41A57">
      <w:pPr>
        <w:rPr>
          <w:rFonts w:ascii="Arial" w:hAnsi="Arial" w:cs="Arial"/>
          <w:sz w:val="24"/>
          <w:szCs w:val="24"/>
        </w:rPr>
      </w:pPr>
    </w:p>
    <w:p w:rsidR="00E41A57" w:rsidRDefault="00E41A57">
      <w:pPr>
        <w:rPr>
          <w:rFonts w:ascii="Arial" w:hAnsi="Arial" w:cs="Arial"/>
          <w:sz w:val="24"/>
          <w:szCs w:val="24"/>
        </w:rPr>
      </w:pPr>
    </w:p>
    <w:p w:rsidR="00E41A57" w:rsidRDefault="00E41A57">
      <w:pPr>
        <w:rPr>
          <w:rFonts w:ascii="Arial" w:hAnsi="Arial" w:cs="Arial"/>
          <w:sz w:val="24"/>
          <w:szCs w:val="24"/>
        </w:rPr>
      </w:pPr>
    </w:p>
    <w:p w:rsidR="00E41A57" w:rsidRDefault="00E41A57">
      <w:pPr>
        <w:rPr>
          <w:rFonts w:ascii="Arial" w:hAnsi="Arial" w:cs="Arial"/>
          <w:sz w:val="24"/>
          <w:szCs w:val="24"/>
        </w:rPr>
      </w:pPr>
    </w:p>
    <w:p w:rsidR="00E41A57" w:rsidRDefault="00E41A57">
      <w:pPr>
        <w:rPr>
          <w:rFonts w:ascii="Arial" w:hAnsi="Arial" w:cs="Arial"/>
          <w:sz w:val="24"/>
          <w:szCs w:val="24"/>
        </w:rPr>
      </w:pPr>
    </w:p>
    <w:p w:rsidR="00E41A57" w:rsidRPr="00A56D88" w:rsidRDefault="00E41A57">
      <w:pPr>
        <w:rPr>
          <w:rFonts w:ascii="Arial" w:hAnsi="Arial" w:cs="Arial"/>
          <w:sz w:val="24"/>
          <w:szCs w:val="24"/>
        </w:rPr>
      </w:pPr>
    </w:p>
    <w:p w:rsidR="009D10CC" w:rsidRPr="009D10CC" w:rsidRDefault="009D10CC">
      <w:pPr>
        <w:rPr>
          <w:rFonts w:ascii="Arial" w:hAnsi="Arial" w:cs="Arial"/>
          <w:sz w:val="24"/>
          <w:szCs w:val="24"/>
        </w:rPr>
      </w:pPr>
    </w:p>
    <w:sectPr w:rsidR="009D10CC" w:rsidRPr="009D10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3867" w:rsidRDefault="00E33867" w:rsidP="00545097">
      <w:pPr>
        <w:spacing w:after="0" w:line="240" w:lineRule="auto"/>
      </w:pPr>
      <w:r>
        <w:separator/>
      </w:r>
    </w:p>
  </w:endnote>
  <w:endnote w:type="continuationSeparator" w:id="0">
    <w:p w:rsidR="00E33867" w:rsidRDefault="00E33867" w:rsidP="00545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3867" w:rsidRDefault="00E33867" w:rsidP="00545097">
      <w:pPr>
        <w:spacing w:after="0" w:line="240" w:lineRule="auto"/>
      </w:pPr>
      <w:r>
        <w:separator/>
      </w:r>
    </w:p>
  </w:footnote>
  <w:footnote w:type="continuationSeparator" w:id="0">
    <w:p w:rsidR="00E33867" w:rsidRDefault="00E33867" w:rsidP="005450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309E"/>
    <w:rsid w:val="00016215"/>
    <w:rsid w:val="000249FD"/>
    <w:rsid w:val="000650E5"/>
    <w:rsid w:val="00075C86"/>
    <w:rsid w:val="00182629"/>
    <w:rsid w:val="001D277F"/>
    <w:rsid w:val="001D4895"/>
    <w:rsid w:val="00226771"/>
    <w:rsid w:val="002C35EA"/>
    <w:rsid w:val="002F1856"/>
    <w:rsid w:val="0031731D"/>
    <w:rsid w:val="00321393"/>
    <w:rsid w:val="00357E14"/>
    <w:rsid w:val="003A020D"/>
    <w:rsid w:val="003A7868"/>
    <w:rsid w:val="003B21DC"/>
    <w:rsid w:val="003C48E4"/>
    <w:rsid w:val="00406DA7"/>
    <w:rsid w:val="004526DA"/>
    <w:rsid w:val="004D0AA2"/>
    <w:rsid w:val="004D1AEF"/>
    <w:rsid w:val="00540352"/>
    <w:rsid w:val="00542CE9"/>
    <w:rsid w:val="00543F4B"/>
    <w:rsid w:val="00545097"/>
    <w:rsid w:val="005E309E"/>
    <w:rsid w:val="0062548C"/>
    <w:rsid w:val="00651A55"/>
    <w:rsid w:val="007056D0"/>
    <w:rsid w:val="00720CC5"/>
    <w:rsid w:val="0087745C"/>
    <w:rsid w:val="008E0A6C"/>
    <w:rsid w:val="008F3CC5"/>
    <w:rsid w:val="009D10CC"/>
    <w:rsid w:val="009E5997"/>
    <w:rsid w:val="00A56D88"/>
    <w:rsid w:val="00A70498"/>
    <w:rsid w:val="00A872B6"/>
    <w:rsid w:val="00AC6661"/>
    <w:rsid w:val="00B341B0"/>
    <w:rsid w:val="00B808AA"/>
    <w:rsid w:val="00B85BBC"/>
    <w:rsid w:val="00BA34E8"/>
    <w:rsid w:val="00C705EE"/>
    <w:rsid w:val="00C847D0"/>
    <w:rsid w:val="00CB63D2"/>
    <w:rsid w:val="00CB7E3D"/>
    <w:rsid w:val="00CF1EAF"/>
    <w:rsid w:val="00D4692E"/>
    <w:rsid w:val="00DA0ACD"/>
    <w:rsid w:val="00DD7A28"/>
    <w:rsid w:val="00E03EE0"/>
    <w:rsid w:val="00E33867"/>
    <w:rsid w:val="00E41A57"/>
    <w:rsid w:val="00E60984"/>
    <w:rsid w:val="00E96B30"/>
    <w:rsid w:val="00FF3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C847D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A57"/>
    <w:rPr>
      <w:color w:val="0000FF" w:themeColor="hyperlink"/>
      <w:u w:val="single"/>
    </w:rPr>
  </w:style>
  <w:style w:type="character" w:styleId="FollowedHyperlink">
    <w:name w:val="FollowedHyperlink"/>
    <w:basedOn w:val="DefaultParagraphFont"/>
    <w:uiPriority w:val="99"/>
    <w:semiHidden/>
    <w:unhideWhenUsed/>
    <w:rsid w:val="003A020D"/>
    <w:rPr>
      <w:color w:val="800080" w:themeColor="followedHyperlink"/>
      <w:u w:val="single"/>
    </w:rPr>
  </w:style>
  <w:style w:type="character" w:customStyle="1" w:styleId="Heading4Char">
    <w:name w:val="Heading 4 Char"/>
    <w:basedOn w:val="DefaultParagraphFont"/>
    <w:link w:val="Heading4"/>
    <w:uiPriority w:val="9"/>
    <w:semiHidden/>
    <w:rsid w:val="00C847D0"/>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545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97"/>
  </w:style>
  <w:style w:type="paragraph" w:styleId="Footer">
    <w:name w:val="footer"/>
    <w:basedOn w:val="Normal"/>
    <w:link w:val="FooterChar"/>
    <w:uiPriority w:val="99"/>
    <w:unhideWhenUsed/>
    <w:rsid w:val="00545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9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C847D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A57"/>
    <w:rPr>
      <w:color w:val="0000FF" w:themeColor="hyperlink"/>
      <w:u w:val="single"/>
    </w:rPr>
  </w:style>
  <w:style w:type="character" w:styleId="FollowedHyperlink">
    <w:name w:val="FollowedHyperlink"/>
    <w:basedOn w:val="DefaultParagraphFont"/>
    <w:uiPriority w:val="99"/>
    <w:semiHidden/>
    <w:unhideWhenUsed/>
    <w:rsid w:val="003A020D"/>
    <w:rPr>
      <w:color w:val="800080" w:themeColor="followedHyperlink"/>
      <w:u w:val="single"/>
    </w:rPr>
  </w:style>
  <w:style w:type="character" w:customStyle="1" w:styleId="Heading4Char">
    <w:name w:val="Heading 4 Char"/>
    <w:basedOn w:val="DefaultParagraphFont"/>
    <w:link w:val="Heading4"/>
    <w:uiPriority w:val="9"/>
    <w:semiHidden/>
    <w:rsid w:val="00C847D0"/>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545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97"/>
  </w:style>
  <w:style w:type="paragraph" w:styleId="Footer">
    <w:name w:val="footer"/>
    <w:basedOn w:val="Normal"/>
    <w:link w:val="FooterChar"/>
    <w:uiPriority w:val="99"/>
    <w:unhideWhenUsed/>
    <w:rsid w:val="00545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1317508">
      <w:bodyDiv w:val="1"/>
      <w:marLeft w:val="0"/>
      <w:marRight w:val="0"/>
      <w:marTop w:val="0"/>
      <w:marBottom w:val="0"/>
      <w:divBdr>
        <w:top w:val="none" w:sz="0" w:space="0" w:color="auto"/>
        <w:left w:val="none" w:sz="0" w:space="0" w:color="auto"/>
        <w:bottom w:val="none" w:sz="0" w:space="0" w:color="auto"/>
        <w:right w:val="none" w:sz="0" w:space="0" w:color="auto"/>
      </w:divBdr>
      <w:divsChild>
        <w:div w:id="912617894">
          <w:marLeft w:val="0"/>
          <w:marRight w:val="0"/>
          <w:marTop w:val="0"/>
          <w:marBottom w:val="0"/>
          <w:divBdr>
            <w:top w:val="none" w:sz="0" w:space="0" w:color="auto"/>
            <w:left w:val="none" w:sz="0" w:space="0" w:color="auto"/>
            <w:bottom w:val="none" w:sz="0" w:space="0" w:color="auto"/>
            <w:right w:val="none" w:sz="0" w:space="0" w:color="auto"/>
          </w:divBdr>
        </w:div>
        <w:div w:id="94719402">
          <w:marLeft w:val="0"/>
          <w:marRight w:val="0"/>
          <w:marTop w:val="0"/>
          <w:marBottom w:val="0"/>
          <w:divBdr>
            <w:top w:val="none" w:sz="0" w:space="0" w:color="auto"/>
            <w:left w:val="none" w:sz="0" w:space="0" w:color="auto"/>
            <w:bottom w:val="none" w:sz="0" w:space="0" w:color="auto"/>
            <w:right w:val="none" w:sz="0" w:space="0" w:color="auto"/>
          </w:divBdr>
        </w:div>
      </w:divsChild>
    </w:div>
    <w:div w:id="636302728">
      <w:bodyDiv w:val="1"/>
      <w:marLeft w:val="0"/>
      <w:marRight w:val="0"/>
      <w:marTop w:val="0"/>
      <w:marBottom w:val="0"/>
      <w:divBdr>
        <w:top w:val="none" w:sz="0" w:space="0" w:color="auto"/>
        <w:left w:val="none" w:sz="0" w:space="0" w:color="auto"/>
        <w:bottom w:val="none" w:sz="0" w:space="0" w:color="auto"/>
        <w:right w:val="none" w:sz="0" w:space="0" w:color="auto"/>
      </w:divBdr>
      <w:divsChild>
        <w:div w:id="1807504400">
          <w:marLeft w:val="0"/>
          <w:marRight w:val="0"/>
          <w:marTop w:val="0"/>
          <w:marBottom w:val="0"/>
          <w:divBdr>
            <w:top w:val="none" w:sz="0" w:space="0" w:color="auto"/>
            <w:left w:val="none" w:sz="0" w:space="0" w:color="auto"/>
            <w:bottom w:val="none" w:sz="0" w:space="0" w:color="auto"/>
            <w:right w:val="none" w:sz="0" w:space="0" w:color="auto"/>
          </w:divBdr>
          <w:divsChild>
            <w:div w:id="1569804500">
              <w:marLeft w:val="0"/>
              <w:marRight w:val="0"/>
              <w:marTop w:val="0"/>
              <w:marBottom w:val="0"/>
              <w:divBdr>
                <w:top w:val="none" w:sz="0" w:space="0" w:color="auto"/>
                <w:left w:val="none" w:sz="0" w:space="0" w:color="auto"/>
                <w:bottom w:val="none" w:sz="0" w:space="0" w:color="auto"/>
                <w:right w:val="none" w:sz="0" w:space="0" w:color="auto"/>
              </w:divBdr>
              <w:divsChild>
                <w:div w:id="1114210282">
                  <w:marLeft w:val="0"/>
                  <w:marRight w:val="0"/>
                  <w:marTop w:val="0"/>
                  <w:marBottom w:val="0"/>
                  <w:divBdr>
                    <w:top w:val="none" w:sz="0" w:space="0" w:color="auto"/>
                    <w:left w:val="none" w:sz="0" w:space="0" w:color="auto"/>
                    <w:bottom w:val="none" w:sz="0" w:space="0" w:color="auto"/>
                    <w:right w:val="none" w:sz="0" w:space="0" w:color="auto"/>
                  </w:divBdr>
                  <w:divsChild>
                    <w:div w:id="879435719">
                      <w:marLeft w:val="0"/>
                      <w:marRight w:val="0"/>
                      <w:marTop w:val="0"/>
                      <w:marBottom w:val="0"/>
                      <w:divBdr>
                        <w:top w:val="none" w:sz="0" w:space="0" w:color="auto"/>
                        <w:left w:val="none" w:sz="0" w:space="0" w:color="auto"/>
                        <w:bottom w:val="none" w:sz="0" w:space="0" w:color="auto"/>
                        <w:right w:val="none" w:sz="0" w:space="0" w:color="auto"/>
                      </w:divBdr>
                    </w:div>
                    <w:div w:id="744031720">
                      <w:marLeft w:val="0"/>
                      <w:marRight w:val="0"/>
                      <w:marTop w:val="0"/>
                      <w:marBottom w:val="0"/>
                      <w:divBdr>
                        <w:top w:val="none" w:sz="0" w:space="0" w:color="auto"/>
                        <w:left w:val="none" w:sz="0" w:space="0" w:color="auto"/>
                        <w:bottom w:val="none" w:sz="0" w:space="0" w:color="auto"/>
                        <w:right w:val="none" w:sz="0" w:space="0" w:color="auto"/>
                      </w:divBdr>
                    </w:div>
                    <w:div w:id="378281093">
                      <w:marLeft w:val="0"/>
                      <w:marRight w:val="0"/>
                      <w:marTop w:val="0"/>
                      <w:marBottom w:val="0"/>
                      <w:divBdr>
                        <w:top w:val="none" w:sz="0" w:space="0" w:color="auto"/>
                        <w:left w:val="none" w:sz="0" w:space="0" w:color="auto"/>
                        <w:bottom w:val="none" w:sz="0" w:space="0" w:color="auto"/>
                        <w:right w:val="none" w:sz="0" w:space="0" w:color="auto"/>
                      </w:divBdr>
                    </w:div>
                    <w:div w:id="541214610">
                      <w:marLeft w:val="0"/>
                      <w:marRight w:val="0"/>
                      <w:marTop w:val="0"/>
                      <w:marBottom w:val="0"/>
                      <w:divBdr>
                        <w:top w:val="none" w:sz="0" w:space="0" w:color="auto"/>
                        <w:left w:val="none" w:sz="0" w:space="0" w:color="auto"/>
                        <w:bottom w:val="none" w:sz="0" w:space="0" w:color="auto"/>
                        <w:right w:val="none" w:sz="0" w:space="0" w:color="auto"/>
                      </w:divBdr>
                      <w:divsChild>
                        <w:div w:id="50640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154277">
          <w:marLeft w:val="0"/>
          <w:marRight w:val="0"/>
          <w:marTop w:val="105"/>
          <w:marBottom w:val="105"/>
          <w:divBdr>
            <w:top w:val="none" w:sz="0" w:space="0" w:color="auto"/>
            <w:left w:val="none" w:sz="0" w:space="0" w:color="auto"/>
            <w:bottom w:val="none" w:sz="0" w:space="0" w:color="auto"/>
            <w:right w:val="none" w:sz="0" w:space="0" w:color="auto"/>
          </w:divBdr>
          <w:divsChild>
            <w:div w:id="875118841">
              <w:marLeft w:val="0"/>
              <w:marRight w:val="0"/>
              <w:marTop w:val="0"/>
              <w:marBottom w:val="0"/>
              <w:divBdr>
                <w:top w:val="none" w:sz="0" w:space="0" w:color="auto"/>
                <w:left w:val="none" w:sz="0" w:space="0" w:color="auto"/>
                <w:bottom w:val="none" w:sz="0" w:space="0" w:color="auto"/>
                <w:right w:val="none" w:sz="0" w:space="0" w:color="auto"/>
              </w:divBdr>
              <w:divsChild>
                <w:div w:id="731469151">
                  <w:marLeft w:val="0"/>
                  <w:marRight w:val="0"/>
                  <w:marTop w:val="0"/>
                  <w:marBottom w:val="0"/>
                  <w:divBdr>
                    <w:top w:val="none" w:sz="0" w:space="0" w:color="auto"/>
                    <w:left w:val="none" w:sz="0" w:space="0" w:color="auto"/>
                    <w:bottom w:val="none" w:sz="0" w:space="0" w:color="auto"/>
                    <w:right w:val="none" w:sz="0" w:space="0" w:color="auto"/>
                  </w:divBdr>
                  <w:divsChild>
                    <w:div w:id="28103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495731">
          <w:marLeft w:val="0"/>
          <w:marRight w:val="0"/>
          <w:marTop w:val="0"/>
          <w:marBottom w:val="0"/>
          <w:divBdr>
            <w:top w:val="none" w:sz="0" w:space="0" w:color="auto"/>
            <w:left w:val="none" w:sz="0" w:space="0" w:color="auto"/>
            <w:bottom w:val="none" w:sz="0" w:space="0" w:color="auto"/>
            <w:right w:val="none" w:sz="0" w:space="0" w:color="auto"/>
          </w:divBdr>
          <w:divsChild>
            <w:div w:id="1973320642">
              <w:marLeft w:val="0"/>
              <w:marRight w:val="0"/>
              <w:marTop w:val="0"/>
              <w:marBottom w:val="0"/>
              <w:divBdr>
                <w:top w:val="none" w:sz="0" w:space="0" w:color="auto"/>
                <w:left w:val="none" w:sz="0" w:space="0" w:color="auto"/>
                <w:bottom w:val="none" w:sz="0" w:space="0" w:color="auto"/>
                <w:right w:val="none" w:sz="0" w:space="0" w:color="auto"/>
              </w:divBdr>
              <w:divsChild>
                <w:div w:id="1783527018">
                  <w:marLeft w:val="0"/>
                  <w:marRight w:val="0"/>
                  <w:marTop w:val="0"/>
                  <w:marBottom w:val="0"/>
                  <w:divBdr>
                    <w:top w:val="none" w:sz="0" w:space="0" w:color="auto"/>
                    <w:left w:val="none" w:sz="0" w:space="0" w:color="auto"/>
                    <w:bottom w:val="none" w:sz="0" w:space="0" w:color="auto"/>
                    <w:right w:val="none" w:sz="0" w:space="0" w:color="auto"/>
                  </w:divBdr>
                  <w:divsChild>
                    <w:div w:id="1831824788">
                      <w:marLeft w:val="0"/>
                      <w:marRight w:val="0"/>
                      <w:marTop w:val="0"/>
                      <w:marBottom w:val="0"/>
                      <w:divBdr>
                        <w:top w:val="none" w:sz="0" w:space="0" w:color="auto"/>
                        <w:left w:val="none" w:sz="0" w:space="0" w:color="auto"/>
                        <w:bottom w:val="none" w:sz="0" w:space="0" w:color="auto"/>
                        <w:right w:val="none" w:sz="0" w:space="0" w:color="auto"/>
                      </w:divBdr>
                      <w:divsChild>
                        <w:div w:id="2083521768">
                          <w:marLeft w:val="0"/>
                          <w:marRight w:val="0"/>
                          <w:marTop w:val="0"/>
                          <w:marBottom w:val="0"/>
                          <w:divBdr>
                            <w:top w:val="none" w:sz="0" w:space="0" w:color="auto"/>
                            <w:left w:val="none" w:sz="0" w:space="0" w:color="auto"/>
                            <w:bottom w:val="none" w:sz="0" w:space="0" w:color="auto"/>
                            <w:right w:val="none" w:sz="0" w:space="0" w:color="auto"/>
                          </w:divBdr>
                          <w:divsChild>
                            <w:div w:id="1564214339">
                              <w:marLeft w:val="0"/>
                              <w:marRight w:val="0"/>
                              <w:marTop w:val="0"/>
                              <w:marBottom w:val="0"/>
                              <w:divBdr>
                                <w:top w:val="none" w:sz="0" w:space="0" w:color="auto"/>
                                <w:left w:val="none" w:sz="0" w:space="0" w:color="auto"/>
                                <w:bottom w:val="none" w:sz="0" w:space="0" w:color="auto"/>
                                <w:right w:val="none" w:sz="0" w:space="0" w:color="auto"/>
                              </w:divBdr>
                              <w:divsChild>
                                <w:div w:id="764499596">
                                  <w:marLeft w:val="0"/>
                                  <w:marRight w:val="0"/>
                                  <w:marTop w:val="0"/>
                                  <w:marBottom w:val="0"/>
                                  <w:divBdr>
                                    <w:top w:val="none" w:sz="0" w:space="0" w:color="auto"/>
                                    <w:left w:val="none" w:sz="0" w:space="0" w:color="auto"/>
                                    <w:bottom w:val="none" w:sz="0" w:space="0" w:color="auto"/>
                                    <w:right w:val="none" w:sz="0" w:space="0" w:color="auto"/>
                                  </w:divBdr>
                                  <w:divsChild>
                                    <w:div w:id="99650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4975">
                          <w:marLeft w:val="0"/>
                          <w:marRight w:val="0"/>
                          <w:marTop w:val="0"/>
                          <w:marBottom w:val="0"/>
                          <w:divBdr>
                            <w:top w:val="none" w:sz="0" w:space="0" w:color="auto"/>
                            <w:left w:val="none" w:sz="0" w:space="0" w:color="auto"/>
                            <w:bottom w:val="none" w:sz="0" w:space="0" w:color="auto"/>
                            <w:right w:val="none" w:sz="0" w:space="0" w:color="auto"/>
                          </w:divBdr>
                          <w:divsChild>
                            <w:div w:id="1793014968">
                              <w:marLeft w:val="0"/>
                              <w:marRight w:val="0"/>
                              <w:marTop w:val="0"/>
                              <w:marBottom w:val="0"/>
                              <w:divBdr>
                                <w:top w:val="none" w:sz="0" w:space="0" w:color="auto"/>
                                <w:left w:val="none" w:sz="0" w:space="0" w:color="auto"/>
                                <w:bottom w:val="none" w:sz="0" w:space="0" w:color="auto"/>
                                <w:right w:val="none" w:sz="0" w:space="0" w:color="auto"/>
                              </w:divBdr>
                              <w:divsChild>
                                <w:div w:id="14176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8977925">
          <w:marLeft w:val="0"/>
          <w:marRight w:val="0"/>
          <w:marTop w:val="0"/>
          <w:marBottom w:val="0"/>
          <w:divBdr>
            <w:top w:val="none" w:sz="0" w:space="0" w:color="auto"/>
            <w:left w:val="none" w:sz="0" w:space="0" w:color="auto"/>
            <w:bottom w:val="none" w:sz="0" w:space="0" w:color="auto"/>
            <w:right w:val="none" w:sz="0" w:space="0" w:color="auto"/>
          </w:divBdr>
          <w:divsChild>
            <w:div w:id="919413860">
              <w:marLeft w:val="0"/>
              <w:marRight w:val="0"/>
              <w:marTop w:val="0"/>
              <w:marBottom w:val="0"/>
              <w:divBdr>
                <w:top w:val="none" w:sz="0" w:space="0" w:color="auto"/>
                <w:left w:val="none" w:sz="0" w:space="0" w:color="auto"/>
                <w:bottom w:val="none" w:sz="0" w:space="0" w:color="auto"/>
                <w:right w:val="none" w:sz="0" w:space="0" w:color="auto"/>
              </w:divBdr>
              <w:divsChild>
                <w:div w:id="989671969">
                  <w:marLeft w:val="0"/>
                  <w:marRight w:val="0"/>
                  <w:marTop w:val="0"/>
                  <w:marBottom w:val="0"/>
                  <w:divBdr>
                    <w:top w:val="none" w:sz="0" w:space="0" w:color="auto"/>
                    <w:left w:val="none" w:sz="0" w:space="0" w:color="auto"/>
                    <w:bottom w:val="none" w:sz="0" w:space="0" w:color="auto"/>
                    <w:right w:val="none" w:sz="0" w:space="0" w:color="auto"/>
                  </w:divBdr>
                  <w:divsChild>
                    <w:div w:id="35168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555040">
      <w:bodyDiv w:val="1"/>
      <w:marLeft w:val="0"/>
      <w:marRight w:val="0"/>
      <w:marTop w:val="0"/>
      <w:marBottom w:val="0"/>
      <w:divBdr>
        <w:top w:val="none" w:sz="0" w:space="0" w:color="auto"/>
        <w:left w:val="none" w:sz="0" w:space="0" w:color="auto"/>
        <w:bottom w:val="none" w:sz="0" w:space="0" w:color="auto"/>
        <w:right w:val="none" w:sz="0" w:space="0" w:color="auto"/>
      </w:divBdr>
      <w:divsChild>
        <w:div w:id="1136949181">
          <w:marLeft w:val="0"/>
          <w:marRight w:val="0"/>
          <w:marTop w:val="0"/>
          <w:marBottom w:val="0"/>
          <w:divBdr>
            <w:top w:val="none" w:sz="0" w:space="0" w:color="auto"/>
            <w:left w:val="none" w:sz="0" w:space="0" w:color="auto"/>
            <w:bottom w:val="none" w:sz="0" w:space="0" w:color="auto"/>
            <w:right w:val="none" w:sz="0" w:space="0" w:color="auto"/>
          </w:divBdr>
        </w:div>
        <w:div w:id="737827873">
          <w:marLeft w:val="0"/>
          <w:marRight w:val="0"/>
          <w:marTop w:val="0"/>
          <w:marBottom w:val="0"/>
          <w:divBdr>
            <w:top w:val="none" w:sz="0" w:space="0" w:color="auto"/>
            <w:left w:val="none" w:sz="0" w:space="0" w:color="auto"/>
            <w:bottom w:val="none" w:sz="0" w:space="0" w:color="auto"/>
            <w:right w:val="none" w:sz="0" w:space="0" w:color="auto"/>
          </w:divBdr>
        </w:div>
        <w:div w:id="839201242">
          <w:marLeft w:val="0"/>
          <w:marRight w:val="0"/>
          <w:marTop w:val="0"/>
          <w:marBottom w:val="0"/>
          <w:divBdr>
            <w:top w:val="none" w:sz="0" w:space="0" w:color="auto"/>
            <w:left w:val="none" w:sz="0" w:space="0" w:color="auto"/>
            <w:bottom w:val="none" w:sz="0" w:space="0" w:color="auto"/>
            <w:right w:val="none" w:sz="0" w:space="0" w:color="auto"/>
          </w:divBdr>
        </w:div>
        <w:div w:id="437142283">
          <w:marLeft w:val="0"/>
          <w:marRight w:val="0"/>
          <w:marTop w:val="0"/>
          <w:marBottom w:val="0"/>
          <w:divBdr>
            <w:top w:val="none" w:sz="0" w:space="0" w:color="auto"/>
            <w:left w:val="none" w:sz="0" w:space="0" w:color="auto"/>
            <w:bottom w:val="none" w:sz="0" w:space="0" w:color="auto"/>
            <w:right w:val="none" w:sz="0" w:space="0" w:color="auto"/>
          </w:divBdr>
        </w:div>
        <w:div w:id="6537964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tago.ac.nz/ctpi/otago032508.pdf" TargetMode="External"/><Relationship Id="rId13" Type="http://schemas.openxmlformats.org/officeDocument/2006/relationships/hyperlink" Target="http://gov.wales/topics/people-and-communities/equality-diversity/rightsequality/faith/faithforum1/?lang=en"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churchinparliament.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eb.a.ebscohost.com.ezproxy.uwtsd.ac.uk/ehost/pdfviewer/pdfviewer?vid=1&amp;sid=bf74ef8b-9ae9-4624-a5b6-7b67ce59a9e6%40sessionmgr400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eb.a.ebscohost.com.ezproxy.uwtsd.ac.uk/ehost/pdfviewer/pdfviewer?vid=1&amp;sid=24e14ccd-987c-4360-93d3-638d38fecabe%40sessionmgr4008" TargetMode="External"/><Relationship Id="rId4" Type="http://schemas.openxmlformats.org/officeDocument/2006/relationships/settings" Target="settings.xml"/><Relationship Id="rId9" Type="http://schemas.openxmlformats.org/officeDocument/2006/relationships/hyperlink" Target="https://doi.org/10.1177/0953946804017002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8FE6BC-275D-4FA6-B865-44A4E4F33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9713EEC4</Template>
  <TotalTime>0</TotalTime>
  <Pages>7</Pages>
  <Words>2212</Words>
  <Characters>11773</Characters>
  <Application>Microsoft Office Word</Application>
  <DocSecurity>0</DocSecurity>
  <Lines>206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Melda Grantham</dc:creator>
  <cp:lastModifiedBy>Melda Grantham</cp:lastModifiedBy>
  <cp:revision>2</cp:revision>
  <dcterms:created xsi:type="dcterms:W3CDTF">2018-01-23T17:07:00Z</dcterms:created>
  <dcterms:modified xsi:type="dcterms:W3CDTF">2018-01-23T17:07:00Z</dcterms:modified>
</cp:coreProperties>
</file>