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7421A" w14:textId="55A61B18" w:rsidR="00390BD1" w:rsidRPr="00F673A4" w:rsidRDefault="00C40B62" w:rsidP="00C40B62">
      <w:pPr>
        <w:jc w:val="center"/>
      </w:pPr>
      <w:r w:rsidRPr="00F673A4">
        <w:rPr>
          <w:noProof/>
        </w:rPr>
        <w:drawing>
          <wp:inline distT="0" distB="0" distL="0" distR="0" wp14:anchorId="606A59C2" wp14:editId="6B0252D9">
            <wp:extent cx="2651990" cy="1432684"/>
            <wp:effectExtent l="0" t="0" r="0" b="0"/>
            <wp:docPr id="58243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34070" name=""/>
                    <pic:cNvPicPr/>
                  </pic:nvPicPr>
                  <pic:blipFill>
                    <a:blip r:embed="rId8"/>
                    <a:stretch>
                      <a:fillRect/>
                    </a:stretch>
                  </pic:blipFill>
                  <pic:spPr>
                    <a:xfrm>
                      <a:off x="0" y="0"/>
                      <a:ext cx="2651990" cy="1432684"/>
                    </a:xfrm>
                    <a:prstGeom prst="rect">
                      <a:avLst/>
                    </a:prstGeom>
                  </pic:spPr>
                </pic:pic>
              </a:graphicData>
            </a:graphic>
          </wp:inline>
        </w:drawing>
      </w:r>
    </w:p>
    <w:p w14:paraId="1742572D" w14:textId="6BD5865A" w:rsidR="00C40B62" w:rsidRPr="00F673A4" w:rsidRDefault="00C40B62"/>
    <w:p w14:paraId="6029F836" w14:textId="77777777" w:rsidR="00C40B62" w:rsidRPr="00F673A4" w:rsidRDefault="00C40B62"/>
    <w:p w14:paraId="78ED7901" w14:textId="77777777" w:rsidR="007D3D3A" w:rsidRPr="00F673A4" w:rsidRDefault="007D3D3A"/>
    <w:p w14:paraId="6BCCB8A6" w14:textId="77777777" w:rsidR="007D3D3A" w:rsidRPr="00F673A4" w:rsidRDefault="007D3D3A"/>
    <w:p w14:paraId="2389A980" w14:textId="77777777" w:rsidR="007D3D3A" w:rsidRPr="00F673A4" w:rsidRDefault="007D3D3A"/>
    <w:p w14:paraId="5343BCC1" w14:textId="77777777" w:rsidR="007D3D3A" w:rsidRPr="00F673A4" w:rsidRDefault="007D3D3A"/>
    <w:p w14:paraId="561D26B4" w14:textId="77777777" w:rsidR="007D3D3A" w:rsidRPr="00F673A4" w:rsidRDefault="007D3D3A"/>
    <w:p w14:paraId="5F4B9508" w14:textId="77777777" w:rsidR="007D3D3A" w:rsidRPr="00F673A4" w:rsidRDefault="007D3D3A"/>
    <w:p w14:paraId="1703ABB5" w14:textId="77777777" w:rsidR="00C40B62" w:rsidRPr="00F673A4" w:rsidRDefault="00C40B62"/>
    <w:p w14:paraId="3F588396" w14:textId="77777777" w:rsidR="00C40B62" w:rsidRPr="00F673A4" w:rsidRDefault="00C40B62"/>
    <w:p w14:paraId="082CBE17" w14:textId="358ED6F0" w:rsidR="00C40B62" w:rsidRPr="00F673A4" w:rsidRDefault="007D3D3A" w:rsidP="00C77DBD">
      <w:pPr>
        <w:spacing w:line="360" w:lineRule="auto"/>
        <w:jc w:val="center"/>
        <w:rPr>
          <w:b/>
          <w:bCs/>
          <w:sz w:val="48"/>
          <w:szCs w:val="48"/>
        </w:rPr>
      </w:pPr>
      <w:r w:rsidRPr="00F673A4">
        <w:rPr>
          <w:b/>
          <w:bCs/>
          <w:sz w:val="48"/>
          <w:szCs w:val="48"/>
        </w:rPr>
        <w:t>Consent and its role in cases involving battery</w:t>
      </w:r>
    </w:p>
    <w:p w14:paraId="0D1FE2D6" w14:textId="77777777" w:rsidR="00C40B62" w:rsidRPr="00F673A4" w:rsidRDefault="00C40B62">
      <w:pPr>
        <w:rPr>
          <w:sz w:val="22"/>
          <w:szCs w:val="22"/>
        </w:rPr>
      </w:pPr>
    </w:p>
    <w:p w14:paraId="15B5964D" w14:textId="77777777" w:rsidR="00C40B62" w:rsidRPr="00F673A4" w:rsidRDefault="00C40B62"/>
    <w:p w14:paraId="1580EBF4" w14:textId="77777777" w:rsidR="00C40B62" w:rsidRPr="00F673A4" w:rsidRDefault="00C40B62"/>
    <w:p w14:paraId="20680FC1" w14:textId="77777777" w:rsidR="007D3D3A" w:rsidRPr="00F673A4" w:rsidRDefault="007D3D3A"/>
    <w:p w14:paraId="1DA5B0E4" w14:textId="77777777" w:rsidR="007D3D3A" w:rsidRPr="00F673A4" w:rsidRDefault="007D3D3A"/>
    <w:p w14:paraId="5BF1C2CC" w14:textId="77777777" w:rsidR="007D3D3A" w:rsidRPr="00F673A4" w:rsidRDefault="007D3D3A"/>
    <w:p w14:paraId="590C541E" w14:textId="77777777" w:rsidR="007D3D3A" w:rsidRPr="00F673A4" w:rsidRDefault="007D3D3A"/>
    <w:p w14:paraId="364EB847" w14:textId="77777777" w:rsidR="007D3D3A" w:rsidRPr="00F673A4" w:rsidRDefault="007D3D3A"/>
    <w:p w14:paraId="5ECB4496" w14:textId="77777777" w:rsidR="00C40B62" w:rsidRPr="00F673A4" w:rsidRDefault="00C40B62"/>
    <w:p w14:paraId="409641F9" w14:textId="77777777" w:rsidR="00B51039" w:rsidRPr="00B51039" w:rsidRDefault="00B51039" w:rsidP="00C77DBD">
      <w:pPr>
        <w:spacing w:line="360" w:lineRule="auto"/>
        <w:jc w:val="center"/>
        <w:rPr>
          <w:b/>
          <w:bCs/>
          <w:sz w:val="40"/>
          <w:szCs w:val="40"/>
        </w:rPr>
      </w:pPr>
      <w:r w:rsidRPr="00B51039">
        <w:rPr>
          <w:b/>
          <w:bCs/>
          <w:sz w:val="40"/>
          <w:szCs w:val="40"/>
        </w:rPr>
        <w:t>Student-ID number:</w:t>
      </w:r>
    </w:p>
    <w:p w14:paraId="5F6DC9EB" w14:textId="7A86E0EE" w:rsidR="00B51039" w:rsidRPr="00B51039" w:rsidRDefault="00B51039" w:rsidP="00C77DBD">
      <w:pPr>
        <w:spacing w:line="360" w:lineRule="auto"/>
        <w:jc w:val="center"/>
        <w:rPr>
          <w:b/>
          <w:bCs/>
          <w:sz w:val="40"/>
          <w:szCs w:val="40"/>
        </w:rPr>
      </w:pPr>
      <w:r w:rsidRPr="00B51039">
        <w:rPr>
          <w:b/>
          <w:bCs/>
          <w:sz w:val="40"/>
          <w:szCs w:val="40"/>
        </w:rPr>
        <w:t xml:space="preserve">Module </w:t>
      </w:r>
      <w:r w:rsidR="00BD5CBE" w:rsidRPr="00F673A4">
        <w:rPr>
          <w:b/>
          <w:bCs/>
          <w:sz w:val="40"/>
          <w:szCs w:val="40"/>
        </w:rPr>
        <w:t xml:space="preserve">Code: </w:t>
      </w:r>
    </w:p>
    <w:p w14:paraId="3E18772F" w14:textId="77777777" w:rsidR="00B51039" w:rsidRPr="00B51039" w:rsidRDefault="00B51039" w:rsidP="00C77DBD">
      <w:pPr>
        <w:spacing w:line="360" w:lineRule="auto"/>
        <w:jc w:val="center"/>
        <w:rPr>
          <w:b/>
          <w:bCs/>
          <w:sz w:val="40"/>
          <w:szCs w:val="40"/>
        </w:rPr>
      </w:pPr>
      <w:r w:rsidRPr="00B51039">
        <w:rPr>
          <w:b/>
          <w:bCs/>
          <w:sz w:val="40"/>
          <w:szCs w:val="40"/>
        </w:rPr>
        <w:t>Lecturer name:</w:t>
      </w:r>
    </w:p>
    <w:p w14:paraId="72839BE8" w14:textId="18F29333" w:rsidR="0036257E" w:rsidRPr="00F673A4" w:rsidRDefault="0036257E">
      <w:pPr>
        <w:spacing w:before="240" w:line="360" w:lineRule="auto"/>
        <w:jc w:val="both"/>
        <w:rPr>
          <w:sz w:val="40"/>
          <w:szCs w:val="40"/>
        </w:rPr>
      </w:pPr>
      <w:r w:rsidRPr="00F673A4">
        <w:rPr>
          <w:sz w:val="40"/>
          <w:szCs w:val="40"/>
        </w:rPr>
        <w:br w:type="page"/>
      </w:r>
    </w:p>
    <w:sdt>
      <w:sdtPr>
        <w:rPr>
          <w:rFonts w:ascii="Times New Roman" w:eastAsia="Calibri" w:hAnsi="Times New Roman" w:cs="Calibri"/>
          <w:color w:val="000000" w:themeColor="text1"/>
          <w:sz w:val="24"/>
          <w:szCs w:val="24"/>
          <w:lang w:val="en-GB" w:eastAsia="en-GB"/>
        </w:rPr>
        <w:id w:val="1360318501"/>
        <w:docPartObj>
          <w:docPartGallery w:val="Table of Contents"/>
          <w:docPartUnique/>
        </w:docPartObj>
      </w:sdtPr>
      <w:sdtEndPr>
        <w:rPr>
          <w:b/>
          <w:bCs/>
        </w:rPr>
      </w:sdtEndPr>
      <w:sdtContent>
        <w:p w14:paraId="24F6465A" w14:textId="3115B341" w:rsidR="001A1E4E" w:rsidRPr="00F673A4" w:rsidRDefault="001A1E4E">
          <w:pPr>
            <w:pStyle w:val="TOCHeading"/>
            <w:rPr>
              <w:rFonts w:ascii="Times New Roman" w:hAnsi="Times New Roman" w:cs="Times New Roman"/>
              <w:b/>
              <w:bCs/>
              <w:color w:val="auto"/>
              <w:lang w:val="en-GB"/>
            </w:rPr>
          </w:pPr>
          <w:r w:rsidRPr="00C77DBD">
            <w:rPr>
              <w:rFonts w:ascii="Times New Roman" w:hAnsi="Times New Roman" w:cs="Times New Roman"/>
              <w:b/>
              <w:bCs/>
              <w:color w:val="auto"/>
              <w:sz w:val="36"/>
              <w:szCs w:val="36"/>
              <w:lang w:val="en-GB"/>
            </w:rPr>
            <w:t>Table of Contents</w:t>
          </w:r>
        </w:p>
        <w:p w14:paraId="0ACFB975" w14:textId="660C563F" w:rsidR="009D42BA" w:rsidRDefault="001A1E4E">
          <w:pPr>
            <w:pStyle w:val="TOC1"/>
            <w:tabs>
              <w:tab w:val="right" w:leader="dot" w:pos="9016"/>
            </w:tabs>
            <w:rPr>
              <w:rFonts w:asciiTheme="minorHAnsi" w:eastAsiaTheme="minorEastAsia" w:hAnsiTheme="minorHAnsi" w:cstheme="minorBidi"/>
              <w:noProof/>
              <w:color w:val="auto"/>
              <w:sz w:val="22"/>
              <w:szCs w:val="22"/>
              <w:lang w:val="en-IN" w:eastAsia="en-IN"/>
            </w:rPr>
          </w:pPr>
          <w:r w:rsidRPr="00F673A4">
            <w:fldChar w:fldCharType="begin"/>
          </w:r>
          <w:r w:rsidRPr="00F673A4">
            <w:instrText xml:space="preserve"> TOC \o "1-3" \h \z \u </w:instrText>
          </w:r>
          <w:r w:rsidRPr="00F673A4">
            <w:fldChar w:fldCharType="separate"/>
          </w:r>
          <w:hyperlink w:anchor="_Toc149485597" w:history="1">
            <w:r w:rsidR="009D42BA" w:rsidRPr="00D16691">
              <w:rPr>
                <w:rStyle w:val="Hyperlink"/>
                <w:noProof/>
              </w:rPr>
              <w:t>Introduction</w:t>
            </w:r>
            <w:r w:rsidR="009D42BA">
              <w:rPr>
                <w:noProof/>
                <w:webHidden/>
              </w:rPr>
              <w:tab/>
            </w:r>
            <w:r w:rsidR="009D42BA">
              <w:rPr>
                <w:noProof/>
                <w:webHidden/>
              </w:rPr>
              <w:fldChar w:fldCharType="begin"/>
            </w:r>
            <w:r w:rsidR="009D42BA">
              <w:rPr>
                <w:noProof/>
                <w:webHidden/>
              </w:rPr>
              <w:instrText xml:space="preserve"> PAGEREF _Toc149485597 \h </w:instrText>
            </w:r>
            <w:r w:rsidR="009D42BA">
              <w:rPr>
                <w:noProof/>
                <w:webHidden/>
              </w:rPr>
            </w:r>
            <w:r w:rsidR="009D42BA">
              <w:rPr>
                <w:noProof/>
                <w:webHidden/>
              </w:rPr>
              <w:fldChar w:fldCharType="separate"/>
            </w:r>
            <w:r w:rsidR="009D42BA">
              <w:rPr>
                <w:noProof/>
                <w:webHidden/>
              </w:rPr>
              <w:t>3</w:t>
            </w:r>
            <w:r w:rsidR="009D42BA">
              <w:rPr>
                <w:noProof/>
                <w:webHidden/>
              </w:rPr>
              <w:fldChar w:fldCharType="end"/>
            </w:r>
          </w:hyperlink>
        </w:p>
        <w:p w14:paraId="5E0A7FD0" w14:textId="0319A04A" w:rsidR="009D42BA" w:rsidRDefault="009D42BA">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85598" w:history="1">
            <w:r w:rsidRPr="00D16691">
              <w:rPr>
                <w:rStyle w:val="Hyperlink"/>
                <w:noProof/>
              </w:rPr>
              <w:t>Main Body</w:t>
            </w:r>
            <w:r>
              <w:rPr>
                <w:noProof/>
                <w:webHidden/>
              </w:rPr>
              <w:tab/>
            </w:r>
            <w:r>
              <w:rPr>
                <w:noProof/>
                <w:webHidden/>
              </w:rPr>
              <w:fldChar w:fldCharType="begin"/>
            </w:r>
            <w:r>
              <w:rPr>
                <w:noProof/>
                <w:webHidden/>
              </w:rPr>
              <w:instrText xml:space="preserve"> PAGEREF _Toc149485598 \h </w:instrText>
            </w:r>
            <w:r>
              <w:rPr>
                <w:noProof/>
                <w:webHidden/>
              </w:rPr>
            </w:r>
            <w:r>
              <w:rPr>
                <w:noProof/>
                <w:webHidden/>
              </w:rPr>
              <w:fldChar w:fldCharType="separate"/>
            </w:r>
            <w:r>
              <w:rPr>
                <w:noProof/>
                <w:webHidden/>
              </w:rPr>
              <w:t>4</w:t>
            </w:r>
            <w:r>
              <w:rPr>
                <w:noProof/>
                <w:webHidden/>
              </w:rPr>
              <w:fldChar w:fldCharType="end"/>
            </w:r>
          </w:hyperlink>
        </w:p>
        <w:p w14:paraId="53D6453F" w14:textId="39F316AF" w:rsidR="009D42BA" w:rsidRDefault="009D42BA">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85599" w:history="1">
            <w:r w:rsidRPr="00D16691">
              <w:rPr>
                <w:rStyle w:val="Hyperlink"/>
                <w:noProof/>
              </w:rPr>
              <w:t>Conclusion</w:t>
            </w:r>
            <w:r>
              <w:rPr>
                <w:noProof/>
                <w:webHidden/>
              </w:rPr>
              <w:tab/>
            </w:r>
            <w:r>
              <w:rPr>
                <w:noProof/>
                <w:webHidden/>
              </w:rPr>
              <w:fldChar w:fldCharType="begin"/>
            </w:r>
            <w:r>
              <w:rPr>
                <w:noProof/>
                <w:webHidden/>
              </w:rPr>
              <w:instrText xml:space="preserve"> PAGEREF _Toc149485599 \h </w:instrText>
            </w:r>
            <w:r>
              <w:rPr>
                <w:noProof/>
                <w:webHidden/>
              </w:rPr>
            </w:r>
            <w:r>
              <w:rPr>
                <w:noProof/>
                <w:webHidden/>
              </w:rPr>
              <w:fldChar w:fldCharType="separate"/>
            </w:r>
            <w:r>
              <w:rPr>
                <w:noProof/>
                <w:webHidden/>
              </w:rPr>
              <w:t>7</w:t>
            </w:r>
            <w:r>
              <w:rPr>
                <w:noProof/>
                <w:webHidden/>
              </w:rPr>
              <w:fldChar w:fldCharType="end"/>
            </w:r>
          </w:hyperlink>
        </w:p>
        <w:p w14:paraId="5E2B774C" w14:textId="5C433873" w:rsidR="009D42BA" w:rsidRDefault="009D42BA">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49485600" w:history="1">
            <w:r w:rsidRPr="00D16691">
              <w:rPr>
                <w:rStyle w:val="Hyperlink"/>
                <w:noProof/>
              </w:rPr>
              <w:t>References</w:t>
            </w:r>
            <w:r>
              <w:rPr>
                <w:noProof/>
                <w:webHidden/>
              </w:rPr>
              <w:tab/>
            </w:r>
            <w:r>
              <w:rPr>
                <w:noProof/>
                <w:webHidden/>
              </w:rPr>
              <w:fldChar w:fldCharType="begin"/>
            </w:r>
            <w:r>
              <w:rPr>
                <w:noProof/>
                <w:webHidden/>
              </w:rPr>
              <w:instrText xml:space="preserve"> PAGEREF _Toc149485600 \h </w:instrText>
            </w:r>
            <w:r>
              <w:rPr>
                <w:noProof/>
                <w:webHidden/>
              </w:rPr>
            </w:r>
            <w:r>
              <w:rPr>
                <w:noProof/>
                <w:webHidden/>
              </w:rPr>
              <w:fldChar w:fldCharType="separate"/>
            </w:r>
            <w:r>
              <w:rPr>
                <w:noProof/>
                <w:webHidden/>
              </w:rPr>
              <w:t>8</w:t>
            </w:r>
            <w:r>
              <w:rPr>
                <w:noProof/>
                <w:webHidden/>
              </w:rPr>
              <w:fldChar w:fldCharType="end"/>
            </w:r>
          </w:hyperlink>
        </w:p>
        <w:p w14:paraId="16F5A810" w14:textId="448C90A6" w:rsidR="001A1E4E" w:rsidRPr="00F673A4" w:rsidRDefault="001A1E4E">
          <w:r w:rsidRPr="00F673A4">
            <w:rPr>
              <w:b/>
              <w:bCs/>
            </w:rPr>
            <w:fldChar w:fldCharType="end"/>
          </w:r>
        </w:p>
      </w:sdtContent>
    </w:sdt>
    <w:p w14:paraId="2DB943F4" w14:textId="3770C168" w:rsidR="0036257E" w:rsidRPr="00F673A4" w:rsidRDefault="0036257E">
      <w:pPr>
        <w:spacing w:before="240" w:line="360" w:lineRule="auto"/>
        <w:jc w:val="both"/>
        <w:rPr>
          <w:sz w:val="40"/>
          <w:szCs w:val="40"/>
        </w:rPr>
      </w:pPr>
      <w:r w:rsidRPr="00F673A4">
        <w:rPr>
          <w:sz w:val="40"/>
          <w:szCs w:val="40"/>
        </w:rPr>
        <w:br w:type="page"/>
      </w:r>
    </w:p>
    <w:p w14:paraId="7BB87D7B" w14:textId="65BA0C92" w:rsidR="00C8454B" w:rsidRPr="00F673A4" w:rsidRDefault="00C8454B" w:rsidP="00C8454B">
      <w:pPr>
        <w:pStyle w:val="Heading1"/>
        <w:rPr>
          <w:lang w:val="en-GB"/>
        </w:rPr>
      </w:pPr>
      <w:bookmarkStart w:id="0" w:name="_Toc149485597"/>
      <w:r w:rsidRPr="00F673A4">
        <w:rPr>
          <w:lang w:val="en-GB"/>
        </w:rPr>
        <w:lastRenderedPageBreak/>
        <w:t>Introduction</w:t>
      </w:r>
      <w:bookmarkEnd w:id="0"/>
      <w:r w:rsidRPr="00F673A4">
        <w:rPr>
          <w:lang w:val="en-GB"/>
        </w:rPr>
        <w:t xml:space="preserve"> </w:t>
      </w:r>
    </w:p>
    <w:p w14:paraId="5A89F994" w14:textId="72072A41" w:rsidR="001A1E4E" w:rsidRPr="00F673A4" w:rsidRDefault="00D918DD" w:rsidP="00BB6F9C">
      <w:pPr>
        <w:spacing w:line="360" w:lineRule="auto"/>
        <w:jc w:val="both"/>
      </w:pPr>
      <w:r w:rsidRPr="00F673A4">
        <w:t xml:space="preserve">Consent is a key </w:t>
      </w:r>
      <w:r w:rsidR="00BB6F9C" w:rsidRPr="00F673A4">
        <w:t>concept</w:t>
      </w:r>
      <w:r w:rsidR="00AC7261" w:rsidRPr="00F673A4">
        <w:t xml:space="preserve"> </w:t>
      </w:r>
      <w:r w:rsidRPr="00F673A4">
        <w:t xml:space="preserve">in lots of regions of regulation, and </w:t>
      </w:r>
      <w:r w:rsidR="009200D8">
        <w:t>the</w:t>
      </w:r>
      <w:r w:rsidRPr="00F673A4">
        <w:t xml:space="preserve"> miles </w:t>
      </w:r>
      <w:r w:rsidR="00573DCD">
        <w:t xml:space="preserve">are </w:t>
      </w:r>
      <w:r w:rsidRPr="00F673A4">
        <w:t xml:space="preserve">particularly essential in instances regarding battery. The regulation governing consent inside the United Kingdom has changed substantially over the years, reflecting the transferring attitudes and values of society. </w:t>
      </w:r>
      <w:r w:rsidR="00DC64BE" w:rsidRPr="00DC64BE">
        <w:t xml:space="preserve">The foundation for determining whether conduct is considered unlawful or justified is consent as a prison defence. Consent may be a </w:t>
      </w:r>
      <w:r w:rsidR="00DC64BE">
        <w:t>grey</w:t>
      </w:r>
      <w:r w:rsidR="00DC64BE" w:rsidRPr="00DC64BE">
        <w:t xml:space="preserve"> region in battery instances when it is tough to distinguish </w:t>
      </w:r>
      <w:r w:rsidR="00DC64BE">
        <w:t>between</w:t>
      </w:r>
      <w:r w:rsidR="00DC64BE" w:rsidRPr="00DC64BE">
        <w:t xml:space="preserve"> protecting oneself from chance and </w:t>
      </w:r>
      <w:r w:rsidR="00FB01EC">
        <w:t>working</w:t>
      </w:r>
      <w:r w:rsidR="00DC64BE" w:rsidRPr="00DC64BE">
        <w:t xml:space="preserve"> personal freedom.</w:t>
      </w:r>
      <w:r w:rsidR="0068208C" w:rsidRPr="0068208C">
        <w:t xml:space="preserve"> The basis for figuring out whether a </w:t>
      </w:r>
      <w:r w:rsidR="007A5990">
        <w:t>behaviour</w:t>
      </w:r>
      <w:r w:rsidR="0068208C" w:rsidRPr="0068208C">
        <w:t xml:space="preserve"> is considered illegal or justified is consent as a criminal defence. </w:t>
      </w:r>
      <w:r w:rsidRPr="00F673A4">
        <w:t>Examining how the regulation defines and interprets consent, in addition to the ramifications of consent for both sufferers and offenders in battery instances, this essay seeks to evaluate the notion of consent inside the UK and its significance in battery instances.</w:t>
      </w:r>
    </w:p>
    <w:p w14:paraId="2D81311B" w14:textId="77777777" w:rsidR="00C8454B" w:rsidRPr="00F673A4" w:rsidRDefault="00C8454B" w:rsidP="00BB6F9C">
      <w:pPr>
        <w:spacing w:before="240" w:line="360" w:lineRule="auto"/>
        <w:jc w:val="both"/>
        <w:rPr>
          <w:rFonts w:eastAsiaTheme="majorEastAsia" w:cstheme="majorBidi"/>
          <w:kern w:val="2"/>
          <w:sz w:val="36"/>
          <w14:ligatures w14:val="standardContextual"/>
        </w:rPr>
      </w:pPr>
      <w:r w:rsidRPr="00F673A4">
        <w:br w:type="page"/>
      </w:r>
    </w:p>
    <w:p w14:paraId="401AF872" w14:textId="48450A90" w:rsidR="004571DF" w:rsidRPr="00F673A4" w:rsidRDefault="00C8454B" w:rsidP="00C8454B">
      <w:pPr>
        <w:pStyle w:val="Heading1"/>
        <w:rPr>
          <w:lang w:val="en-GB"/>
        </w:rPr>
      </w:pPr>
      <w:bookmarkStart w:id="1" w:name="_Toc149485598"/>
      <w:r w:rsidRPr="00F673A4">
        <w:rPr>
          <w:lang w:val="en-GB"/>
        </w:rPr>
        <w:lastRenderedPageBreak/>
        <w:t>Main Body</w:t>
      </w:r>
      <w:bookmarkEnd w:id="1"/>
      <w:r w:rsidRPr="00F673A4">
        <w:rPr>
          <w:lang w:val="en-GB"/>
        </w:rPr>
        <w:t xml:space="preserve"> </w:t>
      </w:r>
    </w:p>
    <w:p w14:paraId="2A9A66A9" w14:textId="2638B8BA" w:rsidR="00FA05E4" w:rsidRPr="00F673A4" w:rsidRDefault="00FA05E4" w:rsidP="00FA05E4">
      <w:pPr>
        <w:spacing w:line="360" w:lineRule="auto"/>
        <w:jc w:val="both"/>
      </w:pPr>
      <w:r w:rsidRPr="00F673A4">
        <w:t xml:space="preserve">The UK's Legal Framework for Consent Both crook and civil laws inside the UK govern the idea of consent. To verify the legal device's significance in battery situations, one ought to have intensive information </w:t>
      </w:r>
      <w:r w:rsidR="00F673A4">
        <w:t>on</w:t>
      </w:r>
      <w:r w:rsidRPr="00F673A4">
        <w:t xml:space="preserve"> it</w:t>
      </w:r>
      <w:r w:rsidR="0072080B">
        <w:t xml:space="preserve"> </w:t>
      </w:r>
      <w:r w:rsidR="00C26B56">
        <w:t>(Harrison et al, 2018).</w:t>
      </w:r>
      <w:r w:rsidR="00755B54">
        <w:t xml:space="preserve"> </w:t>
      </w:r>
      <w:r w:rsidRPr="00F673A4">
        <w:t xml:space="preserve">In criminal law, the Sexual Offences Act 2003 is the principal act that addresses consent. A thorough framework for evaluating consent in sexual assault conditions is provided beneath this act. It describes consent as the man or woman's freely selected choice to partake in a selected sexual movement. The Act also states unequivocally that consent can be expressed by phrases, deeds, or every other manner that demonstrates a choice to participate. </w:t>
      </w:r>
      <w:r w:rsidR="00755B54">
        <w:t xml:space="preserve"> </w:t>
      </w:r>
      <w:r w:rsidRPr="00F673A4">
        <w:t>In civil law, battery and other personal damage lawsuits heavily depend upon the concept of permission. To show battery, the plaintiff ought to reveal that the perpetrator unlawfully and purposefully used force against them without their consent. If the consent is honest, voluntary, and knowledgeable, it serves as a comprehensive defence in these conditions</w:t>
      </w:r>
      <w:r w:rsidR="00772A58">
        <w:t xml:space="preserve"> </w:t>
      </w:r>
      <w:r w:rsidR="00D07259">
        <w:t>(</w:t>
      </w:r>
      <w:r w:rsidR="00D07259" w:rsidRPr="00801B93">
        <w:t>Glover-Thomas, 2020</w:t>
      </w:r>
      <w:r w:rsidR="00D07259">
        <w:t>)</w:t>
      </w:r>
      <w:r w:rsidR="00D07259" w:rsidRPr="00801B93">
        <w:t>.</w:t>
      </w:r>
    </w:p>
    <w:p w14:paraId="118046D5" w14:textId="645E8821" w:rsidR="004A3A08" w:rsidRPr="00C77DBD" w:rsidRDefault="00E96191" w:rsidP="00FA05E4">
      <w:pPr>
        <w:spacing w:line="360" w:lineRule="auto"/>
        <w:jc w:val="both"/>
        <w:rPr>
          <w:b/>
          <w:bCs/>
        </w:rPr>
      </w:pPr>
      <w:r w:rsidRPr="00C77DBD">
        <w:rPr>
          <w:b/>
          <w:bCs/>
        </w:rPr>
        <w:t>Important Consent Guidelines for Battery Cases</w:t>
      </w:r>
    </w:p>
    <w:p w14:paraId="3E7E5367" w14:textId="16715DD6" w:rsidR="00E96191" w:rsidRPr="0072641A" w:rsidRDefault="00447E47" w:rsidP="00FA05E4">
      <w:pPr>
        <w:spacing w:line="360" w:lineRule="auto"/>
        <w:jc w:val="both"/>
      </w:pPr>
      <w:r w:rsidRPr="00447E47">
        <w:t xml:space="preserve">A criminal offence that includes the </w:t>
      </w:r>
      <w:proofErr w:type="spellStart"/>
      <w:r w:rsidR="006B0625">
        <w:t>willful</w:t>
      </w:r>
      <w:proofErr w:type="spellEnd"/>
      <w:r w:rsidRPr="00447E47">
        <w:t xml:space="preserve"> and unlawful use of physical pressure or contact on some other character without that person's consent is known by using the felony term battery. It is a sort of assault that normally entails hitting, punching, slapping, or </w:t>
      </w:r>
      <w:r>
        <w:t>other</w:t>
      </w:r>
      <w:r w:rsidRPr="00447E47">
        <w:t xml:space="preserve"> physical contact that puts the sufferer in threat of bodily harm or ache.</w:t>
      </w:r>
      <w:r w:rsidR="00755B54">
        <w:t xml:space="preserve"> </w:t>
      </w:r>
      <w:r w:rsidR="00E96191" w:rsidRPr="0072641A">
        <w:t>Genuine approval</w:t>
      </w:r>
      <w:r w:rsidR="00B15BE9">
        <w:t xml:space="preserve"> is v</w:t>
      </w:r>
      <w:r w:rsidR="00E96191" w:rsidRPr="0072641A">
        <w:t>alid consent wishes to be honest. It should not be acquired via trickery, deceit, or pressure. In battery situations, real consent is inadmissible as a defence.</w:t>
      </w:r>
    </w:p>
    <w:p w14:paraId="4862F9D4" w14:textId="71A88E28" w:rsidR="006D5F26" w:rsidRPr="0072641A" w:rsidRDefault="00E96191" w:rsidP="00FA05E4">
      <w:pPr>
        <w:spacing w:line="360" w:lineRule="auto"/>
        <w:jc w:val="both"/>
      </w:pPr>
      <w:r w:rsidRPr="0072641A">
        <w:t>Informed consent</w:t>
      </w:r>
      <w:r w:rsidR="00D01FC5" w:rsidRPr="0072641A">
        <w:t xml:space="preserve">: </w:t>
      </w:r>
      <w:r w:rsidRPr="0072641A">
        <w:t xml:space="preserve">Determining whether a person is aware </w:t>
      </w:r>
      <w:r w:rsidR="00D01FC5" w:rsidRPr="0072641A">
        <w:t xml:space="preserve">of </w:t>
      </w:r>
      <w:r w:rsidRPr="0072641A">
        <w:t xml:space="preserve">the character and ramifications </w:t>
      </w:r>
      <w:r w:rsidR="00D01FC5" w:rsidRPr="0072641A">
        <w:t>of</w:t>
      </w:r>
      <w:r w:rsidRPr="0072641A">
        <w:t xml:space="preserve"> their acts relies upon their knowledgeable consent. The character giving consent </w:t>
      </w:r>
      <w:r w:rsidR="00F673A4" w:rsidRPr="0072641A">
        <w:t>has</w:t>
      </w:r>
      <w:r w:rsidRPr="0072641A">
        <w:t xml:space="preserve"> to be completely aware </w:t>
      </w:r>
      <w:r w:rsidR="00D01FC5" w:rsidRPr="0072641A">
        <w:t>of</w:t>
      </w:r>
      <w:r w:rsidRPr="0072641A">
        <w:t xml:space="preserve"> what it involves. Consent can be void if accurate statistics </w:t>
      </w:r>
      <w:r w:rsidR="00F673A4" w:rsidRPr="0072641A">
        <w:t>aren't</w:t>
      </w:r>
      <w:r w:rsidRPr="0072641A">
        <w:t xml:space="preserve"> always furnished</w:t>
      </w:r>
      <w:r w:rsidR="009200D8" w:rsidRPr="0072641A">
        <w:t xml:space="preserve"> (Izolda, 2019).</w:t>
      </w:r>
    </w:p>
    <w:p w14:paraId="0DDEDA38" w14:textId="468C1B3C" w:rsidR="00E542FF" w:rsidRPr="0072641A" w:rsidRDefault="008E4A74" w:rsidP="00FA05E4">
      <w:pPr>
        <w:spacing w:line="360" w:lineRule="auto"/>
        <w:jc w:val="both"/>
      </w:pPr>
      <w:r w:rsidRPr="0072641A">
        <w:t>Voluntary Consent</w:t>
      </w:r>
      <w:r w:rsidR="00E8629C">
        <w:t xml:space="preserve"> is </w:t>
      </w:r>
      <w:r w:rsidR="006D5F26" w:rsidRPr="0072641A">
        <w:t xml:space="preserve">When someone gives their voluntary consent, it way they may be doing it voluntarily. Any sort of coercion, hazard, or stress can erode the idea that consent is given voluntarily. </w:t>
      </w:r>
    </w:p>
    <w:p w14:paraId="2C8DD954" w14:textId="64EBD660" w:rsidR="00FA05E4" w:rsidRPr="0072641A" w:rsidRDefault="00170680" w:rsidP="00FA05E4">
      <w:pPr>
        <w:spacing w:line="360" w:lineRule="auto"/>
        <w:jc w:val="both"/>
      </w:pPr>
      <w:r w:rsidRPr="0072641A">
        <w:t>Consent Ability</w:t>
      </w:r>
      <w:r w:rsidR="00E8629C">
        <w:t xml:space="preserve"> is t</w:t>
      </w:r>
      <w:r w:rsidR="006D5F26" w:rsidRPr="0072641A">
        <w:t xml:space="preserve">he capability to offer consent is </w:t>
      </w:r>
      <w:r w:rsidR="00E542FF" w:rsidRPr="0072641A">
        <w:t>another</w:t>
      </w:r>
      <w:r w:rsidR="006D5F26" w:rsidRPr="0072641A">
        <w:t xml:space="preserve"> critical aspect. </w:t>
      </w:r>
      <w:r w:rsidR="00E542FF" w:rsidRPr="0072641A">
        <w:t>A</w:t>
      </w:r>
      <w:r w:rsidR="006D5F26" w:rsidRPr="0072641A">
        <w:t xml:space="preserve"> character </w:t>
      </w:r>
      <w:r w:rsidR="00E542FF" w:rsidRPr="0072641A">
        <w:t>has</w:t>
      </w:r>
      <w:r w:rsidR="006D5F26" w:rsidRPr="0072641A">
        <w:t xml:space="preserve"> to be capable of </w:t>
      </w:r>
      <w:r w:rsidR="00E542FF" w:rsidRPr="0072641A">
        <w:t>understanding</w:t>
      </w:r>
      <w:r w:rsidR="006D5F26" w:rsidRPr="0072641A">
        <w:t xml:space="preserve"> the outcomes of their moves which will supply legitimate permission. </w:t>
      </w:r>
      <w:r w:rsidR="00E542FF" w:rsidRPr="0072641A">
        <w:t>An</w:t>
      </w:r>
      <w:r w:rsidR="006D5F26" w:rsidRPr="0072641A">
        <w:t xml:space="preserve"> individual who's mentally incapable of giving consent won't be capable of </w:t>
      </w:r>
      <w:r w:rsidR="00E542FF" w:rsidRPr="0072641A">
        <w:t>using</w:t>
      </w:r>
      <w:r w:rsidR="006D5F26" w:rsidRPr="0072641A">
        <w:t xml:space="preserve"> it lawfully</w:t>
      </w:r>
      <w:r w:rsidR="00F779B2" w:rsidRPr="0072641A">
        <w:t xml:space="preserve"> </w:t>
      </w:r>
      <w:r w:rsidR="00F50420" w:rsidRPr="0072641A">
        <w:t>(Souryal and Whitehead, 2019). </w:t>
      </w:r>
    </w:p>
    <w:p w14:paraId="70CB4296" w14:textId="0219FC05" w:rsidR="008458B2" w:rsidRPr="00AE1656" w:rsidRDefault="009A0D31" w:rsidP="00FA05E4">
      <w:pPr>
        <w:spacing w:line="360" w:lineRule="auto"/>
        <w:jc w:val="both"/>
        <w:rPr>
          <w:b/>
          <w:bCs/>
        </w:rPr>
      </w:pPr>
      <w:r w:rsidRPr="00AE1656">
        <w:rPr>
          <w:b/>
          <w:bCs/>
        </w:rPr>
        <w:t>Ethical Consent Aspects</w:t>
      </w:r>
      <w:r w:rsidR="008458B2" w:rsidRPr="00AE1656">
        <w:rPr>
          <w:b/>
          <w:bCs/>
        </w:rPr>
        <w:t xml:space="preserve"> </w:t>
      </w:r>
      <w:r w:rsidR="005C0241" w:rsidRPr="00AE1656">
        <w:rPr>
          <w:b/>
          <w:bCs/>
        </w:rPr>
        <w:t xml:space="preserve">in </w:t>
      </w:r>
      <w:r w:rsidR="008458B2" w:rsidRPr="00AE1656">
        <w:rPr>
          <w:b/>
          <w:bCs/>
        </w:rPr>
        <w:t>Criminal Law</w:t>
      </w:r>
    </w:p>
    <w:p w14:paraId="0839047E" w14:textId="3B592C8B" w:rsidR="008458B2" w:rsidRPr="0072641A" w:rsidRDefault="009A0D31" w:rsidP="00FA05E4">
      <w:pPr>
        <w:spacing w:line="360" w:lineRule="auto"/>
        <w:jc w:val="both"/>
      </w:pPr>
      <w:r w:rsidRPr="0072641A">
        <w:lastRenderedPageBreak/>
        <w:t>The basis of the cr</w:t>
      </w:r>
      <w:r w:rsidR="005C0241" w:rsidRPr="0072641A">
        <w:t>iminal</w:t>
      </w:r>
      <w:r w:rsidRPr="0072641A">
        <w:t xml:space="preserve"> law concept of consent is ethical concerns. The ethical component of legal proceedings is represented by consent, which also poses essential problems approximately the autonomy and right to self-willpower.  </w:t>
      </w:r>
    </w:p>
    <w:p w14:paraId="086614ED" w14:textId="69BB5761" w:rsidR="009A0D31" w:rsidRPr="003D060F" w:rsidRDefault="009A0D31" w:rsidP="00FA05E4">
      <w:pPr>
        <w:spacing w:line="360" w:lineRule="auto"/>
        <w:jc w:val="both"/>
      </w:pPr>
      <w:r w:rsidRPr="003D060F">
        <w:t>Respect for Autonomy</w:t>
      </w:r>
      <w:r w:rsidR="003D060F">
        <w:t xml:space="preserve"> is the r</w:t>
      </w:r>
      <w:r w:rsidRPr="003D060F">
        <w:t xml:space="preserve">espect for private autonomy is one of the principal moral tenets of consent. It emphasises that humans have the freedom to make decisions about their bodies and lives and is a pillar of liberal societies. Ethics suggest that one ought to recognize a person's proper to interact in sexual </w:t>
      </w:r>
      <w:r w:rsidR="00E40791" w:rsidRPr="003D060F">
        <w:t>pastimes</w:t>
      </w:r>
      <w:r w:rsidRPr="003D060F">
        <w:t xml:space="preserve"> voluntarily and </w:t>
      </w:r>
      <w:r w:rsidR="00765071" w:rsidRPr="003D060F">
        <w:t>without</w:t>
      </w:r>
      <w:r w:rsidRPr="003D060F">
        <w:t xml:space="preserve"> pressure in situations concerning sexual consent, </w:t>
      </w:r>
      <w:r w:rsidR="00765071" w:rsidRPr="003D060F">
        <w:t>for</w:t>
      </w:r>
      <w:r w:rsidRPr="003D060F">
        <w:t xml:space="preserve"> instance</w:t>
      </w:r>
      <w:r w:rsidR="00F54ACB" w:rsidRPr="003D060F">
        <w:t xml:space="preserve"> </w:t>
      </w:r>
      <w:r w:rsidR="00D80EE7" w:rsidRPr="003D060F">
        <w:t>(Nemeth, 2022). </w:t>
      </w:r>
    </w:p>
    <w:p w14:paraId="1707D505" w14:textId="1629872D" w:rsidR="00365AE7" w:rsidRPr="003D060F" w:rsidRDefault="00365AE7" w:rsidP="00FA05E4">
      <w:pPr>
        <w:spacing w:line="360" w:lineRule="auto"/>
        <w:jc w:val="both"/>
      </w:pPr>
      <w:r w:rsidRPr="003D060F">
        <w:t>Vulnerabilit</w:t>
      </w:r>
      <w:r w:rsidR="003D060F">
        <w:t>y is w</w:t>
      </w:r>
      <w:r w:rsidRPr="003D060F">
        <w:t xml:space="preserve">hen one associate is distinctly greater vulnerable than the opposite, consent can grow to be tricky. For example, it's essential to determine whether </w:t>
      </w:r>
      <w:r w:rsidR="001C54BD" w:rsidRPr="003D060F">
        <w:t xml:space="preserve">the </w:t>
      </w:r>
      <w:r w:rsidRPr="003D060F">
        <w:t xml:space="preserve">agreement is </w:t>
      </w:r>
      <w:r w:rsidR="007C7AE5" w:rsidRPr="003D060F">
        <w:t>free</w:t>
      </w:r>
      <w:r w:rsidRPr="003D060F">
        <w:t xml:space="preserve"> and informed on the subject of minors, those with cognitive disabilities, or the ones below the </w:t>
      </w:r>
      <w:r w:rsidR="001C54BD" w:rsidRPr="003D060F">
        <w:t>effect</w:t>
      </w:r>
      <w:r w:rsidRPr="003D060F">
        <w:t xml:space="preserve"> of drugs or alcohol. There are ethical questions because of the possibility of exploitation in these circumstances. </w:t>
      </w:r>
      <w:r w:rsidR="000127A1" w:rsidRPr="000127A1">
        <w:t xml:space="preserve">Voluntary Consent should be freely granted, freed from pressure, threats, or duress. It should not be the final </w:t>
      </w:r>
      <w:r w:rsidR="00C77DBD">
        <w:t>result</w:t>
      </w:r>
      <w:r w:rsidR="000127A1" w:rsidRPr="000127A1">
        <w:t xml:space="preserve"> of intimidation or fear. Knowledgeable The man or woman giving consent must be aware of the nature of the movement they may be consenting to, in addition to its implications. Stated in another way, they want to recognize the possible dangers and outcomes. Ability The individual presenting consent ought will achieve this legally. </w:t>
      </w:r>
    </w:p>
    <w:p w14:paraId="033FFD4A" w14:textId="5B2351B5" w:rsidR="00490EF4" w:rsidRPr="003D060F" w:rsidRDefault="00365AE7" w:rsidP="00FA05E4">
      <w:pPr>
        <w:spacing w:line="360" w:lineRule="auto"/>
        <w:jc w:val="both"/>
      </w:pPr>
      <w:r w:rsidRPr="003D060F">
        <w:t>Consent and Power Dynamics</w:t>
      </w:r>
      <w:r w:rsidR="00A54A77">
        <w:t xml:space="preserve"> </w:t>
      </w:r>
      <w:r w:rsidR="00780D7A">
        <w:t>are</w:t>
      </w:r>
      <w:r w:rsidR="00A54A77">
        <w:t xml:space="preserve"> the p</w:t>
      </w:r>
      <w:r w:rsidRPr="003D060F">
        <w:t xml:space="preserve">ower disparities in </w:t>
      </w:r>
      <w:r w:rsidR="001C54BD" w:rsidRPr="003D060F">
        <w:t>several</w:t>
      </w:r>
      <w:r w:rsidRPr="003D060F">
        <w:t xml:space="preserve"> interactions, inclusive of therapist-affected </w:t>
      </w:r>
      <w:r w:rsidR="001C54BD" w:rsidRPr="003D060F">
        <w:t>persons</w:t>
      </w:r>
      <w:r w:rsidRPr="003D060F">
        <w:t xml:space="preserve">, business </w:t>
      </w:r>
      <w:r w:rsidR="001C54BD" w:rsidRPr="003D060F">
        <w:t>enterprise workers</w:t>
      </w:r>
      <w:r w:rsidRPr="003D060F">
        <w:t xml:space="preserve">, and prison </w:t>
      </w:r>
      <w:r w:rsidR="007C7AE5" w:rsidRPr="003D060F">
        <w:t>shield inmates</w:t>
      </w:r>
      <w:r w:rsidRPr="003D060F">
        <w:t xml:space="preserve">, </w:t>
      </w:r>
      <w:r w:rsidR="00A54A77">
        <w:t xml:space="preserve">which </w:t>
      </w:r>
      <w:r w:rsidRPr="003D060F">
        <w:t xml:space="preserve">must be taken under consideration while doing </w:t>
      </w:r>
      <w:r w:rsidR="001C54BD" w:rsidRPr="003D060F">
        <w:t>a</w:t>
      </w:r>
      <w:r w:rsidRPr="003D060F">
        <w:t xml:space="preserve"> moral analysis of consent. Consent may not always be freely granted in those circumstances because of power disparities. Ethical pointers </w:t>
      </w:r>
      <w:r w:rsidR="001C54BD" w:rsidRPr="003D060F">
        <w:t>intend</w:t>
      </w:r>
      <w:r w:rsidRPr="003D060F">
        <w:t xml:space="preserve"> to address these issues which will safeguard prone people from being taken benefit of</w:t>
      </w:r>
      <w:r w:rsidR="00F759C6" w:rsidRPr="003D060F">
        <w:t xml:space="preserve"> (Tebbit, 2017). </w:t>
      </w:r>
      <w:r w:rsidR="00490EF4" w:rsidRPr="003D060F">
        <w:t xml:space="preserve"> </w:t>
      </w:r>
    </w:p>
    <w:p w14:paraId="4D383455" w14:textId="432FA860" w:rsidR="00E938BD" w:rsidRPr="003D060F" w:rsidRDefault="00490EF4" w:rsidP="00FA05E4">
      <w:pPr>
        <w:spacing w:line="360" w:lineRule="auto"/>
        <w:jc w:val="both"/>
      </w:pPr>
      <w:r w:rsidRPr="003D060F">
        <w:t>Philosophical ideas have an essential function in shaping the interpretation and alertness of consent in criminal law. These theories assist us in realizing what proper consent is, how it pertains to the regulation, and how it operates. Contractually is a philosophical stance that sees consent as a type of social contract in which humans freely determine to abide with the aid of certain laws or take specific actions. In this example, consent turns critical to keeping both the legitimacy of felony establishments and the social order</w:t>
      </w:r>
      <w:r w:rsidR="009A0E53" w:rsidRPr="003D060F">
        <w:t xml:space="preserve"> (Hartvigsson, 2023).</w:t>
      </w:r>
      <w:r w:rsidR="000237D7">
        <w:t xml:space="preserve"> </w:t>
      </w:r>
      <w:r w:rsidR="001E2BD3">
        <w:t>A</w:t>
      </w:r>
      <w:r w:rsidR="00BB58ED" w:rsidRPr="003D060F">
        <w:t xml:space="preserve">ccording to utilitarian philosophy, consent must be assessed in phrases of maximising happiness or common </w:t>
      </w:r>
      <w:r w:rsidR="00A24A12" w:rsidRPr="003D060F">
        <w:t>utility</w:t>
      </w:r>
      <w:r w:rsidR="00BB58ED" w:rsidRPr="003D060F">
        <w:t>. When consent benefits the events involved or society as a whole,</w:t>
      </w:r>
      <w:r w:rsidR="006963F1" w:rsidRPr="003D060F">
        <w:t xml:space="preserve"> its </w:t>
      </w:r>
      <w:r w:rsidR="00BB58ED" w:rsidRPr="003D060F">
        <w:t xml:space="preserve">miles </w:t>
      </w:r>
      <w:r w:rsidR="006963F1" w:rsidRPr="003D060F">
        <w:t>appear</w:t>
      </w:r>
      <w:r w:rsidR="00BB58ED" w:rsidRPr="003D060F">
        <w:t xml:space="preserve"> valid. For instance, consensual moves that improve amusement for the character and do no harm to others can be justified through utilitarianism. Balancing Interests utilitarian </w:t>
      </w:r>
      <w:r w:rsidR="00BB58ED" w:rsidRPr="003D060F">
        <w:lastRenderedPageBreak/>
        <w:t xml:space="preserve">wondering, </w:t>
      </w:r>
      <w:r w:rsidR="00BC1FB5">
        <w:t xml:space="preserve">and </w:t>
      </w:r>
      <w:r w:rsidR="00BB58ED" w:rsidRPr="003D060F">
        <w:t>conflicting hobbies</w:t>
      </w:r>
      <w:r w:rsidR="00ED6681" w:rsidRPr="003D060F">
        <w:t xml:space="preserve"> </w:t>
      </w:r>
      <w:r w:rsidR="00BB58ED" w:rsidRPr="003D060F">
        <w:t>like the interests of the consenting individuals as opposed to possible damage to others</w:t>
      </w:r>
      <w:r w:rsidR="00ED6681" w:rsidRPr="003D060F">
        <w:t xml:space="preserve"> </w:t>
      </w:r>
      <w:r w:rsidR="00BB58ED" w:rsidRPr="003D060F">
        <w:t xml:space="preserve">are regularly taken into account. In situations </w:t>
      </w:r>
      <w:r w:rsidR="00ED6681" w:rsidRPr="003D060F">
        <w:t>where</w:t>
      </w:r>
      <w:r w:rsidR="00BB58ED" w:rsidRPr="003D060F">
        <w:t xml:space="preserve"> permission would possibly harm or negatively </w:t>
      </w:r>
      <w:r w:rsidR="006963F1" w:rsidRPr="003D060F">
        <w:t>affect</w:t>
      </w:r>
      <w:r w:rsidR="00BB58ED" w:rsidRPr="003D060F">
        <w:t xml:space="preserve"> third parties, this strategy can be complex and lift worries approximately the limits of consenting behaviour.</w:t>
      </w:r>
    </w:p>
    <w:p w14:paraId="6194377C" w14:textId="4435D631" w:rsidR="00B54C54" w:rsidRPr="00421DE1" w:rsidRDefault="0013491E" w:rsidP="00B54C54">
      <w:pPr>
        <w:spacing w:line="360" w:lineRule="auto"/>
        <w:jc w:val="both"/>
      </w:pPr>
      <w:r w:rsidRPr="003D060F">
        <w:t>Legal Principles</w:t>
      </w:r>
      <w:r w:rsidR="00F90448" w:rsidRPr="003D060F">
        <w:t xml:space="preserve"> Consent</w:t>
      </w:r>
      <w:r w:rsidR="00714727" w:rsidRPr="003D060F">
        <w:t xml:space="preserve"> Aspects </w:t>
      </w:r>
      <w:r w:rsidR="00F90448" w:rsidRPr="003D060F">
        <w:t>in Criminal Law</w:t>
      </w:r>
      <w:r w:rsidR="00BC1FB5">
        <w:t xml:space="preserve"> in b</w:t>
      </w:r>
      <w:r w:rsidR="00714727" w:rsidRPr="003D060F">
        <w:t>oth moral and philosophical underpinnings have an impact on how consent is interpreted and implemented in criminal regulation. Case regulation and criminal ideas are crucial in establishing the parameters of consent and comparing its applicability in different situations. An important consideration whilst selecting sexual consent is age. Most criminal frameworks impose an age minimum on consent so that it will shield minors from being used for sex. For example, statutory rape policies stipulate that permission cannot be legally given to a person more youthful than a specific age</w:t>
      </w:r>
      <w:r w:rsidR="00755B54">
        <w:t xml:space="preserve"> </w:t>
      </w:r>
      <w:r w:rsidR="00523E21" w:rsidRPr="003D060F">
        <w:t>(</w:t>
      </w:r>
      <w:proofErr w:type="spellStart"/>
      <w:r w:rsidR="00523E21" w:rsidRPr="003D060F">
        <w:t>Fedjki</w:t>
      </w:r>
      <w:proofErr w:type="spellEnd"/>
      <w:r w:rsidR="00523E21" w:rsidRPr="003D060F">
        <w:t>, 2023). </w:t>
      </w:r>
      <w:r w:rsidR="00714727" w:rsidRPr="003D060F">
        <w:t xml:space="preserve"> </w:t>
      </w:r>
    </w:p>
    <w:p w14:paraId="10CC311D" w14:textId="21C049E5" w:rsidR="00B54C54" w:rsidRPr="003D060F" w:rsidRDefault="009D513B" w:rsidP="00B54C54">
      <w:pPr>
        <w:spacing w:line="360" w:lineRule="auto"/>
        <w:jc w:val="both"/>
        <w:rPr>
          <w:lang w:val="en-IN"/>
        </w:rPr>
      </w:pPr>
      <w:r w:rsidRPr="009D513B">
        <w:t xml:space="preserve">Consensual Fighting and Sports Participants voluntarily </w:t>
      </w:r>
      <w:r w:rsidR="00DE2379">
        <w:t>interact</w:t>
      </w:r>
      <w:r w:rsidRPr="009D513B">
        <w:t xml:space="preserve"> in bodily contact when participating in sports activities and consensual </w:t>
      </w:r>
      <w:r w:rsidR="00DE2379">
        <w:t>prevention</w:t>
      </w:r>
      <w:r w:rsidRPr="009D513B">
        <w:t xml:space="preserve">, including boxing or martial arts. The individuals' consent is necessary for those movements to be </w:t>
      </w:r>
      <w:r w:rsidR="00DE2379">
        <w:t xml:space="preserve">in </w:t>
      </w:r>
      <w:r w:rsidRPr="009D513B">
        <w:t>prison. However, there are tight guidelines governing this consent, and using immoderate or illegal pressure might also result in crook fees.</w:t>
      </w:r>
      <w:r w:rsidR="00592091" w:rsidRPr="00592091">
        <w:rPr>
          <w:rFonts w:ascii="Roboto" w:hAnsi="Roboto"/>
          <w:color w:val="374151"/>
          <w:shd w:val="clear" w:color="auto" w:fill="F7F7F8"/>
        </w:rPr>
        <w:t xml:space="preserve"> </w:t>
      </w:r>
      <w:r w:rsidR="00592091" w:rsidRPr="00592091">
        <w:t xml:space="preserve">When it comes to battery instances—which might be crimes concerning the deliberate use of force against every other character—consent is vital. If a battery takes place without consent, there may be crook consequences. Nonetheless, it might be a robust defence against the </w:t>
      </w:r>
      <w:r w:rsidR="00872352">
        <w:t>one's</w:t>
      </w:r>
      <w:r w:rsidR="00592091" w:rsidRPr="00592091">
        <w:t xml:space="preserve"> accusations if the act </w:t>
      </w:r>
      <w:r w:rsidR="00C77DBD">
        <w:t>becomes</w:t>
      </w:r>
      <w:r w:rsidR="00592091" w:rsidRPr="00592091">
        <w:t xml:space="preserve"> consensual. </w:t>
      </w:r>
      <w:r w:rsidR="00592091">
        <w:t>“</w:t>
      </w:r>
      <w:r w:rsidR="00592091" w:rsidRPr="00592091">
        <w:t>Sports fights</w:t>
      </w:r>
      <w:r w:rsidR="00872352">
        <w:t>”</w:t>
      </w:r>
      <w:r w:rsidR="00592091" w:rsidRPr="00592091">
        <w:t xml:space="preserve"> or consenting fighting inner regulated carrying surroundings are the most well-known times of consensual battery inside the UK. </w:t>
      </w:r>
      <w:r w:rsidRPr="009D513B">
        <w:t xml:space="preserve"> Sexual consent</w:t>
      </w:r>
      <w:r w:rsidR="00DE2379">
        <w:t xml:space="preserve"> is a </w:t>
      </w:r>
      <w:r w:rsidRPr="009D513B">
        <w:t xml:space="preserve">query of consent </w:t>
      </w:r>
      <w:r w:rsidR="00DE2379">
        <w:t xml:space="preserve">that </w:t>
      </w:r>
      <w:r w:rsidRPr="009D513B">
        <w:t xml:space="preserve">is just as important </w:t>
      </w:r>
      <w:r w:rsidR="00DE2379">
        <w:t>as</w:t>
      </w:r>
      <w:r w:rsidRPr="009D513B">
        <w:t xml:space="preserve"> sexual behaviour. The necessity of consent in personal interactions is recounted in the UK. With all people's permission, people can take part in activities that include inflicting or receiving pain in this example. The foremost issue is defining the bounds of perfect behaviour and separating it from abusive behaviour.</w:t>
      </w:r>
      <w:r w:rsidR="00772A58" w:rsidRPr="003D060F">
        <w:rPr>
          <w:lang w:val="en-IN"/>
        </w:rPr>
        <w:t xml:space="preserve"> </w:t>
      </w:r>
      <w:r w:rsidR="00017528" w:rsidRPr="003D060F">
        <w:rPr>
          <w:lang w:val="en-IN"/>
        </w:rPr>
        <w:t>(</w:t>
      </w:r>
      <w:r w:rsidR="00017528" w:rsidRPr="003D060F">
        <w:t>Barnes-Bennetts, 2016). </w:t>
      </w:r>
    </w:p>
    <w:p w14:paraId="396A6257" w14:textId="0D439139" w:rsidR="003000A3" w:rsidRPr="000237D7" w:rsidRDefault="003000A3" w:rsidP="00B54C54">
      <w:pPr>
        <w:spacing w:line="360" w:lineRule="auto"/>
        <w:jc w:val="both"/>
      </w:pPr>
      <w:r w:rsidRPr="003D060F">
        <w:t xml:space="preserve">Employment and Contracts: The </w:t>
      </w:r>
      <w:r w:rsidR="0099503D" w:rsidRPr="003D060F">
        <w:t>contractual</w:t>
      </w:r>
      <w:r w:rsidRPr="003D060F">
        <w:t xml:space="preserve"> interpretation of consent is popular in terms of </w:t>
      </w:r>
      <w:r w:rsidR="0099503D" w:rsidRPr="003D060F">
        <w:t>painting</w:t>
      </w:r>
      <w:r w:rsidRPr="003D060F">
        <w:t xml:space="preserve"> contracts. Workers often agree to the phrases and conditions indexed in their employment contracts. The rules, however, also </w:t>
      </w:r>
      <w:r w:rsidR="0099503D" w:rsidRPr="003D060F">
        <w:t>restrict</w:t>
      </w:r>
      <w:r w:rsidRPr="003D060F">
        <w:t xml:space="preserve"> the enforcement of some clauses in contracts, consisting of people who violate </w:t>
      </w:r>
      <w:r w:rsidR="0099503D" w:rsidRPr="003D060F">
        <w:t>people's</w:t>
      </w:r>
      <w:r w:rsidRPr="003D060F">
        <w:t xml:space="preserve"> rights or take advantage of electricity disparities. </w:t>
      </w:r>
      <w:r w:rsidR="00780D7A">
        <w:t>In criminal</w:t>
      </w:r>
      <w:r w:rsidRPr="003D060F">
        <w:t xml:space="preserve"> Acts</w:t>
      </w:r>
      <w:r w:rsidR="001E2BD3">
        <w:t>,</w:t>
      </w:r>
      <w:r w:rsidR="00780D7A">
        <w:t xml:space="preserve"> c</w:t>
      </w:r>
      <w:r w:rsidRPr="003D060F">
        <w:t>onsent will also be invoked as a defence whilst a person participates in actions which are generally regarded as unlawful. Consensual duelling and a few sports, for example, might also contain sports which are illegal in any other case but are accepted with the agreement of both individuals</w:t>
      </w:r>
      <w:r w:rsidR="00F8430C" w:rsidRPr="003D060F">
        <w:t xml:space="preserve"> (Masters, 2021). </w:t>
      </w:r>
    </w:p>
    <w:p w14:paraId="4784AF47" w14:textId="5932EF43" w:rsidR="004571DF" w:rsidRPr="00755B54" w:rsidRDefault="004571DF" w:rsidP="00755B54">
      <w:pPr>
        <w:pStyle w:val="Heading1"/>
        <w:rPr>
          <w:rFonts w:eastAsia="Calibri" w:cs="Calibri"/>
          <w:kern w:val="0"/>
          <w:sz w:val="24"/>
          <w14:ligatures w14:val="none"/>
        </w:rPr>
      </w:pPr>
      <w:bookmarkStart w:id="2" w:name="_Toc149485599"/>
      <w:r w:rsidRPr="00F673A4">
        <w:lastRenderedPageBreak/>
        <w:t>Conclusion</w:t>
      </w:r>
      <w:bookmarkEnd w:id="2"/>
      <w:r w:rsidRPr="00F673A4">
        <w:t xml:space="preserve"> </w:t>
      </w:r>
    </w:p>
    <w:p w14:paraId="23AA1C08" w14:textId="165B54FA" w:rsidR="006D0F40" w:rsidRPr="006D0F40" w:rsidRDefault="006D0F40" w:rsidP="006D0F40">
      <w:pPr>
        <w:spacing w:line="360" w:lineRule="auto"/>
        <w:jc w:val="both"/>
      </w:pPr>
      <w:r w:rsidRPr="006D0F40">
        <w:t>The idea of consent in cr</w:t>
      </w:r>
      <w:r>
        <w:t>iminal</w:t>
      </w:r>
      <w:r w:rsidRPr="006D0F40">
        <w:t xml:space="preserve"> law is difficult and multidimensional, with robust roots in criminal, philosophical, and moral ideas. While addressing issues of vulnerability and exploitation, moral considerations vicinity a strong emphasis </w:t>
      </w:r>
      <w:r>
        <w:t>on</w:t>
      </w:r>
      <w:r w:rsidRPr="006D0F40">
        <w:t xml:space="preserve"> the value of autonomy and self-dedication. Philosophical stances like contractual and utilitarianism </w:t>
      </w:r>
      <w:r>
        <w:t>affect</w:t>
      </w:r>
      <w:r w:rsidRPr="006D0F40">
        <w:t xml:space="preserve"> how we interpret what suitable consent is.</w:t>
      </w:r>
      <w:r w:rsidR="00BE42C5" w:rsidRPr="00BE42C5">
        <w:rPr>
          <w:rFonts w:ascii="Roboto" w:hAnsi="Roboto"/>
          <w:color w:val="374151"/>
          <w:shd w:val="clear" w:color="auto" w:fill="F7F7F8"/>
        </w:rPr>
        <w:t xml:space="preserve"> </w:t>
      </w:r>
      <w:r w:rsidR="00BE42C5" w:rsidRPr="00BE42C5">
        <w:t xml:space="preserve">Through tasks including this, society may fit to guarantee that justice is carried out, inclined people are protected, and individual rights are upheld. Furthermore, it </w:t>
      </w:r>
      <w:r w:rsidR="00FB01EC">
        <w:t>pursues</w:t>
      </w:r>
      <w:r w:rsidR="00BE42C5" w:rsidRPr="00BE42C5">
        <w:t xml:space="preserve"> to clarify the problems and nuances that come up whilst attempting to attain justice even as putting stability among social interests and individual autonomy.</w:t>
      </w:r>
      <w:r w:rsidRPr="006D0F40">
        <w:t xml:space="preserve"> </w:t>
      </w:r>
    </w:p>
    <w:p w14:paraId="76AE1442" w14:textId="77777777" w:rsidR="004571DF" w:rsidRPr="00F673A4" w:rsidRDefault="004571DF">
      <w:pPr>
        <w:spacing w:before="240" w:line="360" w:lineRule="auto"/>
        <w:jc w:val="both"/>
        <w:rPr>
          <w:rFonts w:eastAsiaTheme="majorEastAsia" w:cstheme="majorBidi"/>
          <w:b/>
          <w:kern w:val="2"/>
          <w:sz w:val="36"/>
          <w14:ligatures w14:val="standardContextual"/>
        </w:rPr>
      </w:pPr>
      <w:r w:rsidRPr="00F673A4">
        <w:br w:type="page"/>
      </w:r>
    </w:p>
    <w:p w14:paraId="3DA064E8" w14:textId="09F78AEE" w:rsidR="0036257E" w:rsidRDefault="004571DF" w:rsidP="00C8454B">
      <w:pPr>
        <w:pStyle w:val="Heading1"/>
        <w:rPr>
          <w:lang w:val="en-GB"/>
        </w:rPr>
      </w:pPr>
      <w:bookmarkStart w:id="3" w:name="_Toc149485600"/>
      <w:r w:rsidRPr="00F673A4">
        <w:rPr>
          <w:lang w:val="en-GB"/>
        </w:rPr>
        <w:lastRenderedPageBreak/>
        <w:t>References</w:t>
      </w:r>
      <w:bookmarkEnd w:id="3"/>
      <w:r w:rsidRPr="00F673A4">
        <w:rPr>
          <w:lang w:val="en-GB"/>
        </w:rPr>
        <w:t xml:space="preserve"> </w:t>
      </w:r>
    </w:p>
    <w:p w14:paraId="1B388B27" w14:textId="77777777" w:rsidR="00C77DBD" w:rsidRDefault="00C77DBD" w:rsidP="00755B54">
      <w:pPr>
        <w:spacing w:line="360" w:lineRule="auto"/>
        <w:jc w:val="both"/>
      </w:pPr>
      <w:r w:rsidRPr="0081574E">
        <w:t xml:space="preserve">Barnes-Bennetts, H.G., </w:t>
      </w:r>
      <w:r>
        <w:t>(</w:t>
      </w:r>
      <w:r w:rsidRPr="0081574E">
        <w:t>2016</w:t>
      </w:r>
      <w:r>
        <w:t>)</w:t>
      </w:r>
      <w:r w:rsidRPr="0081574E">
        <w:t>. </w:t>
      </w:r>
      <w:r w:rsidRPr="00755B54">
        <w:rPr>
          <w:i/>
          <w:iCs/>
        </w:rPr>
        <w:t>Positive sexual consent: an investigation into perception and communication of positive sexual consent in heterosexual couples in the UK</w:t>
      </w:r>
      <w:r w:rsidRPr="0081574E">
        <w:t> (Doctoral dissertation, Bournemouth University).</w:t>
      </w:r>
    </w:p>
    <w:p w14:paraId="633F1B93" w14:textId="77777777" w:rsidR="00C77DBD" w:rsidRDefault="00C77DBD" w:rsidP="00755B54">
      <w:pPr>
        <w:spacing w:line="360" w:lineRule="auto"/>
        <w:jc w:val="both"/>
      </w:pPr>
      <w:r w:rsidRPr="002539AF">
        <w:t xml:space="preserve">Fedjki, K., </w:t>
      </w:r>
      <w:r>
        <w:t>(</w:t>
      </w:r>
      <w:r w:rsidRPr="002539AF">
        <w:t>2023</w:t>
      </w:r>
      <w:r>
        <w:t>)</w:t>
      </w:r>
      <w:r w:rsidRPr="002539AF">
        <w:t>. </w:t>
      </w:r>
      <w:r w:rsidRPr="00755B54">
        <w:rPr>
          <w:i/>
          <w:iCs/>
        </w:rPr>
        <w:t>Genetic Renaissance: A Legal, Philosophical, and Ethical Examination of Consent Using Autonomy &amp; Privacy in Genetic Testing</w:t>
      </w:r>
      <w:r w:rsidRPr="002539AF">
        <w:t> (Master's thesis, University of Waterloo).</w:t>
      </w:r>
    </w:p>
    <w:p w14:paraId="0711D064" w14:textId="77777777" w:rsidR="00C77DBD" w:rsidRDefault="00C77DBD" w:rsidP="00755B54">
      <w:pPr>
        <w:spacing w:line="360" w:lineRule="auto"/>
        <w:jc w:val="both"/>
      </w:pPr>
      <w:r w:rsidRPr="00801B93">
        <w:t xml:space="preserve">Glover-Thomas, N., </w:t>
      </w:r>
      <w:r>
        <w:t>(</w:t>
      </w:r>
      <w:r w:rsidRPr="00801B93">
        <w:t>2020</w:t>
      </w:r>
      <w:r>
        <w:t>)</w:t>
      </w:r>
      <w:r w:rsidRPr="00801B93">
        <w:t>. 4. Informed consent: the UK perspective. In </w:t>
      </w:r>
      <w:r w:rsidRPr="00755B54">
        <w:rPr>
          <w:i/>
          <w:iCs/>
        </w:rPr>
        <w:t>Informed Consent and Health: A Global Analysis</w:t>
      </w:r>
      <w:r w:rsidRPr="00801B93">
        <w:t> (pp. 74-100). Edward Elgar Publishing Ltd.</w:t>
      </w:r>
    </w:p>
    <w:p w14:paraId="517434B7" w14:textId="77777777" w:rsidR="00C77DBD" w:rsidRDefault="00C77DBD" w:rsidP="00755B54">
      <w:pPr>
        <w:spacing w:line="360" w:lineRule="auto"/>
        <w:jc w:val="both"/>
      </w:pPr>
      <w:r w:rsidRPr="00094B43">
        <w:t xml:space="preserve">Harrison, N., Hewitt, H., Pandya, P. and Reisel, D., </w:t>
      </w:r>
      <w:r>
        <w:t>(</w:t>
      </w:r>
      <w:r w:rsidRPr="00094B43">
        <w:t>2018</w:t>
      </w:r>
      <w:r>
        <w:t>)</w:t>
      </w:r>
      <w:r w:rsidRPr="00094B43">
        <w:t>. How Montgomery is reconfiguring consent in the UK. </w:t>
      </w:r>
      <w:r w:rsidRPr="00755B54">
        <w:rPr>
          <w:i/>
          <w:iCs/>
        </w:rPr>
        <w:t>The Lancet</w:t>
      </w:r>
      <w:r w:rsidRPr="00094B43">
        <w:t>, </w:t>
      </w:r>
      <w:r w:rsidRPr="00755B54">
        <w:rPr>
          <w:i/>
          <w:iCs/>
        </w:rPr>
        <w:t>392</w:t>
      </w:r>
      <w:r w:rsidRPr="00094B43">
        <w:t>(10142), pp.102-104.</w:t>
      </w:r>
    </w:p>
    <w:p w14:paraId="721726A5" w14:textId="77777777" w:rsidR="00C77DBD" w:rsidRDefault="00C77DBD" w:rsidP="00755B54">
      <w:pPr>
        <w:spacing w:line="360" w:lineRule="auto"/>
        <w:jc w:val="both"/>
      </w:pPr>
      <w:r w:rsidRPr="00FB1B4B">
        <w:t xml:space="preserve">Hartvigsson, T., </w:t>
      </w:r>
      <w:r>
        <w:t>(</w:t>
      </w:r>
      <w:r w:rsidRPr="00FB1B4B">
        <w:t>2023</w:t>
      </w:r>
      <w:r>
        <w:t>)</w:t>
      </w:r>
      <w:r w:rsidRPr="00FB1B4B">
        <w:t>. Between punishment and care: Autonomous offenders who commit crimes under the influence of mental disorder. </w:t>
      </w:r>
      <w:r w:rsidRPr="00755B54">
        <w:rPr>
          <w:i/>
          <w:iCs/>
        </w:rPr>
        <w:t>Criminal Law and Philosophy</w:t>
      </w:r>
      <w:r w:rsidRPr="00FB1B4B">
        <w:t>, </w:t>
      </w:r>
      <w:r w:rsidRPr="00755B54">
        <w:rPr>
          <w:i/>
          <w:iCs/>
        </w:rPr>
        <w:t>17</w:t>
      </w:r>
      <w:r w:rsidRPr="00FB1B4B">
        <w:t>(1), pp.111-134.</w:t>
      </w:r>
    </w:p>
    <w:p w14:paraId="7D3283CB" w14:textId="77777777" w:rsidR="00C77DBD" w:rsidRPr="00094B43" w:rsidRDefault="00C77DBD" w:rsidP="00755B54">
      <w:pPr>
        <w:spacing w:line="360" w:lineRule="auto"/>
        <w:jc w:val="both"/>
      </w:pPr>
      <w:r w:rsidRPr="007655AF">
        <w:t xml:space="preserve">Izolda, T., </w:t>
      </w:r>
      <w:r>
        <w:t>(</w:t>
      </w:r>
      <w:r w:rsidRPr="007655AF">
        <w:t>2019</w:t>
      </w:r>
      <w:r>
        <w:t>)</w:t>
      </w:r>
      <w:r w:rsidRPr="007655AF">
        <w:t>. Juris aequalitas inter sexum et sexum Philosophical and Practical Issues of Human Rights, Anomalies, Excerpts from Criminal and Labor Law. </w:t>
      </w:r>
      <w:r w:rsidRPr="00755B54">
        <w:rPr>
          <w:i/>
          <w:iCs/>
        </w:rPr>
        <w:t>International Journal of Pedagogy, Innovation and New Technologies</w:t>
      </w:r>
      <w:r w:rsidRPr="007655AF">
        <w:t>, (6 (2), pp.90-103.</w:t>
      </w:r>
    </w:p>
    <w:p w14:paraId="15F70CB1" w14:textId="77777777" w:rsidR="00C77DBD" w:rsidRDefault="00C77DBD" w:rsidP="00755B54">
      <w:pPr>
        <w:spacing w:line="360" w:lineRule="auto"/>
        <w:jc w:val="both"/>
      </w:pPr>
      <w:r w:rsidRPr="00A25F96">
        <w:t xml:space="preserve">Masters, R.E., </w:t>
      </w:r>
      <w:r>
        <w:t>(</w:t>
      </w:r>
      <w:r w:rsidRPr="00A25F96">
        <w:t>2021</w:t>
      </w:r>
      <w:r>
        <w:t>)</w:t>
      </w:r>
      <w:r w:rsidRPr="00A25F96">
        <w:t>. </w:t>
      </w:r>
      <w:r w:rsidRPr="00755B54">
        <w:rPr>
          <w:i/>
          <w:iCs/>
        </w:rPr>
        <w:t>Counselling criminal justice offenders</w:t>
      </w:r>
      <w:r w:rsidRPr="00A25F96">
        <w:t>. Sage publications.</w:t>
      </w:r>
    </w:p>
    <w:p w14:paraId="41AEA536" w14:textId="77777777" w:rsidR="00C77DBD" w:rsidRDefault="00C77DBD" w:rsidP="00755B54">
      <w:pPr>
        <w:spacing w:line="360" w:lineRule="auto"/>
        <w:jc w:val="both"/>
      </w:pPr>
      <w:r w:rsidRPr="00756486">
        <w:t xml:space="preserve">Nemeth, C.P., </w:t>
      </w:r>
      <w:r>
        <w:t>(</w:t>
      </w:r>
      <w:r w:rsidRPr="00756486">
        <w:t>2022</w:t>
      </w:r>
      <w:r>
        <w:t>)</w:t>
      </w:r>
      <w:r w:rsidRPr="00756486">
        <w:t>. </w:t>
      </w:r>
      <w:r w:rsidRPr="00755B54">
        <w:rPr>
          <w:i/>
          <w:iCs/>
        </w:rPr>
        <w:t>Criminal Law: Historical, Ethical, and Moral Foundations</w:t>
      </w:r>
      <w:r w:rsidRPr="00756486">
        <w:t>. Routledge.</w:t>
      </w:r>
    </w:p>
    <w:p w14:paraId="6404EA52" w14:textId="77777777" w:rsidR="00C77DBD" w:rsidRDefault="00C77DBD" w:rsidP="00755B54">
      <w:pPr>
        <w:spacing w:line="360" w:lineRule="auto"/>
        <w:jc w:val="both"/>
      </w:pPr>
      <w:r w:rsidRPr="00985DD8">
        <w:t xml:space="preserve">Souryal, S.S. and Whitehead, J.T., </w:t>
      </w:r>
      <w:r>
        <w:t>(</w:t>
      </w:r>
      <w:r w:rsidRPr="00985DD8">
        <w:t>2019</w:t>
      </w:r>
      <w:r>
        <w:t>)</w:t>
      </w:r>
      <w:r w:rsidRPr="00985DD8">
        <w:t>. </w:t>
      </w:r>
      <w:r w:rsidRPr="00755B54">
        <w:rPr>
          <w:i/>
          <w:iCs/>
        </w:rPr>
        <w:t>Ethics in criminal justice: In search of the truth</w:t>
      </w:r>
      <w:r w:rsidRPr="00985DD8">
        <w:t>. Routledge.</w:t>
      </w:r>
    </w:p>
    <w:p w14:paraId="2B9E4699" w14:textId="77777777" w:rsidR="00C77DBD" w:rsidRDefault="00C77DBD" w:rsidP="00755B54">
      <w:pPr>
        <w:spacing w:line="360" w:lineRule="auto"/>
        <w:jc w:val="both"/>
      </w:pPr>
      <w:r w:rsidRPr="0008461E">
        <w:t xml:space="preserve">Tebbit, M., </w:t>
      </w:r>
      <w:r>
        <w:t>(</w:t>
      </w:r>
      <w:r w:rsidRPr="0008461E">
        <w:t>2017</w:t>
      </w:r>
      <w:r>
        <w:t>)</w:t>
      </w:r>
      <w:r w:rsidRPr="0008461E">
        <w:t>. </w:t>
      </w:r>
      <w:r w:rsidRPr="00755B54">
        <w:rPr>
          <w:i/>
          <w:iCs/>
        </w:rPr>
        <w:t>Philosophy of law: An introduction</w:t>
      </w:r>
      <w:r w:rsidRPr="0008461E">
        <w:t>. Taylor &amp; Francis.</w:t>
      </w:r>
    </w:p>
    <w:sectPr w:rsidR="00C77DB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8B7A2" w14:textId="77777777" w:rsidR="0019425E" w:rsidRPr="00F673A4" w:rsidRDefault="0019425E" w:rsidP="008777E6">
      <w:r w:rsidRPr="00F673A4">
        <w:separator/>
      </w:r>
    </w:p>
  </w:endnote>
  <w:endnote w:type="continuationSeparator" w:id="0">
    <w:p w14:paraId="03A188F9" w14:textId="77777777" w:rsidR="0019425E" w:rsidRPr="00F673A4" w:rsidRDefault="0019425E" w:rsidP="008777E6">
      <w:r w:rsidRPr="00F673A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561104"/>
      <w:docPartObj>
        <w:docPartGallery w:val="Page Numbers (Bottom of Page)"/>
        <w:docPartUnique/>
      </w:docPartObj>
    </w:sdtPr>
    <w:sdtEndPr/>
    <w:sdtContent>
      <w:p w14:paraId="668CD6EB" w14:textId="4A940EE5" w:rsidR="008777E6" w:rsidRPr="00F673A4" w:rsidRDefault="008777E6">
        <w:pPr>
          <w:pStyle w:val="Footer"/>
          <w:jc w:val="right"/>
        </w:pPr>
        <w:r w:rsidRPr="00F673A4">
          <w:fldChar w:fldCharType="begin"/>
        </w:r>
        <w:r w:rsidRPr="00F673A4">
          <w:instrText xml:space="preserve"> PAGE   \* MERGEFORMAT </w:instrText>
        </w:r>
        <w:r w:rsidRPr="00F673A4">
          <w:fldChar w:fldCharType="separate"/>
        </w:r>
        <w:r w:rsidRPr="00F673A4">
          <w:t>2</w:t>
        </w:r>
        <w:r w:rsidRPr="00F673A4">
          <w:fldChar w:fldCharType="end"/>
        </w:r>
      </w:p>
    </w:sdtContent>
  </w:sdt>
  <w:p w14:paraId="39A03F9C" w14:textId="77777777" w:rsidR="008777E6" w:rsidRPr="00F673A4" w:rsidRDefault="00877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D45D4" w14:textId="77777777" w:rsidR="0019425E" w:rsidRPr="00F673A4" w:rsidRDefault="0019425E" w:rsidP="008777E6">
      <w:r w:rsidRPr="00F673A4">
        <w:separator/>
      </w:r>
    </w:p>
  </w:footnote>
  <w:footnote w:type="continuationSeparator" w:id="0">
    <w:p w14:paraId="7B686909" w14:textId="77777777" w:rsidR="0019425E" w:rsidRPr="00F673A4" w:rsidRDefault="0019425E" w:rsidP="008777E6">
      <w:r w:rsidRPr="00F673A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E3CDD"/>
    <w:multiLevelType w:val="hybridMultilevel"/>
    <w:tmpl w:val="485440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C86AE8"/>
    <w:multiLevelType w:val="hybridMultilevel"/>
    <w:tmpl w:val="04F46B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D6"/>
    <w:rsid w:val="000127A1"/>
    <w:rsid w:val="00017528"/>
    <w:rsid w:val="000237D7"/>
    <w:rsid w:val="000313BF"/>
    <w:rsid w:val="0008461E"/>
    <w:rsid w:val="00094B43"/>
    <w:rsid w:val="00103DEC"/>
    <w:rsid w:val="001251B8"/>
    <w:rsid w:val="0013491E"/>
    <w:rsid w:val="00170680"/>
    <w:rsid w:val="0019425E"/>
    <w:rsid w:val="001A1E4E"/>
    <w:rsid w:val="001C54BD"/>
    <w:rsid w:val="001E2BD3"/>
    <w:rsid w:val="00203F9E"/>
    <w:rsid w:val="00232175"/>
    <w:rsid w:val="00240AB8"/>
    <w:rsid w:val="002539AF"/>
    <w:rsid w:val="00255AC2"/>
    <w:rsid w:val="0026659B"/>
    <w:rsid w:val="002A6428"/>
    <w:rsid w:val="002E5F9C"/>
    <w:rsid w:val="003000A3"/>
    <w:rsid w:val="00354229"/>
    <w:rsid w:val="003624B0"/>
    <w:rsid w:val="0036257E"/>
    <w:rsid w:val="00365AE7"/>
    <w:rsid w:val="00390BD1"/>
    <w:rsid w:val="003D060F"/>
    <w:rsid w:val="003E2984"/>
    <w:rsid w:val="00421DE1"/>
    <w:rsid w:val="00447E47"/>
    <w:rsid w:val="004571DF"/>
    <w:rsid w:val="00490EF4"/>
    <w:rsid w:val="004A3A08"/>
    <w:rsid w:val="004C0AB0"/>
    <w:rsid w:val="004D3DF2"/>
    <w:rsid w:val="004E5CD1"/>
    <w:rsid w:val="00523E21"/>
    <w:rsid w:val="00544273"/>
    <w:rsid w:val="00573DCD"/>
    <w:rsid w:val="00592091"/>
    <w:rsid w:val="005C0241"/>
    <w:rsid w:val="006271AD"/>
    <w:rsid w:val="0065269A"/>
    <w:rsid w:val="00681F2D"/>
    <w:rsid w:val="0068208C"/>
    <w:rsid w:val="006963F1"/>
    <w:rsid w:val="006B0625"/>
    <w:rsid w:val="006B08E5"/>
    <w:rsid w:val="006D0F40"/>
    <w:rsid w:val="006D5F26"/>
    <w:rsid w:val="00714727"/>
    <w:rsid w:val="0072080B"/>
    <w:rsid w:val="0072641A"/>
    <w:rsid w:val="00743B39"/>
    <w:rsid w:val="00755B54"/>
    <w:rsid w:val="00756486"/>
    <w:rsid w:val="00765071"/>
    <w:rsid w:val="007655AF"/>
    <w:rsid w:val="00772A58"/>
    <w:rsid w:val="00780D7A"/>
    <w:rsid w:val="007A01D6"/>
    <w:rsid w:val="007A5990"/>
    <w:rsid w:val="007B5EE4"/>
    <w:rsid w:val="007C7AE5"/>
    <w:rsid w:val="007D3D3A"/>
    <w:rsid w:val="007F0609"/>
    <w:rsid w:val="00801B93"/>
    <w:rsid w:val="00806978"/>
    <w:rsid w:val="00813CCC"/>
    <w:rsid w:val="0081574E"/>
    <w:rsid w:val="00826BDC"/>
    <w:rsid w:val="00844530"/>
    <w:rsid w:val="008458B2"/>
    <w:rsid w:val="00872352"/>
    <w:rsid w:val="008777E6"/>
    <w:rsid w:val="00893CEA"/>
    <w:rsid w:val="008E4A74"/>
    <w:rsid w:val="008F4AFF"/>
    <w:rsid w:val="009200D8"/>
    <w:rsid w:val="0096086A"/>
    <w:rsid w:val="00985DD8"/>
    <w:rsid w:val="00986185"/>
    <w:rsid w:val="00991835"/>
    <w:rsid w:val="0099503D"/>
    <w:rsid w:val="009A0D31"/>
    <w:rsid w:val="009A0E53"/>
    <w:rsid w:val="009C283E"/>
    <w:rsid w:val="009D42BA"/>
    <w:rsid w:val="009D513B"/>
    <w:rsid w:val="00A0163F"/>
    <w:rsid w:val="00A24A12"/>
    <w:rsid w:val="00A25F96"/>
    <w:rsid w:val="00A54A77"/>
    <w:rsid w:val="00A642BB"/>
    <w:rsid w:val="00A700E9"/>
    <w:rsid w:val="00A9319F"/>
    <w:rsid w:val="00A95530"/>
    <w:rsid w:val="00A97A14"/>
    <w:rsid w:val="00AC7261"/>
    <w:rsid w:val="00AE1656"/>
    <w:rsid w:val="00B15BE9"/>
    <w:rsid w:val="00B51039"/>
    <w:rsid w:val="00B54C54"/>
    <w:rsid w:val="00B60A28"/>
    <w:rsid w:val="00BB58ED"/>
    <w:rsid w:val="00BB6F9C"/>
    <w:rsid w:val="00BC1FB5"/>
    <w:rsid w:val="00BD5CBE"/>
    <w:rsid w:val="00BE42C5"/>
    <w:rsid w:val="00C07BE0"/>
    <w:rsid w:val="00C26B56"/>
    <w:rsid w:val="00C31D1C"/>
    <w:rsid w:val="00C40B62"/>
    <w:rsid w:val="00C65C7E"/>
    <w:rsid w:val="00C77DBD"/>
    <w:rsid w:val="00C8454B"/>
    <w:rsid w:val="00C85B19"/>
    <w:rsid w:val="00CB328C"/>
    <w:rsid w:val="00CD3892"/>
    <w:rsid w:val="00CD55B8"/>
    <w:rsid w:val="00CE130A"/>
    <w:rsid w:val="00D01FC5"/>
    <w:rsid w:val="00D07259"/>
    <w:rsid w:val="00D122DA"/>
    <w:rsid w:val="00D80EE7"/>
    <w:rsid w:val="00D918DD"/>
    <w:rsid w:val="00DC64BE"/>
    <w:rsid w:val="00DE2379"/>
    <w:rsid w:val="00DF72A5"/>
    <w:rsid w:val="00E160F3"/>
    <w:rsid w:val="00E24008"/>
    <w:rsid w:val="00E40791"/>
    <w:rsid w:val="00E542FF"/>
    <w:rsid w:val="00E8629C"/>
    <w:rsid w:val="00E87692"/>
    <w:rsid w:val="00E938BD"/>
    <w:rsid w:val="00E96191"/>
    <w:rsid w:val="00EA0A41"/>
    <w:rsid w:val="00ED6681"/>
    <w:rsid w:val="00F00113"/>
    <w:rsid w:val="00F50420"/>
    <w:rsid w:val="00F54ACB"/>
    <w:rsid w:val="00F673A4"/>
    <w:rsid w:val="00F759C6"/>
    <w:rsid w:val="00F779B2"/>
    <w:rsid w:val="00F813E1"/>
    <w:rsid w:val="00F8430C"/>
    <w:rsid w:val="00F90448"/>
    <w:rsid w:val="00FA05E4"/>
    <w:rsid w:val="00FB01EC"/>
    <w:rsid w:val="00FB1B4B"/>
    <w:rsid w:val="00FF3C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90FC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1B8"/>
    <w:pPr>
      <w:spacing w:before="0" w:line="240" w:lineRule="auto"/>
      <w:jc w:val="left"/>
    </w:pPr>
    <w:rPr>
      <w:rFonts w:ascii="Times New Roman" w:hAnsi="Times New Roman" w:cs="Calibri"/>
      <w:color w:val="000000" w:themeColor="text1"/>
      <w:kern w:val="0"/>
      <w:sz w:val="24"/>
      <w:szCs w:val="24"/>
      <w:lang w:val="en-GB" w:eastAsia="en-GB"/>
      <w14:ligatures w14:val="none"/>
    </w:rPr>
  </w:style>
  <w:style w:type="paragraph" w:styleId="Heading1">
    <w:name w:val="heading 1"/>
    <w:basedOn w:val="Normal"/>
    <w:next w:val="Normal"/>
    <w:link w:val="Heading1Char"/>
    <w:autoRedefine/>
    <w:uiPriority w:val="9"/>
    <w:qFormat/>
    <w:rsid w:val="003E2984"/>
    <w:pPr>
      <w:keepNext/>
      <w:keepLines/>
      <w:spacing w:before="240" w:line="360" w:lineRule="auto"/>
      <w:outlineLvl w:val="0"/>
    </w:pPr>
    <w:rPr>
      <w:rFonts w:eastAsiaTheme="majorEastAsia" w:cstheme="majorBidi"/>
      <w:b/>
      <w:kern w:val="2"/>
      <w:sz w:val="36"/>
      <w:lang w:val="en-IN"/>
      <w14:ligatures w14:val="standardContextual"/>
    </w:rPr>
  </w:style>
  <w:style w:type="paragraph" w:styleId="Heading2">
    <w:name w:val="heading 2"/>
    <w:basedOn w:val="Normal"/>
    <w:next w:val="Normal"/>
    <w:link w:val="Heading2Char"/>
    <w:autoRedefine/>
    <w:uiPriority w:val="9"/>
    <w:unhideWhenUsed/>
    <w:qFormat/>
    <w:rsid w:val="00A9319F"/>
    <w:pPr>
      <w:keepNext/>
      <w:keepLines/>
      <w:spacing w:before="40"/>
      <w:outlineLvl w:val="1"/>
    </w:pPr>
    <w:rPr>
      <w:rFonts w:eastAsiaTheme="majorEastAsia" w:cstheme="majorBidi"/>
      <w:b/>
      <w:kern w:val="2"/>
      <w:sz w:val="32"/>
      <w:szCs w:val="26"/>
      <w14:ligatures w14:val="standardContextual"/>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kern w:val="2"/>
      <w:sz w:val="28"/>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984"/>
    <w:rPr>
      <w:rFonts w:ascii="Times New Roman" w:eastAsiaTheme="majorEastAsia" w:hAnsi="Times New Roman" w:cstheme="majorBidi"/>
      <w:b/>
      <w:color w:val="000000" w:themeColor="text1"/>
      <w:sz w:val="36"/>
      <w:szCs w:val="24"/>
      <w:lang w:eastAsia="en-GB"/>
    </w:rPr>
  </w:style>
  <w:style w:type="character" w:customStyle="1" w:styleId="Heading2Char">
    <w:name w:val="Heading 2 Char"/>
    <w:basedOn w:val="DefaultParagraphFont"/>
    <w:link w:val="Heading2"/>
    <w:uiPriority w:val="9"/>
    <w:rsid w:val="00A9319F"/>
    <w:rPr>
      <w:rFonts w:ascii="Times New Roman" w:eastAsiaTheme="majorEastAsia" w:hAnsi="Times New Roman" w:cstheme="majorBidi"/>
      <w:b/>
      <w:color w:val="000000" w:themeColor="text1"/>
      <w:sz w:val="32"/>
      <w:szCs w:val="26"/>
      <w:lang w:val="en-US" w:eastAsia="en-GB"/>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8777E6"/>
    <w:pPr>
      <w:tabs>
        <w:tab w:val="center" w:pos="4513"/>
        <w:tab w:val="right" w:pos="9026"/>
      </w:tabs>
    </w:pPr>
  </w:style>
  <w:style w:type="character" w:customStyle="1" w:styleId="HeaderChar">
    <w:name w:val="Header Char"/>
    <w:basedOn w:val="DefaultParagraphFont"/>
    <w:link w:val="Header"/>
    <w:uiPriority w:val="99"/>
    <w:rsid w:val="008777E6"/>
    <w:rPr>
      <w:rFonts w:ascii="Times New Roman" w:hAnsi="Times New Roman" w:cs="Calibri"/>
      <w:color w:val="000000" w:themeColor="text1"/>
      <w:kern w:val="0"/>
      <w:sz w:val="24"/>
      <w:szCs w:val="24"/>
      <w:lang w:val="en-GB" w:eastAsia="en-GB"/>
      <w14:ligatures w14:val="none"/>
    </w:rPr>
  </w:style>
  <w:style w:type="paragraph" w:styleId="Footer">
    <w:name w:val="footer"/>
    <w:basedOn w:val="Normal"/>
    <w:link w:val="FooterChar"/>
    <w:uiPriority w:val="99"/>
    <w:unhideWhenUsed/>
    <w:rsid w:val="008777E6"/>
    <w:pPr>
      <w:tabs>
        <w:tab w:val="center" w:pos="4513"/>
        <w:tab w:val="right" w:pos="9026"/>
      </w:tabs>
    </w:pPr>
  </w:style>
  <w:style w:type="character" w:customStyle="1" w:styleId="FooterChar">
    <w:name w:val="Footer Char"/>
    <w:basedOn w:val="DefaultParagraphFont"/>
    <w:link w:val="Footer"/>
    <w:uiPriority w:val="99"/>
    <w:rsid w:val="008777E6"/>
    <w:rPr>
      <w:rFonts w:ascii="Times New Roman" w:hAnsi="Times New Roman" w:cs="Calibri"/>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A1E4E"/>
    <w:pPr>
      <w:spacing w:line="259" w:lineRule="auto"/>
      <w:outlineLvl w:val="9"/>
    </w:pPr>
    <w:rPr>
      <w:rFonts w:asciiTheme="majorHAnsi" w:hAnsiTheme="majorHAns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A1E4E"/>
    <w:pPr>
      <w:spacing w:after="100"/>
    </w:pPr>
  </w:style>
  <w:style w:type="character" w:styleId="Hyperlink">
    <w:name w:val="Hyperlink"/>
    <w:basedOn w:val="DefaultParagraphFont"/>
    <w:uiPriority w:val="99"/>
    <w:unhideWhenUsed/>
    <w:rsid w:val="001A1E4E"/>
    <w:rPr>
      <w:color w:val="0563C1" w:themeColor="hyperlink"/>
      <w:u w:val="single"/>
    </w:rPr>
  </w:style>
  <w:style w:type="paragraph" w:styleId="ListParagraph">
    <w:name w:val="List Paragraph"/>
    <w:basedOn w:val="Normal"/>
    <w:uiPriority w:val="34"/>
    <w:qFormat/>
    <w:rsid w:val="00094B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745476">
      <w:bodyDiv w:val="1"/>
      <w:marLeft w:val="0"/>
      <w:marRight w:val="0"/>
      <w:marTop w:val="0"/>
      <w:marBottom w:val="0"/>
      <w:divBdr>
        <w:top w:val="none" w:sz="0" w:space="0" w:color="auto"/>
        <w:left w:val="none" w:sz="0" w:space="0" w:color="auto"/>
        <w:bottom w:val="none" w:sz="0" w:space="0" w:color="auto"/>
        <w:right w:val="none" w:sz="0" w:space="0" w:color="auto"/>
      </w:divBdr>
      <w:divsChild>
        <w:div w:id="409348205">
          <w:marLeft w:val="0"/>
          <w:marRight w:val="0"/>
          <w:marTop w:val="0"/>
          <w:marBottom w:val="0"/>
          <w:divBdr>
            <w:top w:val="none" w:sz="0" w:space="0" w:color="auto"/>
            <w:left w:val="none" w:sz="0" w:space="0" w:color="auto"/>
            <w:bottom w:val="none" w:sz="0" w:space="0" w:color="auto"/>
            <w:right w:val="none" w:sz="0" w:space="0" w:color="auto"/>
          </w:divBdr>
          <w:divsChild>
            <w:div w:id="116144186">
              <w:marLeft w:val="0"/>
              <w:marRight w:val="0"/>
              <w:marTop w:val="300"/>
              <w:marBottom w:val="0"/>
              <w:divBdr>
                <w:top w:val="single" w:sz="6" w:space="0" w:color="DEDEDF"/>
                <w:left w:val="single" w:sz="6" w:space="15" w:color="DEDEDF"/>
                <w:bottom w:val="single" w:sz="6" w:space="0" w:color="DEDEDF"/>
                <w:right w:val="single" w:sz="6" w:space="15" w:color="DEDEDF"/>
              </w:divBdr>
              <w:divsChild>
                <w:div w:id="43202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299906">
      <w:bodyDiv w:val="1"/>
      <w:marLeft w:val="0"/>
      <w:marRight w:val="0"/>
      <w:marTop w:val="0"/>
      <w:marBottom w:val="0"/>
      <w:divBdr>
        <w:top w:val="none" w:sz="0" w:space="0" w:color="auto"/>
        <w:left w:val="none" w:sz="0" w:space="0" w:color="auto"/>
        <w:bottom w:val="none" w:sz="0" w:space="0" w:color="auto"/>
        <w:right w:val="none" w:sz="0" w:space="0" w:color="auto"/>
      </w:divBdr>
      <w:divsChild>
        <w:div w:id="1276987113">
          <w:marLeft w:val="0"/>
          <w:marRight w:val="0"/>
          <w:marTop w:val="0"/>
          <w:marBottom w:val="0"/>
          <w:divBdr>
            <w:top w:val="none" w:sz="0" w:space="0" w:color="auto"/>
            <w:left w:val="none" w:sz="0" w:space="0" w:color="auto"/>
            <w:bottom w:val="none" w:sz="0" w:space="0" w:color="auto"/>
            <w:right w:val="none" w:sz="0" w:space="0" w:color="auto"/>
          </w:divBdr>
          <w:divsChild>
            <w:div w:id="524951810">
              <w:marLeft w:val="0"/>
              <w:marRight w:val="0"/>
              <w:marTop w:val="300"/>
              <w:marBottom w:val="0"/>
              <w:divBdr>
                <w:top w:val="single" w:sz="6" w:space="0" w:color="DEDEDF"/>
                <w:left w:val="single" w:sz="6" w:space="15" w:color="DEDEDF"/>
                <w:bottom w:val="single" w:sz="6" w:space="0" w:color="DEDEDF"/>
                <w:right w:val="single" w:sz="6" w:space="15" w:color="DEDEDF"/>
              </w:divBdr>
              <w:divsChild>
                <w:div w:id="205869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BE334-330B-4E59-BC78-F1667BFDC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1816</Words>
  <Characters>10315</Characters>
  <Application>Microsoft Office Word</Application>
  <DocSecurity>0</DocSecurity>
  <Lines>184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2023-10-28T12:24:00Z</dcterms:created>
  <dcterms:modified xsi:type="dcterms:W3CDTF">2023-10-29T09:57:00Z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70252e023e45c77891eba677fc189f440df5fbc5af24fc7c25d5a965cb168752</vt:lpwstr>
  </property>
</Properties>
</file>