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FB96336">
      <w:pPr>
        <w:spacing w:line="480" w:lineRule="auto"/>
        <w:jc w:val="center"/>
        <w:rPr>
          <w:color w:val="000000" w:themeColor="text1"/>
          <w14:textFill>
            <w14:solidFill>
              <w14:schemeClr w14:val="tx1"/>
            </w14:solidFill>
          </w14:textFill>
        </w:rPr>
      </w:pPr>
      <w:r>
        <w:drawing>
          <wp:inline distT="0" distB="0" distL="0" distR="0">
            <wp:extent cx="1809115" cy="7232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1809524" cy="723810"/>
                    </a:xfrm>
                    <a:prstGeom prst="rect">
                      <a:avLst/>
                    </a:prstGeom>
                  </pic:spPr>
                </pic:pic>
              </a:graphicData>
            </a:graphic>
          </wp:inline>
        </w:drawing>
      </w:r>
    </w:p>
    <w:p w14:paraId="64C61867">
      <w:pPr>
        <w:spacing w:line="480" w:lineRule="auto"/>
        <w:jc w:val="both"/>
        <w:rPr>
          <w:color w:val="000000" w:themeColor="text1"/>
          <w14:textFill>
            <w14:solidFill>
              <w14:schemeClr w14:val="tx1"/>
            </w14:solidFill>
          </w14:textFill>
        </w:rPr>
      </w:pPr>
    </w:p>
    <w:p w14:paraId="38FB7C5E">
      <w:pPr>
        <w:spacing w:line="480" w:lineRule="auto"/>
        <w:jc w:val="center"/>
        <w:rPr>
          <w:color w:val="000000" w:themeColor="text1"/>
          <w:sz w:val="40"/>
          <w:szCs w:val="40"/>
          <w14:textFill>
            <w14:solidFill>
              <w14:schemeClr w14:val="tx1"/>
            </w14:solidFill>
          </w14:textFill>
        </w:rPr>
      </w:pPr>
      <w:r>
        <w:rPr>
          <w:color w:val="000000" w:themeColor="text1"/>
          <w:sz w:val="40"/>
          <w:szCs w:val="40"/>
          <w14:textFill>
            <w14:solidFill>
              <w14:schemeClr w14:val="tx1"/>
            </w14:solidFill>
          </w14:textFill>
        </w:rPr>
        <w:t>The Effect of Work-Life Conflict on Employee Turnover Intentions: A Qualitative Study of NHS Staff in the United Kingdom</w:t>
      </w:r>
    </w:p>
    <w:p w14:paraId="70205F60">
      <w:pPr>
        <w:spacing w:line="480" w:lineRule="auto"/>
        <w:jc w:val="both"/>
        <w:rPr>
          <w:color w:val="000000" w:themeColor="text1"/>
          <w14:textFill>
            <w14:solidFill>
              <w14:schemeClr w14:val="tx1"/>
            </w14:solidFill>
          </w14:textFill>
        </w:rPr>
      </w:pPr>
    </w:p>
    <w:p w14:paraId="55288040">
      <w:pPr>
        <w:spacing w:line="480" w:lineRule="auto"/>
        <w:jc w:val="both"/>
        <w:rPr>
          <w:color w:val="000000" w:themeColor="text1"/>
          <w14:textFill>
            <w14:solidFill>
              <w14:schemeClr w14:val="tx1"/>
            </w14:solidFill>
          </w14:textFill>
        </w:rPr>
      </w:pPr>
    </w:p>
    <w:p w14:paraId="72E2A50B">
      <w:pPr>
        <w:spacing w:line="480" w:lineRule="auto"/>
        <w:jc w:val="both"/>
        <w:rPr>
          <w:color w:val="000000" w:themeColor="text1"/>
          <w14:textFill>
            <w14:solidFill>
              <w14:schemeClr w14:val="tx1"/>
            </w14:solidFill>
          </w14:textFill>
        </w:rPr>
      </w:pPr>
    </w:p>
    <w:p w14:paraId="1C1E57D8">
      <w:pPr>
        <w:spacing w:line="480" w:lineRule="auto"/>
        <w:jc w:val="center"/>
        <w:rPr>
          <w:color w:val="000000" w:themeColor="text1"/>
          <w14:textFill>
            <w14:solidFill>
              <w14:schemeClr w14:val="tx1"/>
            </w14:solidFill>
          </w14:textFill>
        </w:rPr>
      </w:pPr>
      <w:r>
        <w:rPr>
          <w:color w:val="000000" w:themeColor="text1"/>
          <w14:textFill>
            <w14:solidFill>
              <w14:schemeClr w14:val="tx1"/>
            </w14:solidFill>
          </w14:textFill>
        </w:rPr>
        <w:t>A Research Proposal Submitted in Partial Fulfilment of the Requirements for the MBA</w:t>
      </w:r>
    </w:p>
    <w:p w14:paraId="30D7DEDF">
      <w:pPr>
        <w:spacing w:line="480" w:lineRule="auto"/>
        <w:jc w:val="center"/>
        <w:rPr>
          <w:color w:val="000000" w:themeColor="text1"/>
          <w14:textFill>
            <w14:solidFill>
              <w14:schemeClr w14:val="tx1"/>
            </w14:solidFill>
          </w14:textFill>
        </w:rPr>
      </w:pPr>
    </w:p>
    <w:tbl>
      <w:tblPr>
        <w:tblStyle w:val="19"/>
        <w:tblW w:w="505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735"/>
        <w:gridCol w:w="5950"/>
      </w:tblGrid>
      <w:tr w14:paraId="61692D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28" w:type="pct"/>
          </w:tcPr>
          <w:p w14:paraId="531CB650">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Student Name</w:t>
            </w:r>
          </w:p>
        </w:tc>
        <w:tc>
          <w:tcPr>
            <w:tcW w:w="3072" w:type="pct"/>
          </w:tcPr>
          <w:p w14:paraId="0F8AF86D">
            <w:pPr>
              <w:spacing w:line="480" w:lineRule="auto"/>
              <w:jc w:val="both"/>
              <w:rPr>
                <w:color w:val="000000" w:themeColor="text1"/>
                <w14:textFill>
                  <w14:solidFill>
                    <w14:schemeClr w14:val="tx1"/>
                  </w14:solidFill>
                </w14:textFill>
              </w:rPr>
            </w:pPr>
            <w:bookmarkStart w:id="64" w:name="_GoBack"/>
            <w:bookmarkEnd w:id="64"/>
          </w:p>
        </w:tc>
      </w:tr>
      <w:tr w14:paraId="2936BA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1928" w:type="pct"/>
          </w:tcPr>
          <w:p w14:paraId="1B03D21C">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Student ID Number:</w:t>
            </w:r>
          </w:p>
        </w:tc>
        <w:tc>
          <w:tcPr>
            <w:tcW w:w="3072" w:type="pct"/>
          </w:tcPr>
          <w:p w14:paraId="7CA035A3">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2</w:t>
            </w:r>
          </w:p>
        </w:tc>
      </w:tr>
      <w:tr w14:paraId="18D720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1928" w:type="pct"/>
          </w:tcPr>
          <w:p w14:paraId="33A29B9D">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Programme:</w:t>
            </w:r>
          </w:p>
        </w:tc>
        <w:tc>
          <w:tcPr>
            <w:tcW w:w="3072" w:type="pct"/>
          </w:tcPr>
          <w:p w14:paraId="0038A9CF">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MBA</w:t>
            </w:r>
          </w:p>
        </w:tc>
      </w:tr>
      <w:tr w14:paraId="72A20E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1928" w:type="pct"/>
          </w:tcPr>
          <w:p w14:paraId="1007829C">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Module Code:</w:t>
            </w:r>
          </w:p>
        </w:tc>
        <w:tc>
          <w:tcPr>
            <w:tcW w:w="3072" w:type="pct"/>
          </w:tcPr>
          <w:p w14:paraId="0B2A58EC">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BMMB7028- Business Research</w:t>
            </w:r>
          </w:p>
        </w:tc>
      </w:tr>
      <w:tr w14:paraId="23E10C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1928" w:type="pct"/>
          </w:tcPr>
          <w:p w14:paraId="4E21EC7E">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Lecturer:</w:t>
            </w:r>
          </w:p>
        </w:tc>
        <w:tc>
          <w:tcPr>
            <w:tcW w:w="3072" w:type="pct"/>
          </w:tcPr>
          <w:p w14:paraId="067A7B83">
            <w:pPr>
              <w:spacing w:line="480" w:lineRule="auto"/>
              <w:jc w:val="both"/>
              <w:rPr>
                <w:bCs/>
                <w:color w:val="000000" w:themeColor="text1"/>
                <w14:textFill>
                  <w14:solidFill>
                    <w14:schemeClr w14:val="tx1"/>
                  </w14:solidFill>
                </w14:textFill>
              </w:rPr>
            </w:pPr>
            <w:r>
              <w:rPr>
                <w:bCs/>
                <w:color w:val="000000" w:themeColor="text1"/>
                <w:lang w:val="en-US"/>
                <w14:textFill>
                  <w14:solidFill>
                    <w14:schemeClr w14:val="tx1"/>
                  </w14:solidFill>
                </w14:textFill>
              </w:rPr>
              <w:t>Maggie Zhang</w:t>
            </w:r>
          </w:p>
        </w:tc>
      </w:tr>
      <w:tr w14:paraId="033BE0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1928" w:type="pct"/>
          </w:tcPr>
          <w:p w14:paraId="0BBBE276">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Date of Submission:</w:t>
            </w:r>
          </w:p>
        </w:tc>
        <w:tc>
          <w:tcPr>
            <w:tcW w:w="3072" w:type="pct"/>
          </w:tcPr>
          <w:p w14:paraId="41EB8436">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30th March 2026</w:t>
            </w:r>
          </w:p>
        </w:tc>
      </w:tr>
      <w:tr w14:paraId="743E95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1928" w:type="pct"/>
          </w:tcPr>
          <w:p w14:paraId="1B29781D">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Word Count:</w:t>
            </w:r>
          </w:p>
        </w:tc>
        <w:tc>
          <w:tcPr>
            <w:tcW w:w="3072" w:type="pct"/>
          </w:tcPr>
          <w:p w14:paraId="20F1B878">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4,932</w:t>
            </w:r>
          </w:p>
        </w:tc>
      </w:tr>
    </w:tbl>
    <w:p w14:paraId="1B843D60">
      <w:pPr>
        <w:spacing w:line="480" w:lineRule="auto"/>
        <w:jc w:val="both"/>
        <w:rPr>
          <w:color w:val="000000" w:themeColor="text1"/>
          <w14:textFill>
            <w14:solidFill>
              <w14:schemeClr w14:val="tx1"/>
            </w14:solidFill>
          </w14:textFill>
        </w:rPr>
      </w:pPr>
    </w:p>
    <w:p w14:paraId="3A6AF657">
      <w:pPr>
        <w:spacing w:line="480" w:lineRule="auto"/>
        <w:rPr>
          <w:color w:val="000000" w:themeColor="text1"/>
          <w14:textFill>
            <w14:solidFill>
              <w14:schemeClr w14:val="tx1"/>
            </w14:solidFill>
          </w14:textFill>
        </w:rPr>
      </w:pPr>
      <w:r>
        <w:rPr>
          <w:color w:val="000000" w:themeColor="text1"/>
          <w14:textFill>
            <w14:solidFill>
              <w14:schemeClr w14:val="tx1"/>
            </w14:solidFill>
          </w14:textFill>
        </w:rPr>
        <w:br w:type="page"/>
      </w:r>
    </w:p>
    <w:p w14:paraId="3B41272D">
      <w:pPr>
        <w:pStyle w:val="2"/>
        <w:numPr>
          <w:ilvl w:val="0"/>
          <w:numId w:val="0"/>
        </w:numPr>
        <w:spacing w:line="480" w:lineRule="auto"/>
        <w:ind w:left="432" w:hanging="432"/>
      </w:pPr>
      <w:bookmarkStart w:id="0" w:name="_Toc225602180"/>
      <w:bookmarkStart w:id="1" w:name="_Toc225731723"/>
      <w:r>
        <w:t>Abstract</w:t>
      </w:r>
      <w:bookmarkEnd w:id="0"/>
      <w:bookmarkEnd w:id="1"/>
    </w:p>
    <w:p w14:paraId="4D88BFAA">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National Health Service faces a constant workforce crisis, where work-life conflict, in which an imbalance between the demands of the job and personal responsibilities is perceived as structural incompatibility, is an important antecedent of turnover intention among nursing and clinical staff. Despite the voluminous quantitative research testing this relationship at the international level, the subjective, experiential aspects of this dynamic in the post-pandemic NHS are critically under-investigated. This study will be conducted from an interpretivist paradigm and qualitative approach to investigate and collect semi-structured interviews with fifteen to twenty NHS nursing and allied health professionals from England and Wales. Data will be analysed using reflexive thematic analysis to produce inductively derived themes to understand how participants construct and narrate the relationship between work-life conflict and exit intentions. The expected contribution to academic knowledge is the elaboration of existing theoretical frameworks, principally Role Conflict Theory and Job Demands-Resources model, through the generation of inductively derived, context-specific propositions that may refine or challenge existing conceptualisations of work-life conflict in high-demand public sector contexts. Practical findings will help inform NHS strategy on HR, flexible working policy, and rostering reform.</w:t>
      </w:r>
    </w:p>
    <w:p w14:paraId="4E4C6676">
      <w:pPr>
        <w:pStyle w:val="44"/>
        <w:spacing w:before="0" w:line="480" w:lineRule="auto"/>
        <w:rPr>
          <w:color w:val="000000" w:themeColor="text1"/>
          <w14:textFill>
            <w14:solidFill>
              <w14:schemeClr w14:val="tx1"/>
            </w14:solidFill>
          </w14:textFill>
        </w:rPr>
      </w:pPr>
    </w:p>
    <w:p w14:paraId="282742BD">
      <w:pPr>
        <w:spacing w:line="480" w:lineRule="auto"/>
        <w:rPr>
          <w:color w:val="000000" w:themeColor="text1"/>
          <w14:textFill>
            <w14:solidFill>
              <w14:schemeClr w14:val="tx1"/>
            </w14:solidFill>
          </w14:textFill>
        </w:rPr>
      </w:pPr>
      <w:r>
        <w:rPr>
          <w:color w:val="000000" w:themeColor="text1"/>
          <w14:textFill>
            <w14:solidFill>
              <w14:schemeClr w14:val="tx1"/>
            </w14:solidFill>
          </w14:textFill>
        </w:rPr>
        <w:br w:type="page"/>
      </w:r>
    </w:p>
    <w:sdt>
      <w:sdtPr>
        <w:rPr>
          <w:rFonts w:ascii="Times New Roman" w:hAnsi="Times New Roman" w:eastAsiaTheme="minorHAnsi" w:cstheme="minorBidi"/>
          <w:color w:val="auto"/>
          <w:kern w:val="2"/>
          <w:sz w:val="24"/>
          <w:szCs w:val="24"/>
          <w:lang w:val="en-GB"/>
          <w14:ligatures w14:val="standardContextual"/>
        </w:rPr>
        <w:id w:val="883602083"/>
        <w:docPartObj>
          <w:docPartGallery w:val="Table of Contents"/>
          <w:docPartUnique/>
        </w:docPartObj>
      </w:sdtPr>
      <w:sdtEndPr>
        <w:rPr>
          <w:rFonts w:ascii="Times New Roman" w:hAnsi="Times New Roman" w:eastAsiaTheme="minorHAnsi" w:cstheme="minorBidi"/>
          <w:b/>
          <w:bCs/>
          <w:color w:val="auto"/>
          <w:kern w:val="2"/>
          <w:sz w:val="24"/>
          <w:szCs w:val="24"/>
          <w:lang w:val="en-GB"/>
          <w14:ligatures w14:val="standardContextual"/>
        </w:rPr>
      </w:sdtEndPr>
      <w:sdtContent>
        <w:p w14:paraId="63FCB689">
          <w:pPr>
            <w:pStyle w:val="44"/>
            <w:spacing w:before="0" w:line="480" w:lineRule="auto"/>
            <w:jc w:val="center"/>
            <w:rPr>
              <w:rFonts w:ascii="Times New Roman" w:hAnsi="Times New Roman" w:cs="Times New Roman"/>
              <w:b/>
              <w:bCs/>
              <w:color w:val="000000" w:themeColor="text1"/>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t>Table of Contents</w:t>
          </w:r>
        </w:p>
        <w:p w14:paraId="639038FD">
          <w:pPr>
            <w:pStyle w:val="21"/>
            <w:tabs>
              <w:tab w:val="right" w:leader="dot" w:pos="9350"/>
            </w:tabs>
            <w:spacing w:after="0" w:line="480" w:lineRule="auto"/>
            <w:rPr>
              <w:rFonts w:asciiTheme="minorHAnsi" w:hAnsiTheme="minorHAnsi" w:eastAsiaTheme="minorEastAsia"/>
              <w:lang w:eastAsia="en-GB"/>
            </w:rPr>
          </w:pPr>
          <w:r>
            <w:fldChar w:fldCharType="begin"/>
          </w:r>
          <w:r>
            <w:instrText xml:space="preserve"> TOC \o "1-3" \h \z \u </w:instrText>
          </w:r>
          <w:r>
            <w:fldChar w:fldCharType="separate"/>
          </w:r>
          <w:r>
            <w:fldChar w:fldCharType="begin"/>
          </w:r>
          <w:r>
            <w:instrText xml:space="preserve"> HYPERLINK \l "_Toc225731723" </w:instrText>
          </w:r>
          <w:r>
            <w:fldChar w:fldCharType="separate"/>
          </w:r>
          <w:r>
            <w:rPr>
              <w:rStyle w:val="17"/>
            </w:rPr>
            <w:t>Abstract</w:t>
          </w:r>
          <w:r>
            <w:tab/>
          </w:r>
          <w:r>
            <w:fldChar w:fldCharType="begin"/>
          </w:r>
          <w:r>
            <w:instrText xml:space="preserve"> PAGEREF _Toc225731723 \h </w:instrText>
          </w:r>
          <w:r>
            <w:fldChar w:fldCharType="separate"/>
          </w:r>
          <w:r>
            <w:t>2</w:t>
          </w:r>
          <w:r>
            <w:fldChar w:fldCharType="end"/>
          </w:r>
          <w:r>
            <w:fldChar w:fldCharType="end"/>
          </w:r>
        </w:p>
        <w:p w14:paraId="2EE73D8B">
          <w:pPr>
            <w:pStyle w:val="21"/>
            <w:tabs>
              <w:tab w:val="left" w:pos="48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"_Toc225731724" </w:instrText>
          </w:r>
          <w:r>
            <w:fldChar w:fldCharType="separate"/>
          </w:r>
          <w:r>
            <w:rPr>
              <w:rStyle w:val="17"/>
            </w:rPr>
            <w:t>1.</w:t>
          </w:r>
          <w:r>
            <w:rPr>
              <w:rFonts w:asciiTheme="minorHAnsi" w:hAnsiTheme="minorHAnsi" w:eastAsiaTheme="minorEastAsia"/>
              <w:lang w:eastAsia="en-GB"/>
            </w:rPr>
            <w:tab/>
          </w:r>
          <w:r>
            <w:rPr>
              <w:rStyle w:val="17"/>
            </w:rPr>
            <w:t>Introduction</w:t>
          </w:r>
          <w:r>
            <w:tab/>
          </w:r>
          <w:r>
            <w:fldChar w:fldCharType="begin"/>
          </w:r>
          <w:r>
            <w:instrText xml:space="preserve"> PAGEREF _Toc225731724 \h </w:instrText>
          </w:r>
          <w:r>
            <w:fldChar w:fldCharType="separate"/>
          </w:r>
          <w:r>
            <w:t>5</w:t>
          </w:r>
          <w:r>
            <w:fldChar w:fldCharType="end"/>
          </w:r>
          <w:r>
            <w:fldChar w:fldCharType="end"/>
          </w:r>
        </w:p>
        <w:p w14:paraId="7830CC18">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"_Toc225731725" </w:instrText>
          </w:r>
          <w:r>
            <w:fldChar w:fldCharType="separate"/>
          </w:r>
          <w:r>
            <w:rPr>
              <w:rStyle w:val="17"/>
            </w:rPr>
            <w:t>1.1</w:t>
          </w:r>
          <w:r>
            <w:rPr>
              <w:rFonts w:asciiTheme="minorHAnsi" w:hAnsiTheme="minorHAnsi" w:eastAsiaTheme="minorEastAsia"/>
              <w:lang w:eastAsia="en-GB"/>
            </w:rPr>
            <w:tab/>
          </w:r>
          <w:r>
            <w:rPr>
              <w:rStyle w:val="17"/>
            </w:rPr>
            <w:t>Contextual Background</w:t>
          </w:r>
          <w:r>
            <w:tab/>
          </w:r>
          <w:r>
            <w:fldChar w:fldCharType="begin"/>
          </w:r>
          <w:r>
            <w:instrText xml:space="preserve"> PAGEREF _Toc225731725 \h </w:instrText>
          </w:r>
          <w:r>
            <w:fldChar w:fldCharType="separate"/>
          </w:r>
          <w:r>
            <w:t>5</w:t>
          </w:r>
          <w:r>
            <w:fldChar w:fldCharType="end"/>
          </w:r>
          <w:r>
            <w:fldChar w:fldCharType="end"/>
          </w:r>
        </w:p>
        <w:p w14:paraId="0312A351">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"_Toc225731726" </w:instrText>
          </w:r>
          <w:r>
            <w:fldChar w:fldCharType="separate"/>
          </w:r>
          <w:r>
            <w:rPr>
              <w:rStyle w:val="17"/>
            </w:rPr>
            <w:t>1.2</w:t>
          </w:r>
          <w:r>
            <w:rPr>
              <w:rFonts w:asciiTheme="minorHAnsi" w:hAnsiTheme="minorHAnsi" w:eastAsiaTheme="minorEastAsia"/>
              <w:lang w:eastAsia="en-GB"/>
            </w:rPr>
            <w:tab/>
          </w:r>
          <w:r>
            <w:rPr>
              <w:rStyle w:val="17"/>
            </w:rPr>
            <w:t>Statement of the Research Problem</w:t>
          </w:r>
          <w:r>
            <w:tab/>
          </w:r>
          <w:r>
            <w:fldChar w:fldCharType="begin"/>
          </w:r>
          <w:r>
            <w:instrText xml:space="preserve"> PAGEREF _Toc225731726 \h </w:instrText>
          </w:r>
          <w:r>
            <w:fldChar w:fldCharType="separate"/>
          </w:r>
          <w:r>
            <w:t>5</w:t>
          </w:r>
          <w:r>
            <w:fldChar w:fldCharType="end"/>
          </w:r>
          <w:r>
            <w:fldChar w:fldCharType="end"/>
          </w:r>
        </w:p>
        <w:p w14:paraId="7D1011CB">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"_Toc225731727" </w:instrText>
          </w:r>
          <w:r>
            <w:fldChar w:fldCharType="separate"/>
          </w:r>
          <w:r>
            <w:rPr>
              <w:rStyle w:val="17"/>
            </w:rPr>
            <w:t>1.3</w:t>
          </w:r>
          <w:r>
            <w:rPr>
              <w:rFonts w:asciiTheme="minorHAnsi" w:hAnsiTheme="minorHAnsi" w:eastAsiaTheme="minorEastAsia"/>
              <w:lang w:eastAsia="en-GB"/>
            </w:rPr>
            <w:tab/>
          </w:r>
          <w:r>
            <w:rPr>
              <w:rStyle w:val="17"/>
            </w:rPr>
            <w:t>Significance of the Research</w:t>
          </w:r>
          <w:r>
            <w:tab/>
          </w:r>
          <w:r>
            <w:fldChar w:fldCharType="begin"/>
          </w:r>
          <w:r>
            <w:instrText xml:space="preserve"> PAGEREF _Toc225731727 \h </w:instrText>
          </w:r>
          <w:r>
            <w:fldChar w:fldCharType="separate"/>
          </w:r>
          <w:r>
            <w:t>5</w:t>
          </w:r>
          <w:r>
            <w:fldChar w:fldCharType="end"/>
          </w:r>
          <w:r>
            <w:fldChar w:fldCharType="end"/>
          </w:r>
        </w:p>
        <w:p w14:paraId="6C87A1DD">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"_Toc225731728" </w:instrText>
          </w:r>
          <w:r>
            <w:fldChar w:fldCharType="separate"/>
          </w:r>
          <w:r>
            <w:rPr>
              <w:rStyle w:val="17"/>
            </w:rPr>
            <w:t>1.4</w:t>
          </w:r>
          <w:r>
            <w:rPr>
              <w:rFonts w:asciiTheme="minorHAnsi" w:hAnsiTheme="minorHAnsi" w:eastAsiaTheme="minorEastAsia"/>
              <w:lang w:eastAsia="en-GB"/>
            </w:rPr>
            <w:tab/>
          </w:r>
          <w:r>
            <w:rPr>
              <w:rStyle w:val="17"/>
            </w:rPr>
            <w:t>Definition of Key Terms</w:t>
          </w:r>
          <w:r>
            <w:tab/>
          </w:r>
          <w:r>
            <w:fldChar w:fldCharType="begin"/>
          </w:r>
          <w:r>
            <w:instrText xml:space="preserve"> PAGEREF _Toc225731728 \h </w:instrText>
          </w:r>
          <w:r>
            <w:fldChar w:fldCharType="separate"/>
          </w:r>
          <w:r>
            <w:t>5</w:t>
          </w:r>
          <w:r>
            <w:fldChar w:fldCharType="end"/>
          </w:r>
          <w:r>
            <w:fldChar w:fldCharType="end"/>
          </w:r>
        </w:p>
        <w:p w14:paraId="2A599BA4">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"_Toc225731729" </w:instrText>
          </w:r>
          <w:r>
            <w:fldChar w:fldCharType="separate"/>
          </w:r>
          <w:r>
            <w:rPr>
              <w:rStyle w:val="17"/>
            </w:rPr>
            <w:t>1.5</w:t>
          </w:r>
          <w:r>
            <w:rPr>
              <w:rFonts w:asciiTheme="minorHAnsi" w:hAnsiTheme="minorHAnsi" w:eastAsiaTheme="minorEastAsia"/>
              <w:lang w:eastAsia="en-GB"/>
            </w:rPr>
            <w:tab/>
          </w:r>
          <w:r>
            <w:rPr>
              <w:rStyle w:val="17"/>
            </w:rPr>
            <w:t>Research Aim</w:t>
          </w:r>
          <w:r>
            <w:tab/>
          </w:r>
          <w:r>
            <w:fldChar w:fldCharType="begin"/>
          </w:r>
          <w:r>
            <w:instrText xml:space="preserve"> PAGEREF _Toc225731729 \h </w:instrText>
          </w:r>
          <w:r>
            <w:fldChar w:fldCharType="separate"/>
          </w:r>
          <w:r>
            <w:t>5</w:t>
          </w:r>
          <w:r>
            <w:fldChar w:fldCharType="end"/>
          </w:r>
          <w:r>
            <w:fldChar w:fldCharType="end"/>
          </w:r>
        </w:p>
        <w:p w14:paraId="4AB49BE6">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"_Toc225731730" </w:instrText>
          </w:r>
          <w:r>
            <w:fldChar w:fldCharType="separate"/>
          </w:r>
          <w:r>
            <w:rPr>
              <w:rStyle w:val="17"/>
            </w:rPr>
            <w:t>1.6</w:t>
          </w:r>
          <w:r>
            <w:rPr>
              <w:rFonts w:asciiTheme="minorHAnsi" w:hAnsiTheme="minorHAnsi" w:eastAsiaTheme="minorEastAsia"/>
              <w:lang w:eastAsia="en-GB"/>
            </w:rPr>
            <w:tab/>
          </w:r>
          <w:r>
            <w:rPr>
              <w:rStyle w:val="17"/>
            </w:rPr>
            <w:t>Research Objectives</w:t>
          </w:r>
          <w:r>
            <w:tab/>
          </w:r>
          <w:r>
            <w:fldChar w:fldCharType="begin"/>
          </w:r>
          <w:r>
            <w:instrText xml:space="preserve"> PAGEREF _Toc225731730 \h </w:instrText>
          </w:r>
          <w:r>
            <w:fldChar w:fldCharType="separate"/>
          </w:r>
          <w:r>
            <w:t>5</w:t>
          </w:r>
          <w:r>
            <w:fldChar w:fldCharType="end"/>
          </w:r>
          <w:r>
            <w:fldChar w:fldCharType="end"/>
          </w:r>
        </w:p>
        <w:p w14:paraId="0DCD9EAC">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"_Toc225731731" </w:instrText>
          </w:r>
          <w:r>
            <w:fldChar w:fldCharType="separate"/>
          </w:r>
          <w:r>
            <w:rPr>
              <w:rStyle w:val="17"/>
            </w:rPr>
            <w:t>1.7</w:t>
          </w:r>
          <w:r>
            <w:rPr>
              <w:rFonts w:asciiTheme="minorHAnsi" w:hAnsiTheme="minorHAnsi" w:eastAsiaTheme="minorEastAsia"/>
              <w:lang w:eastAsia="en-GB"/>
            </w:rPr>
            <w:tab/>
          </w:r>
          <w:r>
            <w:rPr>
              <w:rStyle w:val="17"/>
            </w:rPr>
            <w:t>Research Questions</w:t>
          </w:r>
          <w:r>
            <w:tab/>
          </w:r>
          <w:r>
            <w:fldChar w:fldCharType="begin"/>
          </w:r>
          <w:r>
            <w:instrText xml:space="preserve"> PAGEREF _Toc225731731 \h </w:instrText>
          </w:r>
          <w:r>
            <w:fldChar w:fldCharType="separate"/>
          </w:r>
          <w:r>
            <w:t>6</w:t>
          </w:r>
          <w:r>
            <w:fldChar w:fldCharType="end"/>
          </w:r>
          <w:r>
            <w:fldChar w:fldCharType="end"/>
          </w:r>
        </w:p>
        <w:p w14:paraId="244CF757">
          <w:pPr>
            <w:pStyle w:val="21"/>
            <w:tabs>
              <w:tab w:val="left" w:pos="48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"_Toc225731732" </w:instrText>
          </w:r>
          <w:r>
            <w:fldChar w:fldCharType="separate"/>
          </w:r>
          <w:r>
            <w:rPr>
              <w:rStyle w:val="17"/>
            </w:rPr>
            <w:t>2.</w:t>
          </w:r>
          <w:r>
            <w:rPr>
              <w:rFonts w:asciiTheme="minorHAnsi" w:hAnsiTheme="minorHAnsi" w:eastAsiaTheme="minorEastAsia"/>
              <w:lang w:eastAsia="en-GB"/>
            </w:rPr>
            <w:tab/>
          </w:r>
          <w:r>
            <w:rPr>
              <w:rStyle w:val="17"/>
            </w:rPr>
            <w:t>Literature Review</w:t>
          </w:r>
          <w:r>
            <w:tab/>
          </w:r>
          <w:r>
            <w:fldChar w:fldCharType="begin"/>
          </w:r>
          <w:r>
            <w:instrText xml:space="preserve"> PAGEREF _Toc225731732 \h </w:instrText>
          </w:r>
          <w:r>
            <w:fldChar w:fldCharType="separate"/>
          </w:r>
          <w:r>
            <w:t>6</w:t>
          </w:r>
          <w:r>
            <w:fldChar w:fldCharType="end"/>
          </w:r>
          <w:r>
            <w:fldChar w:fldCharType="end"/>
          </w:r>
        </w:p>
        <w:p w14:paraId="37B989B1">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"_Toc225731733" </w:instrText>
          </w:r>
          <w:r>
            <w:fldChar w:fldCharType="separate"/>
          </w:r>
          <w:r>
            <w:rPr>
              <w:rStyle w:val="17"/>
            </w:rPr>
            <w:t>2.1</w:t>
          </w:r>
          <w:r>
            <w:rPr>
              <w:rFonts w:asciiTheme="minorHAnsi" w:hAnsiTheme="minorHAnsi" w:eastAsiaTheme="minorEastAsia"/>
              <w:lang w:eastAsia="en-GB"/>
            </w:rPr>
            <w:tab/>
          </w:r>
          <w:r>
            <w:rPr>
              <w:rStyle w:val="17"/>
            </w:rPr>
            <w:t>Theoretical Disputes: Universal Mechanisms vs. Context-Specific Realities</w:t>
          </w:r>
          <w:r>
            <w:tab/>
          </w:r>
          <w:r>
            <w:fldChar w:fldCharType="begin"/>
          </w:r>
          <w:r>
            <w:instrText xml:space="preserve"> PAGEREF _Toc225731733 \h </w:instrText>
          </w:r>
          <w:r>
            <w:fldChar w:fldCharType="separate"/>
          </w:r>
          <w:r>
            <w:t>6</w:t>
          </w:r>
          <w:r>
            <w:fldChar w:fldCharType="end"/>
          </w:r>
          <w:r>
            <w:fldChar w:fldCharType="end"/>
          </w:r>
        </w:p>
        <w:p w14:paraId="63E410E8">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"_Toc225731734" </w:instrText>
          </w:r>
          <w:r>
            <w:fldChar w:fldCharType="separate"/>
          </w:r>
          <w:r>
            <w:rPr>
              <w:rStyle w:val="17"/>
            </w:rPr>
            <w:t>2.2</w:t>
          </w:r>
          <w:r>
            <w:rPr>
              <w:rFonts w:asciiTheme="minorHAnsi" w:hAnsiTheme="minorHAnsi" w:eastAsiaTheme="minorEastAsia"/>
              <w:lang w:eastAsia="en-GB"/>
            </w:rPr>
            <w:tab/>
          </w:r>
          <w:r>
            <w:rPr>
              <w:rStyle w:val="17"/>
            </w:rPr>
            <w:t>Empirical Debates: Where the Evidence Converges and Conflicts</w:t>
          </w:r>
          <w:r>
            <w:tab/>
          </w:r>
          <w:r>
            <w:fldChar w:fldCharType="begin"/>
          </w:r>
          <w:r>
            <w:instrText xml:space="preserve"> PAGEREF _Toc225731734 \h </w:instrText>
          </w:r>
          <w:r>
            <w:fldChar w:fldCharType="separate"/>
          </w:r>
          <w:r>
            <w:t>7</w:t>
          </w:r>
          <w:r>
            <w:fldChar w:fldCharType="end"/>
          </w:r>
          <w:r>
            <w:fldChar w:fldCharType="end"/>
          </w:r>
        </w:p>
        <w:p w14:paraId="3F698AAB">
          <w:pPr>
            <w:pStyle w:val="23"/>
            <w:tabs>
              <w:tab w:val="left" w:pos="144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"_Toc225731735" </w:instrText>
          </w:r>
          <w:r>
            <w:fldChar w:fldCharType="separate"/>
          </w:r>
          <w:r>
            <w:rPr>
              <w:rStyle w:val="17"/>
            </w:rPr>
            <w:t>2.2.1</w:t>
          </w:r>
          <w:r>
            <w:rPr>
              <w:rFonts w:asciiTheme="minorHAnsi" w:hAnsiTheme="minorHAnsi" w:eastAsiaTheme="minorEastAsia"/>
              <w:lang w:eastAsia="en-GB"/>
            </w:rPr>
            <w:tab/>
          </w:r>
          <w:r>
            <w:rPr>
              <w:rStyle w:val="17"/>
            </w:rPr>
            <w:t>The Convergence: Work-Life Conflict Predicts Withdrawal</w:t>
          </w:r>
          <w:r>
            <w:tab/>
          </w:r>
          <w:r>
            <w:fldChar w:fldCharType="begin"/>
          </w:r>
          <w:r>
            <w:instrText xml:space="preserve"> PAGEREF _Toc225731735 \h </w:instrText>
          </w:r>
          <w:r>
            <w:fldChar w:fldCharType="separate"/>
          </w:r>
          <w:r>
            <w:t>7</w:t>
          </w:r>
          <w:r>
            <w:fldChar w:fldCharType="end"/>
          </w:r>
          <w:r>
            <w:fldChar w:fldCharType="end"/>
          </w:r>
        </w:p>
        <w:p w14:paraId="4EF99BA9">
          <w:pPr>
            <w:pStyle w:val="23"/>
            <w:tabs>
              <w:tab w:val="left" w:pos="144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"_Toc225731736" </w:instrText>
          </w:r>
          <w:r>
            <w:fldChar w:fldCharType="separate"/>
          </w:r>
          <w:r>
            <w:rPr>
              <w:rStyle w:val="17"/>
            </w:rPr>
            <w:t>2.2.2</w:t>
          </w:r>
          <w:r>
            <w:rPr>
              <w:rFonts w:asciiTheme="minorHAnsi" w:hAnsiTheme="minorHAnsi" w:eastAsiaTheme="minorEastAsia"/>
              <w:lang w:eastAsia="en-GB"/>
            </w:rPr>
            <w:tab/>
          </w:r>
          <w:r>
            <w:rPr>
              <w:rStyle w:val="17"/>
            </w:rPr>
            <w:t>The Conflict: Do Structural Interventions Change Subjective Experience?</w:t>
          </w:r>
          <w:r>
            <w:tab/>
          </w:r>
          <w:r>
            <w:fldChar w:fldCharType="begin"/>
          </w:r>
          <w:r>
            <w:instrText xml:space="preserve"> PAGEREF _Toc225731736 \h </w:instrText>
          </w:r>
          <w:r>
            <w:fldChar w:fldCharType="separate"/>
          </w:r>
          <w:r>
            <w:t>8</w:t>
          </w:r>
          <w:r>
            <w:fldChar w:fldCharType="end"/>
          </w:r>
          <w:r>
            <w:fldChar w:fldCharType="end"/>
          </w:r>
        </w:p>
        <w:p w14:paraId="58D57E8E">
          <w:pPr>
            <w:pStyle w:val="23"/>
            <w:tabs>
              <w:tab w:val="left" w:pos="144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"_Toc225731737" </w:instrText>
          </w:r>
          <w:r>
            <w:fldChar w:fldCharType="separate"/>
          </w:r>
          <w:r>
            <w:rPr>
              <w:rStyle w:val="17"/>
            </w:rPr>
            <w:t>2.2.3</w:t>
          </w:r>
          <w:r>
            <w:rPr>
              <w:rFonts w:asciiTheme="minorHAnsi" w:hAnsiTheme="minorHAnsi" w:eastAsiaTheme="minorEastAsia"/>
              <w:lang w:eastAsia="en-GB"/>
            </w:rPr>
            <w:tab/>
          </w:r>
          <w:r>
            <w:rPr>
              <w:rStyle w:val="17"/>
            </w:rPr>
            <w:t>International Evidence and NHS Specificity</w:t>
          </w:r>
          <w:r>
            <w:tab/>
          </w:r>
          <w:r>
            <w:fldChar w:fldCharType="begin"/>
          </w:r>
          <w:r>
            <w:instrText xml:space="preserve"> PAGEREF _Toc225731737 \h </w:instrText>
          </w:r>
          <w:r>
            <w:fldChar w:fldCharType="separate"/>
          </w:r>
          <w:r>
            <w:t>9</w:t>
          </w:r>
          <w:r>
            <w:fldChar w:fldCharType="end"/>
          </w:r>
          <w:r>
            <w:fldChar w:fldCharType="end"/>
          </w:r>
        </w:p>
        <w:p w14:paraId="1164F776">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"_Toc225731738" </w:instrText>
          </w:r>
          <w:r>
            <w:fldChar w:fldCharType="separate"/>
          </w:r>
          <w:r>
            <w:rPr>
              <w:rStyle w:val="17"/>
            </w:rPr>
            <w:t>2.3</w:t>
          </w:r>
          <w:r>
            <w:rPr>
              <w:rFonts w:asciiTheme="minorHAnsi" w:hAnsiTheme="minorHAnsi" w:eastAsiaTheme="minorEastAsia"/>
              <w:lang w:eastAsia="en-GB"/>
            </w:rPr>
            <w:tab/>
          </w:r>
          <w:r>
            <w:rPr>
              <w:rStyle w:val="17"/>
            </w:rPr>
            <w:t>The NHS as a Critical Test Case</w:t>
          </w:r>
          <w:r>
            <w:tab/>
          </w:r>
          <w:r>
            <w:fldChar w:fldCharType="begin"/>
          </w:r>
          <w:r>
            <w:instrText xml:space="preserve"> PAGEREF _Toc225731738 \h </w:instrText>
          </w:r>
          <w:r>
            <w:fldChar w:fldCharType="separate"/>
          </w:r>
          <w:r>
            <w:t>9</w:t>
          </w:r>
          <w:r>
            <w:fldChar w:fldCharType="end"/>
          </w:r>
          <w:r>
            <w:fldChar w:fldCharType="end"/>
          </w:r>
        </w:p>
        <w:p w14:paraId="69763697">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"_Toc225731739" </w:instrText>
          </w:r>
          <w:r>
            <w:fldChar w:fldCharType="separate"/>
          </w:r>
          <w:r>
            <w:rPr>
              <w:rStyle w:val="17"/>
            </w:rPr>
            <w:t>2.4</w:t>
          </w:r>
          <w:r>
            <w:rPr>
              <w:rFonts w:asciiTheme="minorHAnsi" w:hAnsiTheme="minorHAnsi" w:eastAsiaTheme="minorEastAsia"/>
              <w:lang w:eastAsia="en-GB"/>
            </w:rPr>
            <w:tab/>
          </w:r>
          <w:r>
            <w:rPr>
              <w:rStyle w:val="17"/>
            </w:rPr>
            <w:t>Research Gap</w:t>
          </w:r>
          <w:r>
            <w:tab/>
          </w:r>
          <w:r>
            <w:fldChar w:fldCharType="begin"/>
          </w:r>
          <w:r>
            <w:instrText xml:space="preserve"> PAGEREF _Toc225731739 \h </w:instrText>
          </w:r>
          <w:r>
            <w:fldChar w:fldCharType="separate"/>
          </w:r>
          <w:r>
            <w:t>10</w:t>
          </w:r>
          <w:r>
            <w:fldChar w:fldCharType="end"/>
          </w:r>
          <w:r>
            <w:fldChar w:fldCharType="end"/>
          </w:r>
        </w:p>
        <w:p w14:paraId="77193F0E">
          <w:pPr>
            <w:pStyle w:val="21"/>
            <w:tabs>
              <w:tab w:val="left" w:pos="48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"_Toc225731740" </w:instrText>
          </w:r>
          <w:r>
            <w:fldChar w:fldCharType="separate"/>
          </w:r>
          <w:r>
            <w:rPr>
              <w:rStyle w:val="17"/>
            </w:rPr>
            <w:t>3.</w:t>
          </w:r>
          <w:r>
            <w:rPr>
              <w:rFonts w:asciiTheme="minorHAnsi" w:hAnsiTheme="minorHAnsi" w:eastAsiaTheme="minorEastAsia"/>
              <w:lang w:eastAsia="en-GB"/>
            </w:rPr>
            <w:tab/>
          </w:r>
          <w:r>
            <w:rPr>
              <w:rStyle w:val="17"/>
            </w:rPr>
            <w:t>Research Methodology</w:t>
          </w:r>
          <w:r>
            <w:tab/>
          </w:r>
          <w:r>
            <w:fldChar w:fldCharType="begin"/>
          </w:r>
          <w:r>
            <w:instrText xml:space="preserve"> PAGEREF _Toc225731740 \h </w:instrText>
          </w:r>
          <w:r>
            <w:fldChar w:fldCharType="separate"/>
          </w:r>
          <w:r>
            <w:t>11</w:t>
          </w:r>
          <w:r>
            <w:fldChar w:fldCharType="end"/>
          </w:r>
          <w:r>
            <w:fldChar w:fldCharType="end"/>
          </w:r>
        </w:p>
        <w:p w14:paraId="1E94F420">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"_Toc225731741" </w:instrText>
          </w:r>
          <w:r>
            <w:fldChar w:fldCharType="separate"/>
          </w:r>
          <w:r>
            <w:rPr>
              <w:rStyle w:val="17"/>
            </w:rPr>
            <w:t>3.1</w:t>
          </w:r>
          <w:r>
            <w:rPr>
              <w:rFonts w:asciiTheme="minorHAnsi" w:hAnsiTheme="minorHAnsi" w:eastAsiaTheme="minorEastAsia"/>
              <w:lang w:eastAsia="en-GB"/>
            </w:rPr>
            <w:tab/>
          </w:r>
          <w:r>
            <w:rPr>
              <w:rStyle w:val="17"/>
            </w:rPr>
            <w:t>Research Philosophy</w:t>
          </w:r>
          <w:r>
            <w:tab/>
          </w:r>
          <w:r>
            <w:fldChar w:fldCharType="begin"/>
          </w:r>
          <w:r>
            <w:instrText xml:space="preserve"> PAGEREF _Toc225731741 \h </w:instrText>
          </w:r>
          <w:r>
            <w:fldChar w:fldCharType="separate"/>
          </w:r>
          <w:r>
            <w:t>11</w:t>
          </w:r>
          <w:r>
            <w:fldChar w:fldCharType="end"/>
          </w:r>
          <w:r>
            <w:fldChar w:fldCharType="end"/>
          </w:r>
        </w:p>
        <w:p w14:paraId="536622CD">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"_Toc225731742" </w:instrText>
          </w:r>
          <w:r>
            <w:fldChar w:fldCharType="separate"/>
          </w:r>
          <w:r>
            <w:rPr>
              <w:rStyle w:val="17"/>
            </w:rPr>
            <w:t>3.2</w:t>
          </w:r>
          <w:r>
            <w:rPr>
              <w:rFonts w:asciiTheme="minorHAnsi" w:hAnsiTheme="minorHAnsi" w:eastAsiaTheme="minorEastAsia"/>
              <w:lang w:eastAsia="en-GB"/>
            </w:rPr>
            <w:tab/>
          </w:r>
          <w:r>
            <w:rPr>
              <w:rStyle w:val="17"/>
            </w:rPr>
            <w:t>Research Approach</w:t>
          </w:r>
          <w:r>
            <w:tab/>
          </w:r>
          <w:r>
            <w:fldChar w:fldCharType="begin"/>
          </w:r>
          <w:r>
            <w:instrText xml:space="preserve"> PAGEREF _Toc225731742 \h </w:instrText>
          </w:r>
          <w:r>
            <w:fldChar w:fldCharType="separate"/>
          </w:r>
          <w:r>
            <w:t>11</w:t>
          </w:r>
          <w:r>
            <w:fldChar w:fldCharType="end"/>
          </w:r>
          <w:r>
            <w:fldChar w:fldCharType="end"/>
          </w:r>
        </w:p>
        <w:p w14:paraId="1051EEA3">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"_Toc225731743" </w:instrText>
          </w:r>
          <w:r>
            <w:fldChar w:fldCharType="separate"/>
          </w:r>
          <w:r>
            <w:rPr>
              <w:rStyle w:val="17"/>
            </w:rPr>
            <w:t>3.3</w:t>
          </w:r>
          <w:r>
            <w:rPr>
              <w:rFonts w:asciiTheme="minorHAnsi" w:hAnsiTheme="minorHAnsi" w:eastAsiaTheme="minorEastAsia"/>
              <w:lang w:eastAsia="en-GB"/>
            </w:rPr>
            <w:tab/>
          </w:r>
          <w:r>
            <w:rPr>
              <w:rStyle w:val="17"/>
            </w:rPr>
            <w:t>Research Strategy and Defence Against Alternatives</w:t>
          </w:r>
          <w:r>
            <w:tab/>
          </w:r>
          <w:r>
            <w:fldChar w:fldCharType="begin"/>
          </w:r>
          <w:r>
            <w:instrText xml:space="preserve"> PAGEREF _Toc225731743 \h </w:instrText>
          </w:r>
          <w:r>
            <w:fldChar w:fldCharType="separate"/>
          </w:r>
          <w:r>
            <w:t>11</w:t>
          </w:r>
          <w:r>
            <w:fldChar w:fldCharType="end"/>
          </w:r>
          <w:r>
            <w:fldChar w:fldCharType="end"/>
          </w:r>
        </w:p>
        <w:p w14:paraId="323CA6BA">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"_Toc225731744" </w:instrText>
          </w:r>
          <w:r>
            <w:fldChar w:fldCharType="separate"/>
          </w:r>
          <w:r>
            <w:rPr>
              <w:rStyle w:val="17"/>
            </w:rPr>
            <w:t>3.4</w:t>
          </w:r>
          <w:r>
            <w:rPr>
              <w:rFonts w:asciiTheme="minorHAnsi" w:hAnsiTheme="minorHAnsi" w:eastAsiaTheme="minorEastAsia"/>
              <w:lang w:eastAsia="en-GB"/>
            </w:rPr>
            <w:tab/>
          </w:r>
          <w:r>
            <w:rPr>
              <w:rStyle w:val="17"/>
            </w:rPr>
            <w:t>Research Design</w:t>
          </w:r>
          <w:r>
            <w:tab/>
          </w:r>
          <w:r>
            <w:fldChar w:fldCharType="begin"/>
          </w:r>
          <w:r>
            <w:instrText xml:space="preserve"> PAGEREF _Toc225731744 \h </w:instrText>
          </w:r>
          <w:r>
            <w:fldChar w:fldCharType="separate"/>
          </w:r>
          <w:r>
            <w:t>12</w:t>
          </w:r>
          <w:r>
            <w:fldChar w:fldCharType="end"/>
          </w:r>
          <w:r>
            <w:fldChar w:fldCharType="end"/>
          </w:r>
        </w:p>
        <w:p w14:paraId="5BD4FA4C">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"_Toc225731745" </w:instrText>
          </w:r>
          <w:r>
            <w:fldChar w:fldCharType="separate"/>
          </w:r>
          <w:r>
            <w:rPr>
              <w:rStyle w:val="17"/>
            </w:rPr>
            <w:t>3.5</w:t>
          </w:r>
          <w:r>
            <w:rPr>
              <w:rFonts w:asciiTheme="minorHAnsi" w:hAnsiTheme="minorHAnsi" w:eastAsiaTheme="minorEastAsia"/>
              <w:lang w:eastAsia="en-GB"/>
            </w:rPr>
            <w:tab/>
          </w:r>
          <w:r>
            <w:rPr>
              <w:rStyle w:val="17"/>
            </w:rPr>
            <w:t>Data Collection Instrument</w:t>
          </w:r>
          <w:r>
            <w:tab/>
          </w:r>
          <w:r>
            <w:fldChar w:fldCharType="begin"/>
          </w:r>
          <w:r>
            <w:instrText xml:space="preserve"> PAGEREF _Toc225731745 \h </w:instrText>
          </w:r>
          <w:r>
            <w:fldChar w:fldCharType="separate"/>
          </w:r>
          <w:r>
            <w:t>12</w:t>
          </w:r>
          <w:r>
            <w:fldChar w:fldCharType="end"/>
          </w:r>
          <w:r>
            <w:fldChar w:fldCharType="end"/>
          </w:r>
        </w:p>
        <w:p w14:paraId="14930F74">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"_Toc225731746" </w:instrText>
          </w:r>
          <w:r>
            <w:fldChar w:fldCharType="separate"/>
          </w:r>
          <w:r>
            <w:rPr>
              <w:rStyle w:val="17"/>
            </w:rPr>
            <w:t>3.6</w:t>
          </w:r>
          <w:r>
            <w:rPr>
              <w:rFonts w:asciiTheme="minorHAnsi" w:hAnsiTheme="minorHAnsi" w:eastAsiaTheme="minorEastAsia"/>
              <w:lang w:eastAsia="en-GB"/>
            </w:rPr>
            <w:tab/>
          </w:r>
          <w:r>
            <w:rPr>
              <w:rStyle w:val="17"/>
            </w:rPr>
            <w:t>Sampling Strategy</w:t>
          </w:r>
          <w:r>
            <w:tab/>
          </w:r>
          <w:r>
            <w:fldChar w:fldCharType="begin"/>
          </w:r>
          <w:r>
            <w:instrText xml:space="preserve"> PAGEREF _Toc225731746 \h </w:instrText>
          </w:r>
          <w:r>
            <w:fldChar w:fldCharType="separate"/>
          </w:r>
          <w:r>
            <w:t>12</w:t>
          </w:r>
          <w:r>
            <w:fldChar w:fldCharType="end"/>
          </w:r>
          <w:r>
            <w:fldChar w:fldCharType="end"/>
          </w:r>
        </w:p>
        <w:p w14:paraId="68C48072">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"_Toc225731747" </w:instrText>
          </w:r>
          <w:r>
            <w:fldChar w:fldCharType="separate"/>
          </w:r>
          <w:r>
            <w:rPr>
              <w:rStyle w:val="17"/>
            </w:rPr>
            <w:t>3.7</w:t>
          </w:r>
          <w:r>
            <w:rPr>
              <w:rFonts w:asciiTheme="minorHAnsi" w:hAnsiTheme="minorHAnsi" w:eastAsiaTheme="minorEastAsia"/>
              <w:lang w:eastAsia="en-GB"/>
            </w:rPr>
            <w:tab/>
          </w:r>
          <w:r>
            <w:rPr>
              <w:rStyle w:val="17"/>
            </w:rPr>
            <w:t>Data Analysis</w:t>
          </w:r>
          <w:r>
            <w:tab/>
          </w:r>
          <w:r>
            <w:fldChar w:fldCharType="begin"/>
          </w:r>
          <w:r>
            <w:instrText xml:space="preserve"> PAGEREF _Toc225731747 \h </w:instrText>
          </w:r>
          <w:r>
            <w:fldChar w:fldCharType="separate"/>
          </w:r>
          <w:r>
            <w:t>14</w:t>
          </w:r>
          <w:r>
            <w:fldChar w:fldCharType="end"/>
          </w:r>
          <w:r>
            <w:fldChar w:fldCharType="end"/>
          </w:r>
        </w:p>
        <w:p w14:paraId="5580952A">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"_Toc225731748" </w:instrText>
          </w:r>
          <w:r>
            <w:fldChar w:fldCharType="separate"/>
          </w:r>
          <w:r>
            <w:rPr>
              <w:rStyle w:val="17"/>
            </w:rPr>
            <w:t>3.8</w:t>
          </w:r>
          <w:r>
            <w:rPr>
              <w:rFonts w:asciiTheme="minorHAnsi" w:hAnsiTheme="minorHAnsi" w:eastAsiaTheme="minorEastAsia"/>
              <w:lang w:eastAsia="en-GB"/>
            </w:rPr>
            <w:tab/>
          </w:r>
          <w:r>
            <w:rPr>
              <w:rStyle w:val="17"/>
            </w:rPr>
            <w:t>Limitations of the Interview Method and Mitigation Strategies</w:t>
          </w:r>
          <w:r>
            <w:tab/>
          </w:r>
          <w:r>
            <w:fldChar w:fldCharType="begin"/>
          </w:r>
          <w:r>
            <w:instrText xml:space="preserve"> PAGEREF _Toc225731748 \h </w:instrText>
          </w:r>
          <w:r>
            <w:fldChar w:fldCharType="separate"/>
          </w:r>
          <w:r>
            <w:t>14</w:t>
          </w:r>
          <w:r>
            <w:fldChar w:fldCharType="end"/>
          </w:r>
          <w:r>
            <w:fldChar w:fldCharType="end"/>
          </w:r>
        </w:p>
        <w:p w14:paraId="40E760D9">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"_Toc225731749" </w:instrText>
          </w:r>
          <w:r>
            <w:fldChar w:fldCharType="separate"/>
          </w:r>
          <w:r>
            <w:rPr>
              <w:rStyle w:val="17"/>
            </w:rPr>
            <w:t>3.9</w:t>
          </w:r>
          <w:r>
            <w:rPr>
              <w:rFonts w:asciiTheme="minorHAnsi" w:hAnsiTheme="minorHAnsi" w:eastAsiaTheme="minorEastAsia"/>
              <w:lang w:eastAsia="en-GB"/>
            </w:rPr>
            <w:tab/>
          </w:r>
          <w:r>
            <w:rPr>
              <w:rStyle w:val="17"/>
            </w:rPr>
            <w:t>Ethics and Positionality</w:t>
          </w:r>
          <w:r>
            <w:tab/>
          </w:r>
          <w:r>
            <w:fldChar w:fldCharType="begin"/>
          </w:r>
          <w:r>
            <w:instrText xml:space="preserve"> PAGEREF _Toc225731749 \h </w:instrText>
          </w:r>
          <w:r>
            <w:fldChar w:fldCharType="separate"/>
          </w:r>
          <w:r>
            <w:t>15</w:t>
          </w:r>
          <w:r>
            <w:fldChar w:fldCharType="end"/>
          </w:r>
          <w:r>
            <w:fldChar w:fldCharType="end"/>
          </w:r>
        </w:p>
        <w:p w14:paraId="077B3097">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"_Toc225731750" </w:instrText>
          </w:r>
          <w:r>
            <w:fldChar w:fldCharType="separate"/>
          </w:r>
          <w:r>
            <w:rPr>
              <w:rStyle w:val="17"/>
            </w:rPr>
            <w:t>3.10</w:t>
          </w:r>
          <w:r>
            <w:rPr>
              <w:rFonts w:asciiTheme="minorHAnsi" w:hAnsiTheme="minorHAnsi" w:eastAsiaTheme="minorEastAsia"/>
              <w:lang w:eastAsia="en-GB"/>
            </w:rPr>
            <w:tab/>
          </w:r>
          <w:r>
            <w:rPr>
              <w:rStyle w:val="17"/>
            </w:rPr>
            <w:t>Resource Implications</w:t>
          </w:r>
          <w:r>
            <w:tab/>
          </w:r>
          <w:r>
            <w:fldChar w:fldCharType="begin"/>
          </w:r>
          <w:r>
            <w:instrText xml:space="preserve"> PAGEREF _Toc225731750 \h </w:instrText>
          </w:r>
          <w:r>
            <w:fldChar w:fldCharType="separate"/>
          </w:r>
          <w:r>
            <w:t>15</w:t>
          </w:r>
          <w:r>
            <w:fldChar w:fldCharType="end"/>
          </w:r>
          <w:r>
            <w:fldChar w:fldCharType="end"/>
          </w:r>
        </w:p>
        <w:p w14:paraId="1C03B679">
          <w:pPr>
            <w:pStyle w:val="21"/>
            <w:tabs>
              <w:tab w:val="left" w:pos="48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"_Toc225731751" </w:instrText>
          </w:r>
          <w:r>
            <w:fldChar w:fldCharType="separate"/>
          </w:r>
          <w:r>
            <w:rPr>
              <w:rStyle w:val="17"/>
            </w:rPr>
            <w:t>4.</w:t>
          </w:r>
          <w:r>
            <w:rPr>
              <w:rFonts w:asciiTheme="minorHAnsi" w:hAnsiTheme="minorHAnsi" w:eastAsiaTheme="minorEastAsia"/>
              <w:lang w:eastAsia="en-GB"/>
            </w:rPr>
            <w:tab/>
          </w:r>
          <w:r>
            <w:rPr>
              <w:rStyle w:val="17"/>
            </w:rPr>
            <w:t>Outcomes and Timetable</w:t>
          </w:r>
          <w:r>
            <w:tab/>
          </w:r>
          <w:r>
            <w:fldChar w:fldCharType="begin"/>
          </w:r>
          <w:r>
            <w:instrText xml:space="preserve"> PAGEREF _Toc225731751 \h </w:instrText>
          </w:r>
          <w:r>
            <w:fldChar w:fldCharType="separate"/>
          </w:r>
          <w:r>
            <w:t>15</w:t>
          </w:r>
          <w:r>
            <w:fldChar w:fldCharType="end"/>
          </w:r>
          <w:r>
            <w:fldChar w:fldCharType="end"/>
          </w:r>
        </w:p>
        <w:p w14:paraId="557BFA7A">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"_Toc225731752" </w:instrText>
          </w:r>
          <w:r>
            <w:fldChar w:fldCharType="separate"/>
          </w:r>
          <w:r>
            <w:rPr>
              <w:rStyle w:val="17"/>
            </w:rPr>
            <w:t>4.1</w:t>
          </w:r>
          <w:r>
            <w:rPr>
              <w:rFonts w:asciiTheme="minorHAnsi" w:hAnsiTheme="minorHAnsi" w:eastAsiaTheme="minorEastAsia"/>
              <w:lang w:eastAsia="en-GB"/>
            </w:rPr>
            <w:tab/>
          </w:r>
          <w:r>
            <w:rPr>
              <w:rStyle w:val="17"/>
            </w:rPr>
            <w:t>Expected Outcomes and Contribution</w:t>
          </w:r>
          <w:r>
            <w:tab/>
          </w:r>
          <w:r>
            <w:fldChar w:fldCharType="begin"/>
          </w:r>
          <w:r>
            <w:instrText xml:space="preserve"> PAGEREF _Toc225731752 \h </w:instrText>
          </w:r>
          <w:r>
            <w:fldChar w:fldCharType="separate"/>
          </w:r>
          <w:r>
            <w:t>15</w:t>
          </w:r>
          <w:r>
            <w:fldChar w:fldCharType="end"/>
          </w:r>
          <w:r>
            <w:fldChar w:fldCharType="end"/>
          </w:r>
        </w:p>
        <w:p w14:paraId="1044EED8">
          <w:pPr>
            <w:pStyle w:val="22"/>
            <w:tabs>
              <w:tab w:val="left" w:pos="96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"_Toc225731753" </w:instrText>
          </w:r>
          <w:r>
            <w:fldChar w:fldCharType="separate"/>
          </w:r>
          <w:r>
            <w:rPr>
              <w:rStyle w:val="17"/>
            </w:rPr>
            <w:t>4.2</w:t>
          </w:r>
          <w:r>
            <w:rPr>
              <w:rFonts w:asciiTheme="minorHAnsi" w:hAnsiTheme="minorHAnsi" w:eastAsiaTheme="minorEastAsia"/>
              <w:lang w:eastAsia="en-GB"/>
            </w:rPr>
            <w:tab/>
          </w:r>
          <w:r>
            <w:rPr>
              <w:rStyle w:val="17"/>
            </w:rPr>
            <w:t>Gantt Chart and Timeline</w:t>
          </w:r>
          <w:r>
            <w:tab/>
          </w:r>
          <w:r>
            <w:fldChar w:fldCharType="begin"/>
          </w:r>
          <w:r>
            <w:instrText xml:space="preserve"> PAGEREF _Toc225731753 \h </w:instrText>
          </w:r>
          <w:r>
            <w:fldChar w:fldCharType="separate"/>
          </w:r>
          <w:r>
            <w:t>16</w:t>
          </w:r>
          <w:r>
            <w:fldChar w:fldCharType="end"/>
          </w:r>
          <w:r>
            <w:fldChar w:fldCharType="end"/>
          </w:r>
        </w:p>
        <w:p w14:paraId="3F8B83C0">
          <w:pPr>
            <w:pStyle w:val="21"/>
            <w:tabs>
              <w:tab w:val="left" w:pos="480"/>
              <w:tab w:val="right" w:leader="dot" w:pos="9350"/>
            </w:tabs>
            <w:spacing w:after="0" w:line="480" w:lineRule="auto"/>
            <w:rPr>
              <w:rFonts w:asciiTheme="minorHAnsi" w:hAnsiTheme="minorHAnsi" w:eastAsiaTheme="minorEastAsia"/>
              <w:lang w:eastAsia="en-GB"/>
            </w:rPr>
          </w:pPr>
          <w:r>
            <w:fldChar w:fldCharType="begin"/>
          </w:r>
          <w:r>
            <w:instrText xml:space="preserve"> HYPERLINK \l "_Toc225731754" </w:instrText>
          </w:r>
          <w:r>
            <w:fldChar w:fldCharType="separate"/>
          </w:r>
          <w:r>
            <w:rPr>
              <w:rStyle w:val="17"/>
            </w:rPr>
            <w:t>5.</w:t>
          </w:r>
          <w:r>
            <w:rPr>
              <w:rFonts w:asciiTheme="minorHAnsi" w:hAnsiTheme="minorHAnsi" w:eastAsiaTheme="minorEastAsia"/>
              <w:lang w:eastAsia="en-GB"/>
            </w:rPr>
            <w:tab/>
          </w:r>
          <w:r>
            <w:rPr>
              <w:rStyle w:val="17"/>
            </w:rPr>
            <w:t>Reference List</w:t>
          </w:r>
          <w:r>
            <w:tab/>
          </w:r>
          <w:r>
            <w:fldChar w:fldCharType="begin"/>
          </w:r>
          <w:r>
            <w:instrText xml:space="preserve"> PAGEREF _Toc225731754 \h </w:instrText>
          </w:r>
          <w:r>
            <w:fldChar w:fldCharType="separate"/>
          </w:r>
          <w:r>
            <w:t>17</w:t>
          </w:r>
          <w:r>
            <w:fldChar w:fldCharType="end"/>
          </w:r>
          <w:r>
            <w:fldChar w:fldCharType="end"/>
          </w:r>
        </w:p>
        <w:p w14:paraId="70F3903D">
          <w:pPr>
            <w:spacing w:line="480" w:lineRule="auto"/>
          </w:pPr>
          <w:r>
            <w:rPr>
              <w:b/>
              <w:bCs/>
            </w:rPr>
            <w:fldChar w:fldCharType="end"/>
          </w:r>
        </w:p>
      </w:sdtContent>
    </w:sdt>
    <w:p w14:paraId="3E265F09">
      <w:pPr>
        <w:spacing w:line="480" w:lineRule="auto"/>
        <w:rPr>
          <w:color w:val="000000" w:themeColor="text1"/>
          <w14:textFill>
            <w14:solidFill>
              <w14:schemeClr w14:val="tx1"/>
            </w14:solidFill>
          </w14:textFill>
        </w:rPr>
      </w:pPr>
      <w:r>
        <w:rPr>
          <w:color w:val="000000" w:themeColor="text1"/>
          <w14:textFill>
            <w14:solidFill>
              <w14:schemeClr w14:val="tx1"/>
            </w14:solidFill>
          </w14:textFill>
        </w:rPr>
        <w:br w:type="page"/>
      </w:r>
    </w:p>
    <w:p w14:paraId="5DE6DE6A">
      <w:pPr>
        <w:pStyle w:val="2"/>
        <w:spacing w:line="480" w:lineRule="auto"/>
      </w:pPr>
      <w:bookmarkStart w:id="2" w:name="_Toc225602181"/>
      <w:bookmarkStart w:id="3" w:name="_Toc225731724"/>
      <w:r>
        <w:t>Introduction</w:t>
      </w:r>
      <w:bookmarkEnd w:id="2"/>
      <w:bookmarkEnd w:id="3"/>
    </w:p>
    <w:p w14:paraId="7CEF6FD5">
      <w:pPr>
        <w:pStyle w:val="3"/>
        <w:spacing w:before="0" w:after="0" w:line="480" w:lineRule="auto"/>
      </w:pPr>
      <w:bookmarkStart w:id="4" w:name="_Toc225602182"/>
      <w:bookmarkStart w:id="5" w:name="_Toc225731725"/>
      <w:r>
        <w:t>Contextual Background</w:t>
      </w:r>
      <w:bookmarkEnd w:id="4"/>
      <w:bookmarkEnd w:id="5"/>
    </w:p>
    <w:p w14:paraId="08A22ABB">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NHS is the largest employer in the United Kingdom's public sector, employing an estimated 1.5 million people. Compounding structural pressures, built up over the past decade, have been materially worsened by the COVID-19 pandemic, a sustained backlog of recovery, and increasing clinical demand, all of which have contributed to nurse retention becoming a systemic risk to care quality and organisational survival. The NHS Long Term Workforce Plan recognised this issue and estimated considerable growth in the nursing workforce, while urgently reforming the conditions under which experienced clinicians leave (NHS England, 2023). NHS England (2024) documented much higher vacancy rates among registered nurses than had been recorded before the pandemic in acute, community, and mental health facilities. Although NHS England (2025) stated that the staff turnover rate is the lowest in more than 10 years, the raw number of frontline exits and their concentration in registered nursing positions warrant further research. According to the UK Parliament (2021), the structural threat to the sustainability of the UK NHS is also workforce burnout, and Garratt (2024) recorded workforce shortages being disproportionately concentrated in the nursing and midwifery sectors. The pressures are supported by NHS Digital (2024), which reports sustained high vacancy rates using aggregate workforce statistics. The work-life issue has become a structural factor of dissatisfaction in this terrain. NHS Employers (2020) has acknowledged that improving nurses' work-life balance is a strategic necessity. The King’s Fund (2025) has verified that the core levers through which NHS trusts can influence retention are rostering practices, the intensity of work, and managers' culture. The NHS England (2026) has defined flexible working support as an official employee resource, which is not widely used or believed to succeed in the qualitative aspects of the frontline clinical work.</w:t>
      </w:r>
    </w:p>
    <w:p w14:paraId="504DEE39">
      <w:pPr>
        <w:pStyle w:val="3"/>
        <w:spacing w:before="0" w:after="0" w:line="480" w:lineRule="auto"/>
      </w:pPr>
      <w:bookmarkStart w:id="6" w:name="_Toc225602183"/>
      <w:bookmarkStart w:id="7" w:name="_Toc225731726"/>
      <w:r>
        <w:t>Statement of the Research Problem</w:t>
      </w:r>
      <w:bookmarkEnd w:id="6"/>
      <w:bookmarkEnd w:id="7"/>
    </w:p>
    <w:p w14:paraId="58B8D394">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Empirical evidence has shown that work-life conflict has strong statistical relationships with turnover intention (Blanco-Donoso et al., 2021; Rony, Md. Numan and Alamgir, 2023; Tolksdorf, Tischler and Heinrichs, 2022). Nevertheless, most of this evidence is based on cross-sectional, survey-based designs that cannot shed any light on how conflict is subjectively experienced, how its meaning differs between individual and ward-level situations, or what interpretive processes it produces in exit intentions. In the NHS, in particular, there is no qualitative research to investigate this relationship among frontline clinical personnel, based on their own words and first-person narratives, and included in the literature. The aggregate trends generated by tools like the NHS Staff Survey lack the depth of narrative of why and how conflict triggers deliberation over quitting (NHS, 2022). In the absence of such understanding, the NHS retention policy may be crafted based on a structurally incomplete theoretical basis.</w:t>
      </w:r>
    </w:p>
    <w:p w14:paraId="4599AA8F">
      <w:pPr>
        <w:pStyle w:val="3"/>
        <w:spacing w:before="0" w:after="0" w:line="480" w:lineRule="auto"/>
      </w:pPr>
      <w:bookmarkStart w:id="8" w:name="_Toc225731727"/>
      <w:bookmarkStart w:id="9" w:name="_Toc225602184"/>
      <w:r>
        <w:t>Significance of the Research</w:t>
      </w:r>
      <w:bookmarkEnd w:id="8"/>
      <w:bookmarkEnd w:id="9"/>
    </w:p>
    <w:p w14:paraId="333108F7">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Academically, this research fills a gap in the qualitative literature on work-life conflict and turnover intention in the UK healthcare sector. In practice, its results will be relevant to NHS Trust HR directors, senior nursing managers, and national policy bodies, as they will provide context-based evidence to shape flexible working reform, participatory rostering, and wellbeing strategy (NHS England, 2023).</w:t>
      </w:r>
    </w:p>
    <w:p w14:paraId="7B31BD79">
      <w:pPr>
        <w:pStyle w:val="3"/>
        <w:spacing w:before="0" w:after="0" w:line="480" w:lineRule="auto"/>
      </w:pPr>
      <w:bookmarkStart w:id="10" w:name="_Toc225602185"/>
      <w:bookmarkStart w:id="11" w:name="_Toc225731728"/>
      <w:r>
        <w:t>Definition of Key Terms</w:t>
      </w:r>
      <w:bookmarkEnd w:id="10"/>
      <w:bookmarkEnd w:id="11"/>
    </w:p>
    <w:p w14:paraId="3E3ED1AE">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definition of work-life conflict is a type of inter-role conflict where time, strain, and behavioural demands of both occupational and personal roles are incompatible (Dilmaghani, Armoon and Moghaddam, 2022). Turnover intention can be described as the mental condition where an employee deliberately thinks about quitting his or her current employer or career, the closest predictor of voluntary turnover (Hu et al., 2022). The term interpretivist qualitative inquiry refers to a research perspective that considers social reality to be made up of meanings attached to experience by people that can be best explored through in-depth, dialogic interaction instead of standardised measurement (Saunders, Lewis and Thornhill, 2019).</w:t>
      </w:r>
    </w:p>
    <w:p w14:paraId="0AFECA78">
      <w:pPr>
        <w:pStyle w:val="3"/>
        <w:spacing w:before="0" w:after="0" w:line="480" w:lineRule="auto"/>
      </w:pPr>
      <w:bookmarkStart w:id="12" w:name="_Toc225602186"/>
      <w:bookmarkStart w:id="13" w:name="_Toc225731729"/>
      <w:r>
        <w:t>Research Aim</w:t>
      </w:r>
      <w:bookmarkEnd w:id="12"/>
      <w:bookmarkEnd w:id="13"/>
    </w:p>
    <w:p w14:paraId="55F8031D">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This study will be critical for assessing the subjective experience and interpretation of work-life conflict among NHS nursing and allied health employees and for exploring the mechanisms by which these experiences influence their intentions to leave their jobs or the profession.</w:t>
      </w:r>
    </w:p>
    <w:p w14:paraId="35AA8E46">
      <w:pPr>
        <w:pStyle w:val="3"/>
        <w:spacing w:before="0" w:after="0" w:line="480" w:lineRule="auto"/>
      </w:pPr>
      <w:bookmarkStart w:id="14" w:name="_Toc225602187"/>
      <w:bookmarkStart w:id="15" w:name="_Toc225731730"/>
      <w:r>
        <w:t>Research Objectives</w:t>
      </w:r>
      <w:bookmarkEnd w:id="14"/>
      <w:bookmarkEnd w:id="15"/>
    </w:p>
    <w:p w14:paraId="7743C68B">
      <w:pPr>
        <w:pStyle w:val="37"/>
        <w:numPr>
          <w:ilvl w:val="0"/>
          <w:numId w:val="2"/>
        </w:numPr>
        <w:spacing w:line="480" w:lineRule="auto"/>
        <w:rPr>
          <w:color w:val="000000" w:themeColor="text1"/>
          <w14:textFill>
            <w14:solidFill>
              <w14:schemeClr w14:val="tx1"/>
            </w14:solidFill>
          </w14:textFill>
        </w:rPr>
      </w:pPr>
      <w:r>
        <w:rPr>
          <w:color w:val="000000" w:themeColor="text1"/>
          <w14:textFill>
            <w14:solidFill>
              <w14:schemeClr w14:val="tx1"/>
            </w14:solidFill>
          </w14:textFill>
        </w:rPr>
        <w:t>To investigate the definition and narration of work-life conflict by the NHS nursing staff concerning the working conditions and organisational context.</w:t>
      </w:r>
    </w:p>
    <w:p w14:paraId="7E24B79B">
      <w:pPr>
        <w:pStyle w:val="37"/>
        <w:numPr>
          <w:ilvl w:val="0"/>
          <w:numId w:val="2"/>
        </w:numPr>
        <w:spacing w:line="480" w:lineRule="auto"/>
        <w:rPr>
          <w:color w:val="000000" w:themeColor="text1"/>
          <w14:textFill>
            <w14:solidFill>
              <w14:schemeClr w14:val="tx1"/>
            </w14:solidFill>
          </w14:textFill>
        </w:rPr>
      </w:pPr>
      <w:r>
        <w:rPr>
          <w:color w:val="000000" w:themeColor="text1"/>
          <w14:textFill>
            <w14:solidFill>
              <w14:schemeClr w14:val="tx1"/>
            </w14:solidFill>
          </w14:textFill>
        </w:rPr>
        <w:t>To explore the organisational, managerial, and structural factors that NHS employees note are exacerbating work-life conflict and undermining personal well-being.</w:t>
      </w:r>
    </w:p>
    <w:p w14:paraId="61A4B1EA">
      <w:pPr>
        <w:pStyle w:val="37"/>
        <w:numPr>
          <w:ilvl w:val="0"/>
          <w:numId w:val="2"/>
        </w:numPr>
        <w:spacing w:line="480" w:lineRule="auto"/>
        <w:rPr>
          <w:color w:val="000000" w:themeColor="text1"/>
          <w14:textFill>
            <w14:solidFill>
              <w14:schemeClr w14:val="tx1"/>
            </w14:solidFill>
          </w14:textFill>
        </w:rPr>
      </w:pPr>
      <w:r>
        <w:rPr>
          <w:color w:val="000000" w:themeColor="text1"/>
          <w14:textFill>
            <w14:solidFill>
              <w14:schemeClr w14:val="tx1"/>
            </w14:solidFill>
          </w14:textFill>
        </w:rPr>
        <w:t>To compare how perceived work-life conflict is interpreted to affect the cognitive deliberation of nurses leaving their work or their profession.</w:t>
      </w:r>
    </w:p>
    <w:p w14:paraId="65587D7B">
      <w:pPr>
        <w:pStyle w:val="37"/>
        <w:numPr>
          <w:ilvl w:val="0"/>
          <w:numId w:val="2"/>
        </w:numPr>
        <w:spacing w:line="480" w:lineRule="auto"/>
        <w:rPr>
          <w:color w:val="000000" w:themeColor="text1"/>
          <w14:textFill>
            <w14:solidFill>
              <w14:schemeClr w14:val="tx1"/>
            </w14:solidFill>
          </w14:textFill>
        </w:rPr>
      </w:pPr>
      <w:r>
        <w:rPr>
          <w:color w:val="000000" w:themeColor="text1"/>
          <w14:textFill>
            <w14:solidFill>
              <w14:schemeClr w14:val="tx1"/>
            </w14:solidFill>
          </w14:textFill>
        </w:rPr>
        <w:t>To investigate the perceptions about the degree to which the current organisational support mechanisms are perceived as being effective at reducing work-life conflict.</w:t>
      </w:r>
    </w:p>
    <w:p w14:paraId="0ED2BB0B">
      <w:pPr>
        <w:pStyle w:val="3"/>
        <w:spacing w:before="0" w:after="0" w:line="480" w:lineRule="auto"/>
      </w:pPr>
      <w:bookmarkStart w:id="16" w:name="_Toc225602188"/>
      <w:bookmarkStart w:id="17" w:name="_Toc225731731"/>
      <w:r>
        <w:t>Research Questions</w:t>
      </w:r>
      <w:bookmarkEnd w:id="16"/>
      <w:bookmarkEnd w:id="17"/>
    </w:p>
    <w:p w14:paraId="6BC13B0E">
      <w:pPr>
        <w:pStyle w:val="37"/>
        <w:numPr>
          <w:ilvl w:val="0"/>
          <w:numId w:val="3"/>
        </w:num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What are the subjective definitions and experiences of NHS nursing staff on work-life conflict in the context of their occupational activities?</w:t>
      </w:r>
    </w:p>
    <w:p w14:paraId="6F036884">
      <w:pPr>
        <w:pStyle w:val="37"/>
        <w:numPr>
          <w:ilvl w:val="0"/>
          <w:numId w:val="3"/>
        </w:num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Which organisational, managerial and structural factors do NHS nursing staff consider to be the key contributors to working life conflict?</w:t>
      </w:r>
    </w:p>
    <w:p w14:paraId="70CD8776">
      <w:pPr>
        <w:pStyle w:val="37"/>
        <w:numPr>
          <w:ilvl w:val="0"/>
          <w:numId w:val="3"/>
        </w:num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What interpretive processes can explain how the work-life conflict influences the intentions of NHS nursing staff to leave their job or the profession?</w:t>
      </w:r>
    </w:p>
    <w:p w14:paraId="485A9202">
      <w:pPr>
        <w:pStyle w:val="37"/>
        <w:numPr>
          <w:ilvl w:val="0"/>
          <w:numId w:val="3"/>
        </w:num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What is the level of perception by NHS nursing staff about the effectiveness and sufficiency of the current organisational support frameworks in managing the work-life conflict?</w:t>
      </w:r>
    </w:p>
    <w:p w14:paraId="609251B0">
      <w:pPr>
        <w:pStyle w:val="2"/>
        <w:spacing w:line="480" w:lineRule="auto"/>
      </w:pPr>
      <w:bookmarkStart w:id="18" w:name="_Toc225731732"/>
      <w:bookmarkStart w:id="19" w:name="_Toc225602189"/>
      <w:r>
        <w:t>Literature Review</w:t>
      </w:r>
      <w:bookmarkEnd w:id="18"/>
      <w:bookmarkEnd w:id="19"/>
    </w:p>
    <w:p w14:paraId="6854B469">
      <w:pPr>
        <w:pStyle w:val="3"/>
        <w:spacing w:before="0" w:after="0" w:line="480" w:lineRule="auto"/>
      </w:pPr>
      <w:bookmarkStart w:id="20" w:name="_Toc225602190"/>
      <w:bookmarkStart w:id="21" w:name="_Toc225731733"/>
      <w:r>
        <w:rPr>
          <w:lang w:val="en-GB"/>
        </w:rPr>
        <w:t>Theoretical Disputes: Universal Mechanisms vs. Context-Specific Realities</w:t>
      </w:r>
      <w:bookmarkEnd w:id="20"/>
      <w:bookmarkEnd w:id="21"/>
    </w:p>
    <w:p w14:paraId="76F4B238">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core theoretical tension in the work-life conflict literature is between those frameworks that suggest universal and cross-contextual mechanisms and those that highlight the structural, cultural and institutional specificity of how conflict is generated and experienced. This tension has significant implications for the design of NHS retention policy and, hence, its likely effectiveness. Role Conflict Theory, which originated with Kahn et al. (1964) and has been extended into a detailed tripartite model of time-based, strain-based, and behaviour-based conflict (Greenhaus and Beutell, 1985), is a paradigmatic universalist theory. Its core contention -- that conflict was predictable and the result of structural role incompatibility -- had been shown, in various areas, to be supported by the evidence. Dilmaghani, Armoon, and Moghaddam (2022) applied it to Iranian nurses and found that all three dimensions of the conflict could separately predict lower quality of life in the profession. Galletta et al. (2019) found that work-family conflict was predictive of emotional exhaustion in the Italian nursing setting, even after controlling for ward-level commitment. Comparable patterns have been observed in the Saudi tertiary care context and in Jordan (Salahat and Al-Hamdan, 2022; Kaddourah, Abu-Shaheen &amp; Al-Tannir, 2018). This replication gives the universalist claim some credibility. However, Role Conflict Theory is based upon culturally specific assumptions. Developed in a mid-twentieth-century Western, male breadwinner context, it assumes stable, morally equal role domains. Working in the NHS and experiencing shifts in work schedules, the boundaries between work and personal life are chronically contested, making the application of the theory impossible. It also individualises conflict and obscures structural causes such as understaffing, overtime work, and managerial indifference. Hussein, Ramadan, and Atalla (2025) indicate that workaholism is a culturally and institutionally shaped antecedent, and Zhang, Pang, and Zhang (2025) indicate that supervisory control generates conflict from psychological need frustration, highlighting relational power dynamics that are not shown in the theory. The Job Demands-Resources (JD-R) model is more structurally sensitive and can relate outcomes to the balance between demands and resources (Bakker and Demerouti, 2007). Dhurata Ivziku et al. (2025) demonstrated its potential to capture the pathways that the Role Conflict Theory misses, especially the moderating role of resources. Yet the model assumes that resources are objectively available, which conceals the distribution of resources politically and institutionally. Jung et al. (2024) found that working-time autonomy is a predictor of well-being, but Senek et al. (2023) documented the structural unavailability as a force of exit. The model also legitimises current levels of demand, in essence, not considering relationally produced stress, and it has been proven by Yan et al. (2024). This study uses both frameworks as sensitising concepts, rather than predictive models. Its contribution is producing context-specific, inductively derived propositions for refining conceptual adequacy in the NHS. Yang et al. (2024) and Yu, Wang, and Huang (2018) highlight professional meaning and autonomy as interpretive buffers, constructs that are under-theorised in both theoretical frameworks.</w:t>
      </w:r>
    </w:p>
    <w:p w14:paraId="7743A577">
      <w:pPr>
        <w:pStyle w:val="3"/>
        <w:spacing w:before="0" w:after="0" w:line="480" w:lineRule="auto"/>
      </w:pPr>
      <w:bookmarkStart w:id="22" w:name="_Toc225602191"/>
      <w:bookmarkStart w:id="23" w:name="_Toc225731734"/>
      <w:r>
        <w:rPr>
          <w:lang w:val="en-GB"/>
        </w:rPr>
        <w:t>Empirical Debates: Where the Evidence Converges and Conflicts</w:t>
      </w:r>
      <w:bookmarkEnd w:id="22"/>
      <w:bookmarkEnd w:id="23"/>
    </w:p>
    <w:p w14:paraId="792FCFF2">
      <w:pPr>
        <w:pStyle w:val="4"/>
        <w:spacing w:before="0" w:after="0" w:line="480" w:lineRule="auto"/>
      </w:pPr>
      <w:bookmarkStart w:id="24" w:name="_Toc225602192"/>
      <w:bookmarkStart w:id="25" w:name="_Toc225731735"/>
      <w:r>
        <w:rPr>
          <w:lang w:val="en-GB"/>
        </w:rPr>
        <w:t>The Convergence: Work-Life Conflict Predicts Withdrawal</w:t>
      </w:r>
      <w:bookmarkEnd w:id="24"/>
      <w:bookmarkEnd w:id="25"/>
    </w:p>
    <w:p w14:paraId="2E9C94F5">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Across a variety of settings and approaches, the literature demonstrates that work-life conflict is a predictor of withdrawal behaviours, and these behaviours encompass turnover intention, quiet quitting, and lower engagement. Blanco-Donoso et al. (2021), using experience-sampling methods, showed that within-person day-to-day variation in work-family conflict was an important predictor of same-day exit intentions, capturing the immediacy of the work-family conflict-to-exit intentions pathway that static designs miss. Rony, Md. Numan and Alamgir (2023) found that work-life imbalance, employee unhappiness, and mutual domain interference cumulatively predict turnover intention, with subjective unhappiness mediating this effect in the case of this qualitative study, which attempts to explore the structural-experiential gap. Similar trends were found among Jordan (Salahat and Al-Hamdan, 2022) and Saudi Arabia, thus confirming the cross-national relevance, yet identifying a need for inquiry specific to the NHS. In addition to direct turnover, intermediate withdrawal mechanisms are evident (Salahat and Al-Hamdan, 2022; Kaddourah, Abu-Shaheen and Al-Tannir, 2018). Galanis et al. (2023) found that quiet quitting was a precursor to formal exit, while moral resilience was, in turn, negatively predicted by quiet quitting, burnout, and turnover intention. Othman, Mahran and Ali (2025) concluded that managerial marginalisation ("quiet firing") hastened exit deliberation (Galanis et al., 2024a). Burnout mediates the relationship between emotional intelligence and engagement, and moral distress predicts turnover (Cerela-Boltunova, Millere and Nagle, 2025; Alshammari et al, 2025). Exit intentions are associated with patient safety, and effort-reward imbalance is associated with intention during the Covid-19 pandemic, revealing that NHS nurses perceive the systems as undervalued (UK Parliament, 2021; Suk Jung Han, Lee and Kim, 2023; Catania et al., 2024).</w:t>
      </w:r>
    </w:p>
    <w:p w14:paraId="480B512C">
      <w:pPr>
        <w:pStyle w:val="4"/>
        <w:spacing w:before="0" w:after="0" w:line="480" w:lineRule="auto"/>
      </w:pPr>
      <w:bookmarkStart w:id="26" w:name="_Toc225602193"/>
      <w:bookmarkStart w:id="27" w:name="_Toc225731736"/>
      <w:r>
        <w:t>The Conflict: Do Structural Interventions Change Subjective Experience?</w:t>
      </w:r>
      <w:bookmarkEnd w:id="26"/>
      <w:bookmarkEnd w:id="27"/>
    </w:p>
    <w:p w14:paraId="2E0B5DD4">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Although there is consensus that work-life conflict is a retention issue, the literature does not agree on the effectiveness of structural interventions in addressing the subjective aspects of work-life conflict with policy implications. Holton et al. (2024) were able to establish that co-designed, nurse-centred rostering was better at improving the perceived work-life balance and retention intentions, indicating that participatory structural change can be used to construct experience. Alkan, Cushen-Brewster and Anyanwu (2024) also focused more on organisational culture and leadership as more productive instead of inducing the structural changes solely. As demonstrated by Vries et al. (2023), multi-component interventions are more effective than single-lever ones; therefore, both structural and relational change cannot do the trick. However, contrary to that, Engstrom, Sofia Hanberger Jarnheden, and Tham (2023) showed that objective conditions and subjective well-being are independent predictors of turnover, suggesting that structural change may not be sufficient. Salam, Fakhry and Elsayed (2025) found a decrease in work-family conflict through time management training. Still, the design of the study is limited to a single location, which makes it impossible to generalise. Galanis et al. (2024b) and Mustafa Sahin et al. (2025) connected perceived organisational support and turnover intention, as well as collegial relationship, as mediators of satisfaction and retention. The clash between structural interventions and their subjective interpretation is where the tension lies. It shows that it is necessary to investigate qualitatively how NHS nurses perceive, narrate, and assess such changes.</w:t>
      </w:r>
    </w:p>
    <w:p w14:paraId="051B49E3">
      <w:pPr>
        <w:pStyle w:val="4"/>
        <w:spacing w:before="0" w:after="0" w:line="480" w:lineRule="auto"/>
      </w:pPr>
      <w:bookmarkStart w:id="28" w:name="_Toc225731737"/>
      <w:bookmarkStart w:id="29" w:name="_Toc225602194"/>
      <w:r>
        <w:t>International Evidence and NHS Specificity</w:t>
      </w:r>
      <w:bookmarkEnd w:id="28"/>
      <w:bookmarkEnd w:id="29"/>
    </w:p>
    <w:p w14:paraId="48E569FE">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Another empirical controversy concerns the applicability of international studies to the NHS context. Systematic review and meta-analysis by Alireza Hajizadeh et al. (2025) revealed that work-related stressors were the most replicated and significant predictors of turnover intention in Iranian hospital nursing, which gave meta-analytic strength to the conflict-to-intention association; the burnout-to-turnover association was shown to be moderated by cultural context according to Frey et al. (2025), which directly contradicts the universal nature of mechanistic pathways. The Kim et al. (2023) study based a machine learning turnover prediction model on Korea, where structural predictors of exit were used, the researchers admitted that their model could not explain the reasons behind the observed trends, which is also true of the analysis based on the NHS Electronic Staff Records by Milsom et al. (2025), who still identified structural predictors. Still, they stated that the reasons behind the observed trends could not be explained by the model used. Leary et al. (2024) also discovered that NHS exit survey data are clustered around work-life balance, workload, and support - but the categorical nature of these tools precludes the kind of narrative richness that would have made the processes where such factors produce decisions comprehensible. The similarity of structural drivers in Ethiopian emergency nursing was reported by Wubetie, Taye and Girma (2020), and the global prevalence of GP turnover was validated by Shen et al. (2020), which not only validates the cross-contextual strength of the construct but also supports the interpretive specificity that the NHS environment requires. Poon et al. (2022) determined that globally, publicly funded healthcare systems have a high retention vulnerability, and Falatah (2021) proved that COVID-19 increased the global nursing turnover intention significantly because of the mechanisms of moral distress and broken work-life boundaries, which continue to be essential in the NHS post-pandemic (Oweidat et al., 2025; Tolksdorf, Tischler and Heinrichs, 2022; Yildirim and Karatepe, 2024).</w:t>
      </w:r>
    </w:p>
    <w:p w14:paraId="242017A8">
      <w:pPr>
        <w:pStyle w:val="3"/>
        <w:spacing w:before="0" w:after="0" w:line="480" w:lineRule="auto"/>
      </w:pPr>
      <w:bookmarkStart w:id="30" w:name="_Toc225731738"/>
      <w:bookmarkStart w:id="31" w:name="_Toc225602195"/>
      <w:r>
        <w:t>The NHS as a Critical Test Case</w:t>
      </w:r>
      <w:bookmarkEnd w:id="30"/>
      <w:bookmarkEnd w:id="31"/>
    </w:p>
    <w:p w14:paraId="7E384E76">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NHS will offer an analytically interesting example of the aforementioned theoretical and empirical debate, especially given the structural considerations of the relationship issues within the NHS, which are relevant in aspects not adequately represented within mainstream frameworks. Bell and Sheridan (2020) found that organisational commitment was a more accurate predictor of retention than remuneration, underscoring the quality of the employment relationship as a key retention driver. Moisoglou et al. (2025) found that the systematic denial of nurses' experiences was an independent predictor of burnout and turnover intention, underscoring the role of relational power dynamics that cannot be adequately measured with quantitative tools. In the English mental health services, Senek et al. (2025) identified that perceived respect and the quality of supervisory relationships had a higher salience in the decision of healthcare assistants to stay or leave as compared to the structural factors. Anderson, Brady, and Adamson (2025) indicated that cultural-structural interactions were more predictive of retention than structural factors alone. The qualitative evidence presented by Senek et al. (2023) that NHS community nurses describe workload, lack of professional autonomy, and managerial apathy as the major exit forces driving them out is relevant to this study, particularly in acute and mental health settings. Hu et al. (2022) emphasised that career identity also mediates the boundary between structural conditions that initiate exit deliberation, and that vocation can be viewed as an interpretive buffer. There are flexible working policies and the relationship between policy and practice is not studied thoroughly (Nhs.scot, 2023). The timeliness of this interpretive qualitative inquiry is supported by the post-pandemic institutionalisation of high demand and moral distress, and by cross-contextual findings on autonomy and supervisory relations (Sun et al., 2025; Shen et al., 2020; Falatah, 2021; UK Parliament, 2021). Aldhafeeri, Abou Hashish, and Abo Shereda (2025) also raise the question of whether individual emotional intelligence can affect conflicts generated by the structure, a topic this study will examine based on nurses' narratives.</w:t>
      </w:r>
    </w:p>
    <w:p w14:paraId="5126FB2E">
      <w:pPr>
        <w:pStyle w:val="3"/>
        <w:spacing w:before="0" w:after="0" w:line="480" w:lineRule="auto"/>
      </w:pPr>
      <w:bookmarkStart w:id="32" w:name="_Toc225731739"/>
      <w:bookmarkStart w:id="33" w:name="_Toc225602196"/>
      <w:r>
        <w:t>Research Gap</w:t>
      </w:r>
      <w:bookmarkEnd w:id="32"/>
      <w:bookmarkEnd w:id="33"/>
    </w:p>
    <w:p w14:paraId="22581850">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above synthesis reveals that there are three gaps between which this study is in a unique position to answer. To begin with, the available evidence is cross-sectional, survey-based in overwhelming numbers, which will produce static portraits lacking the ability to inform the temporal, contextual, or interpretive aspects of the conflict-to-intention relationship. Second, there is a gap in the literature where qualitative, interpretively based primary research has investigated the issue of work-life conflict as a factor that drives turnover intention in NHS nursing. Third, Role Conflict Theory and the JD-R model have been used mainly in their quantitative operationalised forms, and their suitability to explain the structurally and relationally specific situation of the NHS has not been undertaken in an interpretative inquiry. This research addresses all of these gaps in a single study, contributing to the field in empirical, theoretical, and methodological ways.</w:t>
      </w:r>
    </w:p>
    <w:p w14:paraId="28A97414">
      <w:pPr>
        <w:pStyle w:val="2"/>
        <w:spacing w:line="480" w:lineRule="auto"/>
      </w:pPr>
      <w:bookmarkStart w:id="34" w:name="_Toc225731740"/>
      <w:bookmarkStart w:id="35" w:name="_Toc225602197"/>
      <w:r>
        <w:t>Research Methodology</w:t>
      </w:r>
      <w:bookmarkEnd w:id="34"/>
      <w:bookmarkEnd w:id="35"/>
    </w:p>
    <w:p w14:paraId="07D6F3E4">
      <w:pPr>
        <w:pStyle w:val="3"/>
        <w:spacing w:before="0" w:after="0" w:line="480" w:lineRule="auto"/>
      </w:pPr>
      <w:bookmarkStart w:id="36" w:name="_Toc225731741"/>
      <w:bookmarkStart w:id="37" w:name="_Toc225602198"/>
      <w:r>
        <w:t>Research Philosophy</w:t>
      </w:r>
      <w:bookmarkEnd w:id="36"/>
      <w:bookmarkEnd w:id="37"/>
    </w:p>
    <w:p w14:paraId="5C573663">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current study is interpretivist in terms of philosophical paradigm (Saunders, Lewis and Thornhill, 2019). The interpretivist theory is based on the assumption that social reality is not an objective state of being but is constructed by the meanings and experiences of individuals. According to Leavy (2020), qualitative inquiry is the most suitable to understand the experience and identity, which is in line with the focus of this study, which is on how the NHS nurses perceive work-life conflict and leaving decisions. Research Question 1 discusses the definition and experience of work-life conflict among nurses and necessitates working with the points of view of nurses. Research Question 3 considers the effects of such conflict on exit intentions and assumes active meaning-making. This depth would be constrained by a positivist approach, but interpretivism would endorse dialogue-related approaches to living experience.</w:t>
      </w:r>
    </w:p>
    <w:p w14:paraId="18CE5586">
      <w:pPr>
        <w:pStyle w:val="3"/>
        <w:spacing w:before="0" w:after="0" w:line="480" w:lineRule="auto"/>
      </w:pPr>
      <w:bookmarkStart w:id="38" w:name="_Toc225731742"/>
      <w:bookmarkStart w:id="39" w:name="_Toc225602199"/>
      <w:r>
        <w:t>Research Approach</w:t>
      </w:r>
      <w:bookmarkEnd w:id="38"/>
      <w:bookmarkEnd w:id="39"/>
    </w:p>
    <w:p w14:paraId="3EB3BC30">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This research is an inductive one. Instead of testing pre-specified hypotheses (based on Role Conflict Theory or the JD-R model), the research makes fieldwork theoretically sensitive and, nevertheless, truly open to the appearance of categories and revelations based on the narrations of participants. This aligns with the characterisation of applied qualitative research proposed by Bickman and Rog (2009) as an iterative activity in which theoretical frameworks direct but do not predefine analytical work, allowing conceptual refinement as themes emerge.</w:t>
      </w:r>
    </w:p>
    <w:p w14:paraId="1047545C">
      <w:pPr>
        <w:pStyle w:val="3"/>
        <w:spacing w:before="0" w:after="0" w:line="480" w:lineRule="auto"/>
      </w:pPr>
      <w:bookmarkStart w:id="40" w:name="_Toc225731743"/>
      <w:bookmarkStart w:id="41" w:name="_Toc225602200"/>
      <w:r>
        <w:t>Research Strategy and Defence Against Alternatives</w:t>
      </w:r>
      <w:bookmarkEnd w:id="40"/>
      <w:bookmarkEnd w:id="41"/>
    </w:p>
    <w:p w14:paraId="7D865CE1">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suggested strategy is a semi-structured interview. According to Bickman and Rog (2009), it is appropriate to apply research in which the purpose is to learn more about how people perceive experiences in the institutional setting. Likewise, Leavy (2020) places it as an approach that gives more prominence to accounts of reality provided by the participants, and not on observable behaviour. Its appropriateness in the study is also explained by contrasting it with other methods. Ethnography was denied because of epistemological reasons. The research questions revolve around sense-making with a retrospective and introspective nature, which is how nurses establish connections between work-life conflict and leaving decisions. Whereas ethnography can be useful for observing current practices, the same cannot be said of internal deliberations. The state of conflict can be observed without knowing how individuals perceive it as an exit relationship. Accordingly, semi-structured interviews come nearer to such meanings. Diary techniques were also not allowed. They record experiences over time, but they need participants' continued participation. This poses a threat of an attrition bias, in which the staff who are less pressured will only give contributions in a consistent manner, and this limits the depth of analysis. Narrative inquiry, as described by Leavy (2020), is based on the long-term histories of life. Nonetheless, the research is narrowed to particular organisational experiences rather than full biographies. The application of narrative inquiry may allow redirecting the emphasis to the dynamics of the workplace. The most suitable way, therefore, is semi-structured interviews.</w:t>
      </w:r>
    </w:p>
    <w:p w14:paraId="26A63015">
      <w:pPr>
        <w:pStyle w:val="3"/>
        <w:spacing w:before="0" w:after="0" w:line="480" w:lineRule="auto"/>
      </w:pPr>
      <w:bookmarkStart w:id="42" w:name="_Toc225731744"/>
      <w:bookmarkStart w:id="43" w:name="_Toc225602201"/>
      <w:r>
        <w:t>Research Design</w:t>
      </w:r>
      <w:bookmarkEnd w:id="42"/>
      <w:bookmarkEnd w:id="43"/>
    </w:p>
    <w:p w14:paraId="508F5159">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This paper presents a cross-sectional qualitative study that uses data collected at a single point in time from a purposive sample of NHS trusts in England and Wales. The design suits interpretivist purposes, which are largely descriptive and theoretical, rather than longitudinal or causal.</w:t>
      </w:r>
    </w:p>
    <w:p w14:paraId="25309442">
      <w:pPr>
        <w:pStyle w:val="3"/>
        <w:spacing w:before="0" w:after="0" w:line="480" w:lineRule="auto"/>
      </w:pPr>
      <w:bookmarkStart w:id="44" w:name="_Toc225602202"/>
      <w:bookmarkStart w:id="45" w:name="_Toc225731745"/>
      <w:r>
        <w:t>Data Collection Instrument</w:t>
      </w:r>
      <w:bookmarkEnd w:id="44"/>
      <w:bookmarkEnd w:id="45"/>
    </w:p>
    <w:p w14:paraId="53B4620C">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 semi-structured interview guide will be used to collect data across four thematic domains, each identified by a particular research question. The guide is based on the funnel logic discussed by Bickman and Rog (2009), with experiential and definitional questions (RQ1) as the first step to establish rapport and provide the participants with the chance to share their views, then organisational factors (RQ2), exit deliberation (RQ3), and evaluative reflections on support (RQ4). This framework guides subsequent responses based on previous explanations rather than abstract thinking. The guide will be tested on two NHS nurses who will not take part in the main study. The pilot will determine the clarity, probe relevance, and sequence efficacy in the evocation of spontaneous narratives. The specific focus will be on how to handle emotionally sensitive responses during Domain 3 and to make genuine accounts emerge before researcher framing. It will also approximate timing at domains. Results will be used to improve questions and probes. The interviews will take place using Microsoft Teams or face-to-face interviews and last between 45 and 60 minutes, with consent to be recorded and transcribed by the researcher.</w:t>
      </w:r>
    </w:p>
    <w:p w14:paraId="4A22376E">
      <w:pPr>
        <w:pStyle w:val="3"/>
        <w:spacing w:before="0" w:after="0" w:line="480" w:lineRule="auto"/>
      </w:pPr>
      <w:bookmarkStart w:id="46" w:name="_Toc225602203"/>
      <w:bookmarkStart w:id="47" w:name="_Toc225731746"/>
      <w:r>
        <w:t>Sampling Strategy</w:t>
      </w:r>
      <w:bookmarkEnd w:id="46"/>
      <w:bookmarkEnd w:id="47"/>
    </w:p>
    <w:p w14:paraId="1DB56555">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proposed research uses purposive sampling as the sample is chosen based on the ability of participants to give information-rich descriptions that can be relevant to the research questions (Saunders, Lewis and Thornhill, 2019). Fifteen to twenty respondents will be selected as the target population in accordance with the principles of thematic saturation in concentrated qualitative investigation (Braun and Clarke, 2021).</w:t>
      </w:r>
    </w:p>
    <w:p w14:paraId="52FD36B5">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Table 1: Inclusion and Exclusion Criteria</w:t>
      </w:r>
    </w:p>
    <w:tbl>
      <w:tblPr>
        <w:tblStyle w:val="43"/>
        <w:tblW w:w="5000" w:type="pct"/>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789"/>
        <w:gridCol w:w="4102"/>
        <w:gridCol w:w="3685"/>
      </w:tblGrid>
      <w:tr w14:paraId="5064349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934" w:type="pct"/>
          </w:tcPr>
          <w:p w14:paraId="2BF9B0C5">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Criterion</w:t>
            </w:r>
          </w:p>
        </w:tc>
        <w:tc>
          <w:tcPr>
            <w:tcW w:w="2142" w:type="pct"/>
          </w:tcPr>
          <w:p w14:paraId="24FF3A21">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Inclusion</w:t>
            </w:r>
          </w:p>
        </w:tc>
        <w:tc>
          <w:tcPr>
            <w:tcW w:w="1924" w:type="pct"/>
          </w:tcPr>
          <w:p w14:paraId="6E65BF2E">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Exclusion</w:t>
            </w:r>
          </w:p>
        </w:tc>
      </w:tr>
      <w:tr w14:paraId="52956DBD">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934" w:type="pct"/>
            <w:shd w:val="clear" w:color="auto" w:fill="F1F1F1" w:themeFill="background1" w:themeFillShade="F2"/>
          </w:tcPr>
          <w:p w14:paraId="2F420F1F">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Employment status</w:t>
            </w:r>
          </w:p>
        </w:tc>
        <w:tc>
          <w:tcPr>
            <w:tcW w:w="2142" w:type="pct"/>
            <w:shd w:val="clear" w:color="auto" w:fill="F1F1F1" w:themeFill="background1" w:themeFillShade="F2"/>
          </w:tcPr>
          <w:p w14:paraId="144AEDAF">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Currently substantively employed by an NHS Trust in England or Wales</w:t>
            </w:r>
          </w:p>
        </w:tc>
        <w:tc>
          <w:tcPr>
            <w:tcW w:w="1924" w:type="pct"/>
            <w:shd w:val="clear" w:color="auto" w:fill="F1F1F1" w:themeFill="background1" w:themeFillShade="F2"/>
          </w:tcPr>
          <w:p w14:paraId="198D08C0">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Agency, bank-only, or contracted staff without substantive NHS employment</w:t>
            </w:r>
          </w:p>
        </w:tc>
      </w:tr>
      <w:tr w14:paraId="2D9383A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934" w:type="pct"/>
          </w:tcPr>
          <w:p w14:paraId="499FCA25">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Role type</w:t>
            </w:r>
          </w:p>
        </w:tc>
        <w:tc>
          <w:tcPr>
            <w:tcW w:w="2142" w:type="pct"/>
          </w:tcPr>
          <w:p w14:paraId="121AC928">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Registered nurses, midwives, or allied health professionals in direct patient-facing clinical roles</w:t>
            </w:r>
          </w:p>
        </w:tc>
        <w:tc>
          <w:tcPr>
            <w:tcW w:w="1924" w:type="pct"/>
          </w:tcPr>
          <w:p w14:paraId="28A3C399">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Administrative, managerial, or non-clinical NHS staff</w:t>
            </w:r>
          </w:p>
        </w:tc>
      </w:tr>
      <w:tr w14:paraId="1FC9C22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934" w:type="pct"/>
            <w:shd w:val="clear" w:color="auto" w:fill="F1F1F1" w:themeFill="background1" w:themeFillShade="F2"/>
          </w:tcPr>
          <w:p w14:paraId="0F2F3514">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Experience</w:t>
            </w:r>
          </w:p>
        </w:tc>
        <w:tc>
          <w:tcPr>
            <w:tcW w:w="2142" w:type="pct"/>
            <w:shd w:val="clear" w:color="auto" w:fill="F1F1F1" w:themeFill="background1" w:themeFillShade="F2"/>
          </w:tcPr>
          <w:p w14:paraId="211400B5">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Minimum two years in current NHS role</w:t>
            </w:r>
          </w:p>
        </w:tc>
        <w:tc>
          <w:tcPr>
            <w:tcW w:w="1924" w:type="pct"/>
            <w:shd w:val="clear" w:color="auto" w:fill="F1F1F1" w:themeFill="background1" w:themeFillShade="F2"/>
          </w:tcPr>
          <w:p w14:paraId="176BDB53">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Less than two years in any NHS role</w:t>
            </w:r>
          </w:p>
        </w:tc>
      </w:tr>
      <w:tr w14:paraId="538C108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934" w:type="pct"/>
          </w:tcPr>
          <w:p w14:paraId="1A29A164">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Work pattern</w:t>
            </w:r>
          </w:p>
        </w:tc>
        <w:tc>
          <w:tcPr>
            <w:tcW w:w="2142" w:type="pct"/>
          </w:tcPr>
          <w:p w14:paraId="4A2149A7">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Currently or recently worked shift patterns, including unsocial hours</w:t>
            </w:r>
          </w:p>
        </w:tc>
        <w:tc>
          <w:tcPr>
            <w:tcW w:w="1924" w:type="pct"/>
          </w:tcPr>
          <w:p w14:paraId="7A135AB7">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Staff working exclusively standard 9–5 hours</w:t>
            </w:r>
          </w:p>
        </w:tc>
      </w:tr>
      <w:tr w14:paraId="6D4B643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934" w:type="pct"/>
            <w:shd w:val="clear" w:color="auto" w:fill="F1F1F1" w:themeFill="background1" w:themeFillShade="F2"/>
          </w:tcPr>
          <w:p w14:paraId="3F62A9D7">
            <w:pPr>
              <w:spacing w:line="48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Relevant exposure</w:t>
            </w:r>
          </w:p>
        </w:tc>
        <w:tc>
          <w:tcPr>
            <w:tcW w:w="2142" w:type="pct"/>
            <w:shd w:val="clear" w:color="auto" w:fill="F1F1F1" w:themeFill="background1" w:themeFillShade="F2"/>
          </w:tcPr>
          <w:p w14:paraId="471A69AF">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Has personally experienced or witnessed work-life conflict in their clinical role</w:t>
            </w:r>
          </w:p>
        </w:tc>
        <w:tc>
          <w:tcPr>
            <w:tcW w:w="1924" w:type="pct"/>
            <w:shd w:val="clear" w:color="auto" w:fill="F1F1F1" w:themeFill="background1" w:themeFillShade="F2"/>
          </w:tcPr>
          <w:p w14:paraId="5B552A7A">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No personal exposure to work-life conflict as a workplace issue</w:t>
            </w:r>
          </w:p>
        </w:tc>
      </w:tr>
    </w:tbl>
    <w:p w14:paraId="08EC9548">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recruiting process will also adopt a two-track approach to strengthen experiential diversity and reduce bias in any given recruitment process. The main avenue is to target three NHS Trusts with very different geographical and demographic backgrounds: one urban teaching hospital, one community trust, and one mental healthcare trust, via nursing managers as gatekeepers. This variety of trust types will be used to make sure the sample is not over-representative of one clinical culture or organisational setting. To overcome a gatekeeper bias to recruitment, where it is possible that the more moderately experienced nurses are over-represented and the ones with relatively good experiences are already visible to the management, the second route will be used to supplement this by creating a purposive snowball sample based on opening up a professional online forums about online platforms where self-selected recruitment implies that the management is less visible. This second channel is specifically aimed at employees who might be less involved in formal management systems, and their explanations of conflict and decision to leave might be more open. All participants identified using the secondary pathway will be asked to give a suggestion of one qualified colleague, and there will be purposive control on the sample composition instead of snowballing.</w:t>
      </w:r>
    </w:p>
    <w:p w14:paraId="77279590">
      <w:pPr>
        <w:pStyle w:val="3"/>
        <w:spacing w:before="0" w:after="0" w:line="480" w:lineRule="auto"/>
      </w:pPr>
      <w:bookmarkStart w:id="48" w:name="_Toc225602204"/>
      <w:bookmarkStart w:id="49" w:name="_Toc225731747"/>
      <w:r>
        <w:t>Data Analysis</w:t>
      </w:r>
      <w:bookmarkEnd w:id="48"/>
      <w:bookmarkEnd w:id="49"/>
    </w:p>
    <w:p w14:paraId="44A1AE2C">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data will be analysed by means of reflexive thematic analysis, which is performed in six phases: (1) familiarisation by reading all the transcripts several times; (2) creation of initial codes through annotating meaningful pieces of data; (3) search of themes by clustering common codes; (4) revision of initial themes in terms of its relation to the entire dataset; (5) definition and naming of the theme with analytical focus; (6) the final production of the written analysis This method is philosophically consistent with the interpretivism approach, which places the researcher in a role of an active meaning-producer, and not as an inactive extractor of existing patterns (Braun and Clarke, 2006; 2021). The reflexivity journal will be kept throughout the six phases. It will document the analytical choice made, other possible interpretations, and how the researcher's positionality has shaped the choice.</w:t>
      </w:r>
    </w:p>
    <w:p w14:paraId="6658DC19">
      <w:pPr>
        <w:pStyle w:val="3"/>
        <w:spacing w:before="0" w:after="0" w:line="480" w:lineRule="auto"/>
      </w:pPr>
      <w:bookmarkStart w:id="50" w:name="_Toc225602205"/>
      <w:bookmarkStart w:id="51" w:name="_Toc225731748"/>
      <w:r>
        <w:rPr>
          <w:lang w:val="en-GB"/>
        </w:rPr>
        <w:t>Limitations of the Interview Method and Mitigation Strategies</w:t>
      </w:r>
      <w:bookmarkEnd w:id="50"/>
      <w:bookmarkEnd w:id="51"/>
    </w:p>
    <w:p w14:paraId="740383F1">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At Level 7, methodological limitations must be explicitly considered, and three major limitations of semi-structured interviews apply in this case. Recall Bias: The descriptions of work-life conflict and deliberation about exiting are retrospective and can thus be selectively reconstructed. People can highlight the aspects that are consistent with their existing identity and minimise others. This weakness will be partly overcome by the use of temporally based probes, which will require respondents to introspect on particular instances rather than give general summaries. Moreover, cases of accounts that seem to be reconstructed will be noted in a reflexivity journal and will inform the analysis. The Say vs. Social Desirability. Do Problem: Participants are likely to modify their answers to portray themselves professionally, especially in the NHS nursing culture, where the emphasis is on devotion to care. This could also result in the low reporting of exit intentions. To deal with this, confidentiality will be refreshed explicitly, exit deliberation will be framed as a natural reaction, and third-person probes will be employed to get people to talk more openly. The divergent between reported attitudes and actual behaviour will be further investigated through limited documentary triangulation with the results compared to the results from the NHS and other studies including Leary et al. (2024) and Milsom et al. (2025). Researcher Influence: The presence of researcher and interrogation might have some influence upon answers. This will be controlled in terms of piloting, reflexive practice and member checking with some of the selected participants.</w:t>
      </w:r>
    </w:p>
    <w:p w14:paraId="45E9B38E">
      <w:pPr>
        <w:pStyle w:val="3"/>
        <w:spacing w:before="0" w:after="0" w:line="480" w:lineRule="auto"/>
      </w:pPr>
      <w:bookmarkStart w:id="52" w:name="_Toc225602206"/>
      <w:bookmarkStart w:id="53" w:name="_Toc225731749"/>
      <w:r>
        <w:rPr>
          <w:lang w:val="en-GB"/>
        </w:rPr>
        <w:t>Ethics and Positionality</w:t>
      </w:r>
      <w:bookmarkEnd w:id="52"/>
      <w:bookmarkEnd w:id="53"/>
    </w:p>
    <w:p w14:paraId="319A23EE">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Researcher Positionality: The researcher is a postgraduate student at the University of Wales Trinity Saint David, is not employed by the NHS, and has no recent clinical position. This foreignness role could help reduce the likelihood that participants moderate their answers for professional motives. Still, it creates a gap between NHS practice and their culture that should be bridged through an open, experience-based interview design (Leavy, 2020). Previous exposure to work-life conflict in other industries can enhance interpretive knowledge; however, there is a risk of confirmation bias. The management of these issues will involve a reflexivity journal, supervisory debriefing and member checking with the sampled participants. There are no previous relationships with participants. Informed Consent and Withdrawal: A Participant Information Sheet will be distributed a week earlier to inform them of the purpose of the study, their participation, their right to withdraw, and how the data will be handled. Data collection will be done with consent. Participants have the right to withdraw at any time, including within 14 days after the interview. Anonymity and Confidentiality: Pseudonyms will be used, and data will comply with the UK GDPR. The files will be kept safely for 5 years. Data collection will start only after obtaining ethical approval from the HRA (IRAS) and the University.</w:t>
      </w:r>
    </w:p>
    <w:p w14:paraId="01613708">
      <w:pPr>
        <w:pStyle w:val="3"/>
        <w:spacing w:before="0" w:after="0" w:line="480" w:lineRule="auto"/>
      </w:pPr>
      <w:bookmarkStart w:id="54" w:name="_Toc225602207"/>
      <w:bookmarkStart w:id="55" w:name="_Toc225731750"/>
      <w:r>
        <w:rPr>
          <w:lang w:val="en-GB"/>
        </w:rPr>
        <w:t>Resource Implications</w:t>
      </w:r>
      <w:bookmarkEnd w:id="54"/>
      <w:bookmarkEnd w:id="55"/>
    </w:p>
    <w:p w14:paraId="65B96190">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researcher will carry out transcription using the auto-transcription program in NVivo (estimated licence cost: 250 pounds) and manually verify the results. The interviews will provide about 30 to 40 hours of tape recordings, and the researcher will need about 90 to 160 hours to transcribe them. In-person interviews would require an estimated 100 to 200 pounds in travel expenses, depending on the trust's location. Participant incentives are not foreseen, but participant travel reimbursement can be provided reasonably, if advised by ethics advice. The supervisor's time is projected to be 4 to 6 formal sessions over 8 months. Application fees, on the other hand, will be ensured on approval of HRA.</w:t>
      </w:r>
    </w:p>
    <w:p w14:paraId="13E0BC0D">
      <w:pPr>
        <w:pStyle w:val="2"/>
        <w:spacing w:line="480" w:lineRule="auto"/>
      </w:pPr>
      <w:bookmarkStart w:id="56" w:name="_Toc225731751"/>
      <w:bookmarkStart w:id="57" w:name="_Toc225602208"/>
      <w:r>
        <w:t>Outcomes and Timetable</w:t>
      </w:r>
      <w:bookmarkEnd w:id="56"/>
      <w:bookmarkEnd w:id="57"/>
    </w:p>
    <w:p w14:paraId="2F9AFBB7">
      <w:pPr>
        <w:pStyle w:val="3"/>
        <w:spacing w:before="0" w:after="0" w:line="480" w:lineRule="auto"/>
      </w:pPr>
      <w:bookmarkStart w:id="58" w:name="_Toc225602209"/>
      <w:bookmarkStart w:id="59" w:name="_Toc225731752"/>
      <w:r>
        <w:t>Expected Outcomes and Contribution</w:t>
      </w:r>
      <w:bookmarkEnd w:id="58"/>
      <w:bookmarkEnd w:id="59"/>
    </w:p>
    <w:p w14:paraId="67B76FC6">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Academic Contamination: The proposed research will build upon the current theoretical bases, namely, Role Conflict Theory and the JD-R model, by producing inductively derived propositions that are context-specific and, as such, could narrow conceptual gaps in these theoretical conceptualisations in high-demand contexts within the public sector. It will generate the initial qualitative, NHS-specific primary study on the relationship between work-life conflict and turnover intention, thereby filling the empirical gap identified in Section 2.4. By exploring the hold of these frameworks in individual participants' interpretive narratives, the research paper contributes to the conceptualisation of the retention literature. It illustrates a methodological paradigm for reflexive thematic analysis in NHS labour market studies. Practical Contribution: Results will provide practical evidence to NHS Trust HR directors, workforce planning teams, and national policymakers. The thematic analysis will determine the particular organisational circumstances, managerial behaviours, and support systems that are the most relevant to the exit deliberations of the participants and will directly inform the participatory rostering reform, the flexible working policy, and business-wide workforce strategy of the NHS England (NHS England, 2023; Holton et al., 2024).</w:t>
      </w:r>
    </w:p>
    <w:p w14:paraId="0347E609">
      <w:pPr>
        <w:pStyle w:val="3"/>
        <w:spacing w:before="0" w:after="0" w:line="480" w:lineRule="auto"/>
      </w:pPr>
      <w:bookmarkStart w:id="60" w:name="_Toc225731753"/>
      <w:bookmarkStart w:id="61" w:name="_Toc225602210"/>
      <w:r>
        <w:t>Gantt Chart and Timeline</w:t>
      </w:r>
      <w:bookmarkEnd w:id="60"/>
      <w:bookmarkEnd w:id="61"/>
    </w:p>
    <w:p w14:paraId="1A416485">
      <w:pPr>
        <w:keepNext/>
        <w:spacing w:line="480" w:lineRule="auto"/>
      </w:pPr>
      <w:r>
        <w:rPr>
          <w:color w:val="000000" w:themeColor="text1"/>
          <w14:textFill>
            <w14:solidFill>
              <w14:schemeClr w14:val="tx1"/>
            </w14:solidFill>
          </w14:textFill>
        </w:rPr>
        <w:drawing>
          <wp:inline distT="0" distB="0" distL="0" distR="0">
            <wp:extent cx="5972810" cy="4287520"/>
            <wp:effectExtent l="0" t="0" r="8890" b="0"/>
            <wp:docPr id="2030179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79024" name="Picture 1"/>
                    <pic:cNvPicPr>
                      <a:picLocks noChangeAspect="1"/>
                    </pic:cNvPicPr>
                  </pic:nvPicPr>
                  <pic:blipFill>
                    <a:blip r:embed="rId8"/>
                    <a:stretch>
                      <a:fillRect/>
                    </a:stretch>
                  </pic:blipFill>
                  <pic:spPr>
                    <a:xfrm>
                      <a:off x="0" y="0"/>
                      <a:ext cx="5981197" cy="4293551"/>
                    </a:xfrm>
                    <a:prstGeom prst="rect">
                      <a:avLst/>
                    </a:prstGeom>
                  </pic:spPr>
                </pic:pic>
              </a:graphicData>
            </a:graphic>
          </wp:inline>
        </w:drawing>
      </w:r>
    </w:p>
    <w:p w14:paraId="59BA0462">
      <w:pPr>
        <w:pStyle w:val="13"/>
        <w:spacing w:after="0" w:line="480" w:lineRule="auto"/>
        <w:jc w:val="center"/>
      </w:pPr>
      <w:r>
        <w:t xml:space="preserve">Figure </w:t>
      </w:r>
      <w:r>
        <w:fldChar w:fldCharType="begin"/>
      </w:r>
      <w:r>
        <w:instrText xml:space="preserve"> SEQ Figure \* ARABIC </w:instrText>
      </w:r>
      <w:r>
        <w:fldChar w:fldCharType="separate"/>
      </w:r>
      <w:r>
        <w:t>1</w:t>
      </w:r>
      <w:r>
        <w:fldChar w:fldCharType="end"/>
      </w:r>
      <w:r>
        <w:t>: Research Timetable (Author)</w:t>
      </w:r>
    </w:p>
    <w:p w14:paraId="22DA6DA6">
      <w:pPr>
        <w:spacing w:line="480" w:lineRule="auto"/>
        <w:jc w:val="both"/>
        <w:rPr>
          <w:color w:val="000000" w:themeColor="text1"/>
          <w14:textFill>
            <w14:solidFill>
              <w14:schemeClr w14:val="tx1"/>
            </w14:solidFill>
          </w14:textFill>
        </w:rPr>
      </w:pPr>
      <w:r>
        <w:rPr>
          <w:color w:val="000000" w:themeColor="text1"/>
          <w14:textFill>
            <w14:solidFill>
              <w14:schemeClr w14:val="tx1"/>
            </w14:solidFill>
          </w14:textFill>
        </w:rPr>
        <w:t>The timeline also represents sequential dependencies and realistic contingency plans. Ethics submission will occur in Month 2, including the HRA minimum review period and University committee review, and would be approved by Month 4. Importantly, the recruitment phase will last three months (Months 3-5) instead of two, during which recruitment using the dual-pathway strategy will start in the 3rd month, whilst piloting will be conducted, providing an additional month of contingency should initial gatekeeper response times take longer. If ethics approval is not granted by Month 4, planning for recruitment and finalising the instrument will be done concurrently to prevent a downstream bottleneck. The data collection phase has a two-week buffer for participant cancellations, which is expected given NHS pressures on operations, without any further extension into the transcription period. The rule that HRA approval must precede any data collection involving NHS participants is clearly followed in this sequencing, where all contacts with participants are limited to recruitment information and expression-of-interest responses.</w:t>
      </w:r>
    </w:p>
    <w:p w14:paraId="2ABAF1B2">
      <w:pPr>
        <w:spacing w:line="480" w:lineRule="auto"/>
        <w:rPr>
          <w:rFonts w:eastAsiaTheme="majorEastAsia" w:cstheme="majorBidi"/>
          <w:b/>
          <w:color w:val="000000" w:themeColor="text1"/>
          <w:sz w:val="32"/>
          <w:szCs w:val="40"/>
          <w:lang w:val="en-US"/>
          <w14:textFill>
            <w14:solidFill>
              <w14:schemeClr w14:val="tx1"/>
            </w14:solidFill>
          </w14:textFill>
        </w:rPr>
      </w:pPr>
      <w:bookmarkStart w:id="62" w:name="_Toc225731754"/>
      <w:bookmarkStart w:id="63" w:name="_Toc225602211"/>
      <w:r>
        <w:br w:type="page"/>
      </w:r>
    </w:p>
    <w:p w14:paraId="37F7AD72">
      <w:pPr>
        <w:pStyle w:val="2"/>
        <w:spacing w:line="480" w:lineRule="auto"/>
      </w:pPr>
      <w:r>
        <w:t>Reference List</w:t>
      </w:r>
      <w:bookmarkEnd w:id="62"/>
      <w:bookmarkEnd w:id="63"/>
    </w:p>
    <w:p w14:paraId="5221C242">
      <w:pPr>
        <w:spacing w:line="480" w:lineRule="auto"/>
        <w:jc w:val="both"/>
        <w:rPr>
          <w:color w:val="000000" w:themeColor="text1"/>
          <w14:textFill>
            <w14:solidFill>
              <w14:schemeClr w14:val="tx1"/>
            </w14:solidFill>
          </w14:textFill>
        </w:rPr>
      </w:pPr>
    </w:p>
    <w:p w14:paraId="46B9EA9C">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Aldhafeeri, N.A., Abou Hashish, E.A. and Abo Shereda, H.M. (2025). The effect of work-family conflict on staff nurses' job performance: the mediating role of emotional intelligence.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"https://doi.org/10.1186/s12912-025-03280-w" </w:instrText>
      </w:r>
      <w:r>
        <w:fldChar w:fldCharType="separate"/>
      </w:r>
      <w:r>
        <w:rPr>
          <w:rStyle w:val="17"/>
          <w:color w:val="000000" w:themeColor="text1"/>
          <w14:textFill>
            <w14:solidFill>
              <w14:schemeClr w14:val="tx1"/>
            </w14:solidFill>
          </w14:textFill>
        </w:rPr>
        <w:t>https://doi.org/10.1186/s12912-025-03280-w</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AB94D44">
      <w:pPr>
        <w:spacing w:line="480" w:lineRule="auto"/>
        <w:jc w:val="both"/>
        <w:rPr>
          <w:color w:val="000000" w:themeColor="text1"/>
          <w14:textFill>
            <w14:solidFill>
              <w14:schemeClr w14:val="tx1"/>
            </w14:solidFill>
          </w14:textFill>
        </w:rPr>
      </w:pPr>
    </w:p>
    <w:p w14:paraId="656A4E3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Alireza Hajizadeh, Kakemam, E., Morteza Arab-Zozani, Zahra Najafpoor, Hossein Dargahi and Jalal Saeidpour (2025). Turnover intention among nurses in Iranian hospitals: a systematic review and meta-analysis.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"https://doi.org/10.1186/s12912-025-02801-x" </w:instrText>
      </w:r>
      <w:r>
        <w:fldChar w:fldCharType="separate"/>
      </w:r>
      <w:r>
        <w:rPr>
          <w:rStyle w:val="17"/>
          <w:color w:val="000000" w:themeColor="text1"/>
          <w14:textFill>
            <w14:solidFill>
              <w14:schemeClr w14:val="tx1"/>
            </w14:solidFill>
          </w14:textFill>
        </w:rPr>
        <w:t>https://doi.org/10.1186/s12912-025-02801-x</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DBC95ED">
      <w:pPr>
        <w:spacing w:line="480" w:lineRule="auto"/>
        <w:jc w:val="both"/>
        <w:rPr>
          <w:color w:val="000000" w:themeColor="text1"/>
          <w14:textFill>
            <w14:solidFill>
              <w14:schemeClr w14:val="tx1"/>
            </w14:solidFill>
          </w14:textFill>
        </w:rPr>
      </w:pPr>
    </w:p>
    <w:p w14:paraId="3A46A0BE">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Alkan, E., Cushen-Brewster, N. and Anyanwu, P. (2024). Organisational factors associated with healthcare workforce development, recruitment, and retention in the United Kingdom: a systematic review.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23(1). doi:</w:t>
      </w:r>
      <w:r>
        <w:fldChar w:fldCharType="begin"/>
      </w:r>
      <w:r>
        <w:instrText xml:space="preserve"> HYPERLINK "https://doi.org/10.1186/s12912-024-02216-0" </w:instrText>
      </w:r>
      <w:r>
        <w:fldChar w:fldCharType="separate"/>
      </w:r>
      <w:r>
        <w:rPr>
          <w:rStyle w:val="17"/>
          <w:color w:val="000000" w:themeColor="text1"/>
          <w14:textFill>
            <w14:solidFill>
              <w14:schemeClr w14:val="tx1"/>
            </w14:solidFill>
          </w14:textFill>
        </w:rPr>
        <w:t>https://doi.org/10.1186/s12912-024-02216-0</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4A968CFF">
      <w:pPr>
        <w:spacing w:line="480" w:lineRule="auto"/>
        <w:jc w:val="both"/>
        <w:rPr>
          <w:color w:val="000000" w:themeColor="text1"/>
          <w14:textFill>
            <w14:solidFill>
              <w14:schemeClr w14:val="tx1"/>
            </w14:solidFill>
          </w14:textFill>
        </w:rPr>
      </w:pPr>
    </w:p>
    <w:p w14:paraId="429164ED">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Alshammari, B. et al. (2025). The mediating role of burnout in the relationship between emotional intelligence and work engagement among hospital nurses. </w:t>
      </w:r>
      <w:r>
        <w:rPr>
          <w:i/>
          <w:iCs/>
          <w:color w:val="000000" w:themeColor="text1"/>
          <w14:textFill>
            <w14:solidFill>
              <w14:schemeClr w14:val="tx1"/>
            </w14:solidFill>
          </w14:textFill>
        </w:rPr>
        <w:t>Nursing Reports</w:t>
      </w:r>
      <w:r>
        <w:rPr>
          <w:color w:val="000000" w:themeColor="text1"/>
          <w14:textFill>
            <w14:solidFill>
              <w14:schemeClr w14:val="tx1"/>
            </w14:solidFill>
          </w14:textFill>
        </w:rPr>
        <w:t>, 15(6), p.208. doi:</w:t>
      </w:r>
      <w:r>
        <w:fldChar w:fldCharType="begin"/>
      </w:r>
      <w:r>
        <w:instrText xml:space="preserve"> HYPERLINK "https://doi.org/10.3390/nursrep15060208" </w:instrText>
      </w:r>
      <w:r>
        <w:fldChar w:fldCharType="separate"/>
      </w:r>
      <w:r>
        <w:rPr>
          <w:rStyle w:val="17"/>
          <w:color w:val="000000" w:themeColor="text1"/>
          <w14:textFill>
            <w14:solidFill>
              <w14:schemeClr w14:val="tx1"/>
            </w14:solidFill>
          </w14:textFill>
        </w:rPr>
        <w:t>https://doi.org/10.3390/nursrep15060208</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B2E6F66">
      <w:pPr>
        <w:spacing w:line="480" w:lineRule="auto"/>
        <w:jc w:val="both"/>
        <w:rPr>
          <w:color w:val="000000" w:themeColor="text1"/>
          <w14:textFill>
            <w14:solidFill>
              <w14:schemeClr w14:val="tx1"/>
            </w14:solidFill>
          </w14:textFill>
        </w:rPr>
      </w:pPr>
    </w:p>
    <w:p w14:paraId="5ED9B203">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Anderson, H., Brady, L. and Adamson, J. (2025). Exploring the relationship between cultural and structural workforce issues and retention of nurses in general practice. </w:t>
      </w:r>
      <w:r>
        <w:rPr>
          <w:i/>
          <w:iCs/>
          <w:color w:val="000000" w:themeColor="text1"/>
          <w14:textFill>
            <w14:solidFill>
              <w14:schemeClr w14:val="tx1"/>
            </w14:solidFill>
          </w14:textFill>
        </w:rPr>
        <w:t>BMC Primary Care</w:t>
      </w:r>
      <w:r>
        <w:rPr>
          <w:color w:val="000000" w:themeColor="text1"/>
          <w14:textFill>
            <w14:solidFill>
              <w14:schemeClr w14:val="tx1"/>
            </w14:solidFill>
          </w14:textFill>
        </w:rPr>
        <w:t>, 26(1). doi:</w:t>
      </w:r>
      <w:r>
        <w:fldChar w:fldCharType="begin"/>
      </w:r>
      <w:r>
        <w:instrText xml:space="preserve"> HYPERLINK "https://doi.org/10.1186/s12875-025-02813-1" </w:instrText>
      </w:r>
      <w:r>
        <w:fldChar w:fldCharType="separate"/>
      </w:r>
      <w:r>
        <w:rPr>
          <w:rStyle w:val="17"/>
          <w:color w:val="000000" w:themeColor="text1"/>
          <w14:textFill>
            <w14:solidFill>
              <w14:schemeClr w14:val="tx1"/>
            </w14:solidFill>
          </w14:textFill>
        </w:rPr>
        <w:t>https://doi.org/10.1186/s12875-025-02813-1</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F0A2453">
      <w:pPr>
        <w:spacing w:line="480" w:lineRule="auto"/>
        <w:jc w:val="both"/>
        <w:rPr>
          <w:color w:val="000000" w:themeColor="text1"/>
          <w14:textFill>
            <w14:solidFill>
              <w14:schemeClr w14:val="tx1"/>
            </w14:solidFill>
          </w14:textFill>
        </w:rPr>
      </w:pPr>
    </w:p>
    <w:p w14:paraId="608EF5B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Bakker, A.B. and Demerouti, E. (2007). The job demands-resources model: state of the art. </w:t>
      </w:r>
      <w:r>
        <w:rPr>
          <w:i/>
          <w:iCs/>
          <w:color w:val="000000" w:themeColor="text1"/>
          <w14:textFill>
            <w14:solidFill>
              <w14:schemeClr w14:val="tx1"/>
            </w14:solidFill>
          </w14:textFill>
        </w:rPr>
        <w:t>Journal of Managerial Psychology</w:t>
      </w:r>
      <w:r>
        <w:rPr>
          <w:color w:val="000000" w:themeColor="text1"/>
          <w14:textFill>
            <w14:solidFill>
              <w14:schemeClr w14:val="tx1"/>
            </w14:solidFill>
          </w14:textFill>
        </w:rPr>
        <w:t>, 22(3), pp.309–328. doi:</w:t>
      </w:r>
      <w:r>
        <w:fldChar w:fldCharType="begin"/>
      </w:r>
      <w:r>
        <w:instrText xml:space="preserve"> HYPERLINK "https://doi.org/10.1108/02683940710733115" </w:instrText>
      </w:r>
      <w:r>
        <w:fldChar w:fldCharType="separate"/>
      </w:r>
      <w:r>
        <w:rPr>
          <w:rStyle w:val="17"/>
          <w:color w:val="000000" w:themeColor="text1"/>
          <w14:textFill>
            <w14:solidFill>
              <w14:schemeClr w14:val="tx1"/>
            </w14:solidFill>
          </w14:textFill>
        </w:rPr>
        <w:t>https://doi.org/10.1108/02683940710733115</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B7DAE0C">
      <w:pPr>
        <w:spacing w:line="480" w:lineRule="auto"/>
        <w:jc w:val="both"/>
        <w:rPr>
          <w:color w:val="000000" w:themeColor="text1"/>
          <w14:textFill>
            <w14:solidFill>
              <w14:schemeClr w14:val="tx1"/>
            </w14:solidFill>
          </w14:textFill>
        </w:rPr>
      </w:pPr>
    </w:p>
    <w:p w14:paraId="6775DC33">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Bell, M. and Sheridan, A. (2020). How organisational commitment influences nurses' intention to stay in nursing throughout their career. </w:t>
      </w:r>
      <w:r>
        <w:rPr>
          <w:i/>
          <w:iCs/>
          <w:color w:val="000000" w:themeColor="text1"/>
          <w14:textFill>
            <w14:solidFill>
              <w14:schemeClr w14:val="tx1"/>
            </w14:solidFill>
          </w14:textFill>
        </w:rPr>
        <w:t>International Journal of Nursing Studies Advances</w:t>
      </w:r>
      <w:r>
        <w:rPr>
          <w:color w:val="000000" w:themeColor="text1"/>
          <w14:textFill>
            <w14:solidFill>
              <w14:schemeClr w14:val="tx1"/>
            </w14:solidFill>
          </w14:textFill>
        </w:rPr>
        <w:t>, 2, p.100007. doi:</w:t>
      </w:r>
      <w:r>
        <w:fldChar w:fldCharType="begin"/>
      </w:r>
      <w:r>
        <w:instrText xml:space="preserve"> HYPERLINK "https://doi.org/10.1016/j.ijnsa.2020.100007" </w:instrText>
      </w:r>
      <w:r>
        <w:fldChar w:fldCharType="separate"/>
      </w:r>
      <w:r>
        <w:rPr>
          <w:rStyle w:val="17"/>
          <w:color w:val="000000" w:themeColor="text1"/>
          <w14:textFill>
            <w14:solidFill>
              <w14:schemeClr w14:val="tx1"/>
            </w14:solidFill>
          </w14:textFill>
        </w:rPr>
        <w:t>https://doi.org/10.1016/j.ijnsa.2020.100007</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06FFCC5">
      <w:pPr>
        <w:spacing w:line="480" w:lineRule="auto"/>
        <w:jc w:val="both"/>
        <w:rPr>
          <w:color w:val="000000" w:themeColor="text1"/>
          <w14:textFill>
            <w14:solidFill>
              <w14:schemeClr w14:val="tx1"/>
            </w14:solidFill>
          </w14:textFill>
        </w:rPr>
      </w:pPr>
    </w:p>
    <w:p w14:paraId="2F8D857E">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Bickman, L. and Rog, D.J. (2009). </w:t>
      </w:r>
      <w:r>
        <w:rPr>
          <w:i/>
          <w:iCs/>
          <w:color w:val="000000" w:themeColor="text1"/>
          <w14:textFill>
            <w14:solidFill>
              <w14:schemeClr w14:val="tx1"/>
            </w14:solidFill>
          </w14:textFill>
        </w:rPr>
        <w:t>The SAGE Handbook of Applied Social Research Methods</w:t>
      </w:r>
      <w:r>
        <w:rPr>
          <w:color w:val="000000" w:themeColor="text1"/>
          <w14:textFill>
            <w14:solidFill>
              <w14:schemeClr w14:val="tx1"/>
            </w14:solidFill>
          </w14:textFill>
        </w:rPr>
        <w:t>. 2nd edn. SAGE.</w:t>
      </w:r>
    </w:p>
    <w:p w14:paraId="7CADA549">
      <w:pPr>
        <w:spacing w:line="480" w:lineRule="auto"/>
        <w:jc w:val="both"/>
        <w:rPr>
          <w:color w:val="000000" w:themeColor="text1"/>
          <w14:textFill>
            <w14:solidFill>
              <w14:schemeClr w14:val="tx1"/>
            </w14:solidFill>
          </w14:textFill>
        </w:rPr>
      </w:pPr>
    </w:p>
    <w:p w14:paraId="6346FB0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Blanco-Donoso, L.M. et al. (2021). Daily work-family conflict and burnout to explain the leaving intentions and vitality levels of healthcare workers. </w:t>
      </w:r>
      <w:r>
        <w:rPr>
          <w:i/>
          <w:iCs/>
          <w:color w:val="000000" w:themeColor="text1"/>
          <w14:textFill>
            <w14:solidFill>
              <w14:schemeClr w14:val="tx1"/>
            </w14:solidFill>
          </w14:textFill>
        </w:rPr>
        <w:t>International Journal of Environmental Research and Public Health</w:t>
      </w:r>
      <w:r>
        <w:rPr>
          <w:color w:val="000000" w:themeColor="text1"/>
          <w14:textFill>
            <w14:solidFill>
              <w14:schemeClr w14:val="tx1"/>
            </w14:solidFill>
          </w14:textFill>
        </w:rPr>
        <w:t>, 18(4), p.1932. doi:</w:t>
      </w:r>
      <w:r>
        <w:fldChar w:fldCharType="begin"/>
      </w:r>
      <w:r>
        <w:instrText xml:space="preserve"> HYPERLINK "https://doi.org/10.3390/ijerph18041932" </w:instrText>
      </w:r>
      <w:r>
        <w:fldChar w:fldCharType="separate"/>
      </w:r>
      <w:r>
        <w:rPr>
          <w:rStyle w:val="17"/>
          <w:color w:val="000000" w:themeColor="text1"/>
          <w14:textFill>
            <w14:solidFill>
              <w14:schemeClr w14:val="tx1"/>
            </w14:solidFill>
          </w14:textFill>
        </w:rPr>
        <w:t>https://doi.org/10.3390/ijerph18041932</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2C1E69B">
      <w:pPr>
        <w:spacing w:line="480" w:lineRule="auto"/>
        <w:jc w:val="both"/>
        <w:rPr>
          <w:color w:val="000000" w:themeColor="text1"/>
          <w14:textFill>
            <w14:solidFill>
              <w14:schemeClr w14:val="tx1"/>
            </w14:solidFill>
          </w14:textFill>
        </w:rPr>
      </w:pPr>
    </w:p>
    <w:p w14:paraId="35183319">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Braun, V. and Clarke, V. (2006). Using thematic analysis in psychology. </w:t>
      </w:r>
      <w:r>
        <w:rPr>
          <w:i/>
          <w:iCs/>
          <w:color w:val="000000" w:themeColor="text1"/>
          <w14:textFill>
            <w14:solidFill>
              <w14:schemeClr w14:val="tx1"/>
            </w14:solidFill>
          </w14:textFill>
        </w:rPr>
        <w:t>Qualitative Research in Psychology</w:t>
      </w:r>
      <w:r>
        <w:rPr>
          <w:color w:val="000000" w:themeColor="text1"/>
          <w14:textFill>
            <w14:solidFill>
              <w14:schemeClr w14:val="tx1"/>
            </w14:solidFill>
          </w14:textFill>
        </w:rPr>
        <w:t>, 3(2), pp.77–101. doi:</w:t>
      </w:r>
      <w:r>
        <w:fldChar w:fldCharType="begin"/>
      </w:r>
      <w:r>
        <w:instrText xml:space="preserve"> HYPERLINK "https://doi.org/10.1191/1478088706qp063oa" </w:instrText>
      </w:r>
      <w:r>
        <w:fldChar w:fldCharType="separate"/>
      </w:r>
      <w:r>
        <w:rPr>
          <w:rStyle w:val="17"/>
          <w:color w:val="000000" w:themeColor="text1"/>
          <w14:textFill>
            <w14:solidFill>
              <w14:schemeClr w14:val="tx1"/>
            </w14:solidFill>
          </w14:textFill>
        </w:rPr>
        <w:t>https://doi.org/10.1191/1478088706qp063oa</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E2B7239">
      <w:pPr>
        <w:spacing w:line="480" w:lineRule="auto"/>
        <w:jc w:val="both"/>
        <w:rPr>
          <w:color w:val="000000" w:themeColor="text1"/>
          <w14:textFill>
            <w14:solidFill>
              <w14:schemeClr w14:val="tx1"/>
            </w14:solidFill>
          </w14:textFill>
        </w:rPr>
      </w:pPr>
    </w:p>
    <w:p w14:paraId="7C6D28D6">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Braun, V. and Clarke, V. (2021). </w:t>
      </w:r>
      <w:r>
        <w:rPr>
          <w:i/>
          <w:iCs/>
          <w:color w:val="000000" w:themeColor="text1"/>
          <w14:textFill>
            <w14:solidFill>
              <w14:schemeClr w14:val="tx1"/>
            </w14:solidFill>
          </w14:textFill>
        </w:rPr>
        <w:t>Thematic Analysis: A Practical Guide</w:t>
      </w:r>
      <w:r>
        <w:rPr>
          <w:color w:val="000000" w:themeColor="text1"/>
          <w14:textFill>
            <w14:solidFill>
              <w14:schemeClr w14:val="tx1"/>
            </w14:solidFill>
          </w14:textFill>
        </w:rPr>
        <w:t>. SAGE.</w:t>
      </w:r>
    </w:p>
    <w:p w14:paraId="43B757FC">
      <w:pPr>
        <w:spacing w:line="480" w:lineRule="auto"/>
        <w:jc w:val="both"/>
        <w:rPr>
          <w:color w:val="000000" w:themeColor="text1"/>
          <w14:textFill>
            <w14:solidFill>
              <w14:schemeClr w14:val="tx1"/>
            </w14:solidFill>
          </w14:textFill>
        </w:rPr>
      </w:pPr>
    </w:p>
    <w:p w14:paraId="02C48305">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Catania, G. et al. (2024). Nurses' intention to leave, nurse workload and in-hospital patient mortality in Italy. </w:t>
      </w:r>
      <w:r>
        <w:rPr>
          <w:i/>
          <w:iCs/>
          <w:color w:val="000000" w:themeColor="text1"/>
          <w14:textFill>
            <w14:solidFill>
              <w14:schemeClr w14:val="tx1"/>
            </w14:solidFill>
          </w14:textFill>
        </w:rPr>
        <w:t>Health Policy</w:t>
      </w:r>
      <w:r>
        <w:rPr>
          <w:color w:val="000000" w:themeColor="text1"/>
          <w14:textFill>
            <w14:solidFill>
              <w14:schemeClr w14:val="tx1"/>
            </w14:solidFill>
          </w14:textFill>
        </w:rPr>
        <w:t>, 143, pp.105032–105032. doi:</w:t>
      </w:r>
      <w:r>
        <w:fldChar w:fldCharType="begin"/>
      </w:r>
      <w:r>
        <w:instrText xml:space="preserve"> HYPERLINK "https://doi.org/10.1016/j.healthpol.2024.105032" </w:instrText>
      </w:r>
      <w:r>
        <w:fldChar w:fldCharType="separate"/>
      </w:r>
      <w:r>
        <w:rPr>
          <w:rStyle w:val="17"/>
          <w:color w:val="000000" w:themeColor="text1"/>
          <w14:textFill>
            <w14:solidFill>
              <w14:schemeClr w14:val="tx1"/>
            </w14:solidFill>
          </w14:textFill>
        </w:rPr>
        <w:t>https://doi.org/10.1016/j.healthpol.2024.105032</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CF2B70B">
      <w:pPr>
        <w:spacing w:line="480" w:lineRule="auto"/>
        <w:jc w:val="both"/>
        <w:rPr>
          <w:color w:val="000000" w:themeColor="text1"/>
          <w14:textFill>
            <w14:solidFill>
              <w14:schemeClr w14:val="tx1"/>
            </w14:solidFill>
          </w14:textFill>
        </w:rPr>
      </w:pPr>
    </w:p>
    <w:p w14:paraId="47E3123C">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Cerela-Boltunova, O., Millere, I. and Nagle, E. (2025). Moral distress, professional burnout, and potential staff turnover in intensive care nursing practice in Latvia: Phase 1. </w:t>
      </w:r>
      <w:r>
        <w:rPr>
          <w:i/>
          <w:iCs/>
          <w:color w:val="000000" w:themeColor="text1"/>
          <w14:textFill>
            <w14:solidFill>
              <w14:schemeClr w14:val="tx1"/>
            </w14:solidFill>
          </w14:textFill>
        </w:rPr>
        <w:t>International Journal of Environmental Research and Public Health</w:t>
      </w:r>
      <w:r>
        <w:rPr>
          <w:color w:val="000000" w:themeColor="text1"/>
          <w14:textFill>
            <w14:solidFill>
              <w14:schemeClr w14:val="tx1"/>
            </w14:solidFill>
          </w14:textFill>
        </w:rPr>
        <w:t>, 22(8), pp.1261–1261. doi:</w:t>
      </w:r>
      <w:r>
        <w:fldChar w:fldCharType="begin"/>
      </w:r>
      <w:r>
        <w:instrText xml:space="preserve"> HYPERLINK "https://doi.org/10.3390/ijerph22081261" </w:instrText>
      </w:r>
      <w:r>
        <w:fldChar w:fldCharType="separate"/>
      </w:r>
      <w:r>
        <w:rPr>
          <w:rStyle w:val="17"/>
          <w:color w:val="000000" w:themeColor="text1"/>
          <w14:textFill>
            <w14:solidFill>
              <w14:schemeClr w14:val="tx1"/>
            </w14:solidFill>
          </w14:textFill>
        </w:rPr>
        <w:t>https://doi.org/10.3390/ijerph22081261</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5D75D8C7">
      <w:pPr>
        <w:spacing w:line="480" w:lineRule="auto"/>
        <w:jc w:val="both"/>
        <w:rPr>
          <w:color w:val="000000" w:themeColor="text1"/>
          <w14:textFill>
            <w14:solidFill>
              <w14:schemeClr w14:val="tx1"/>
            </w14:solidFill>
          </w14:textFill>
        </w:rPr>
      </w:pPr>
    </w:p>
    <w:p w14:paraId="6D3F6336">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Dhurata Ivziku et al. (2025). Exploring nurses' quit intentions: a structural equation modelling and mediation analysis based on the JD-R and social exchange theories. </w:t>
      </w:r>
      <w:r>
        <w:rPr>
          <w:i/>
          <w:iCs/>
          <w:color w:val="000000" w:themeColor="text1"/>
          <w14:textFill>
            <w14:solidFill>
              <w14:schemeClr w14:val="tx1"/>
            </w14:solidFill>
          </w14:textFill>
        </w:rPr>
        <w:t>Healthcare</w:t>
      </w:r>
      <w:r>
        <w:rPr>
          <w:color w:val="000000" w:themeColor="text1"/>
          <w14:textFill>
            <w14:solidFill>
              <w14:schemeClr w14:val="tx1"/>
            </w14:solidFill>
          </w14:textFill>
        </w:rPr>
        <w:t>, 13(7), pp.692–692. doi:</w:t>
      </w:r>
      <w:r>
        <w:fldChar w:fldCharType="begin"/>
      </w:r>
      <w:r>
        <w:instrText xml:space="preserve"> HYPERLINK "https://doi.org/10.3390/healthcare13070692" </w:instrText>
      </w:r>
      <w:r>
        <w:fldChar w:fldCharType="separate"/>
      </w:r>
      <w:r>
        <w:rPr>
          <w:rStyle w:val="17"/>
          <w:color w:val="000000" w:themeColor="text1"/>
          <w14:textFill>
            <w14:solidFill>
              <w14:schemeClr w14:val="tx1"/>
            </w14:solidFill>
          </w14:textFill>
        </w:rPr>
        <w:t>https://doi.org/10.3390/healthcare13070692</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5AF348AF">
      <w:pPr>
        <w:spacing w:line="480" w:lineRule="auto"/>
        <w:jc w:val="both"/>
        <w:rPr>
          <w:color w:val="000000" w:themeColor="text1"/>
          <w14:textFill>
            <w14:solidFill>
              <w14:schemeClr w14:val="tx1"/>
            </w14:solidFill>
          </w14:textFill>
        </w:rPr>
      </w:pPr>
    </w:p>
    <w:p w14:paraId="33CDF02D">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Dilmaghani, R.B., Armoon, B. and Moghaddam, L.F. (2022). Work-family conflict and the professional quality of life among nurses: a cross-sectional study in Tehran, Iran.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21(1). doi:</w:t>
      </w:r>
      <w:r>
        <w:fldChar w:fldCharType="begin"/>
      </w:r>
      <w:r>
        <w:instrText xml:space="preserve"> HYPERLINK "https://doi.org/10.1186/s12912-022-01069-9" </w:instrText>
      </w:r>
      <w:r>
        <w:fldChar w:fldCharType="separate"/>
      </w:r>
      <w:r>
        <w:rPr>
          <w:rStyle w:val="17"/>
          <w:color w:val="000000" w:themeColor="text1"/>
          <w14:textFill>
            <w14:solidFill>
              <w14:schemeClr w14:val="tx1"/>
            </w14:solidFill>
          </w14:textFill>
        </w:rPr>
        <w:t>https://doi.org/10.1186/s12912-022-01069-9</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D4D800B">
      <w:pPr>
        <w:spacing w:line="480" w:lineRule="auto"/>
        <w:jc w:val="both"/>
        <w:rPr>
          <w:color w:val="000000" w:themeColor="text1"/>
          <w14:textFill>
            <w14:solidFill>
              <w14:schemeClr w14:val="tx1"/>
            </w14:solidFill>
          </w14:textFill>
        </w:rPr>
      </w:pPr>
    </w:p>
    <w:p w14:paraId="1DC3CC38">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Falatah, R. (2021). The impact of the Coronavirus disease (COVID-19) pandemic on nurses' turnover intention: an integrative review. </w:t>
      </w:r>
      <w:r>
        <w:rPr>
          <w:i/>
          <w:iCs/>
          <w:color w:val="000000" w:themeColor="text1"/>
          <w14:textFill>
            <w14:solidFill>
              <w14:schemeClr w14:val="tx1"/>
            </w14:solidFill>
          </w14:textFill>
        </w:rPr>
        <w:t>Nursing Reports</w:t>
      </w:r>
      <w:r>
        <w:rPr>
          <w:color w:val="000000" w:themeColor="text1"/>
          <w14:textFill>
            <w14:solidFill>
              <w14:schemeClr w14:val="tx1"/>
            </w14:solidFill>
          </w14:textFill>
        </w:rPr>
        <w:t>, 11(4), pp.787–810. doi:</w:t>
      </w:r>
      <w:r>
        <w:fldChar w:fldCharType="begin"/>
      </w:r>
      <w:r>
        <w:instrText xml:space="preserve"> HYPERLINK "https://doi.org/10.3390/nursrep11040075" </w:instrText>
      </w:r>
      <w:r>
        <w:fldChar w:fldCharType="separate"/>
      </w:r>
      <w:r>
        <w:rPr>
          <w:rStyle w:val="17"/>
          <w:color w:val="000000" w:themeColor="text1"/>
          <w14:textFill>
            <w14:solidFill>
              <w14:schemeClr w14:val="tx1"/>
            </w14:solidFill>
          </w14:textFill>
        </w:rPr>
        <w:t>https://doi.org/10.3390/nursrep11040075</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1061681">
      <w:pPr>
        <w:spacing w:line="480" w:lineRule="auto"/>
        <w:jc w:val="both"/>
        <w:rPr>
          <w:color w:val="000000" w:themeColor="text1"/>
          <w14:textFill>
            <w14:solidFill>
              <w14:schemeClr w14:val="tx1"/>
            </w14:solidFill>
          </w14:textFill>
        </w:rPr>
      </w:pPr>
    </w:p>
    <w:p w14:paraId="7B7E46B3">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Frey, E., Chong, Y.-Y., Chien, W.-T. and Gloster, A.T. (2025). Cross-cultural comparison of burnout, insomnia and turnover intention among nurses during the COVID-19 pandemic. </w:t>
      </w:r>
      <w:r>
        <w:rPr>
          <w:i/>
          <w:iCs/>
          <w:color w:val="000000" w:themeColor="text1"/>
          <w14:textFill>
            <w14:solidFill>
              <w14:schemeClr w14:val="tx1"/>
            </w14:solidFill>
          </w14:textFill>
        </w:rPr>
        <w:t>Nursing Reports</w:t>
      </w:r>
      <w:r>
        <w:rPr>
          <w:color w:val="000000" w:themeColor="text1"/>
          <w14:textFill>
            <w14:solidFill>
              <w14:schemeClr w14:val="tx1"/>
            </w14:solidFill>
          </w14:textFill>
        </w:rPr>
        <w:t>, 15(2), pp.52–52. doi:</w:t>
      </w:r>
      <w:r>
        <w:fldChar w:fldCharType="begin"/>
      </w:r>
      <w:r>
        <w:instrText xml:space="preserve"> HYPERLINK "https://doi.org/10.3390/nursrep15020052" </w:instrText>
      </w:r>
      <w:r>
        <w:fldChar w:fldCharType="separate"/>
      </w:r>
      <w:r>
        <w:rPr>
          <w:rStyle w:val="17"/>
          <w:color w:val="000000" w:themeColor="text1"/>
          <w14:textFill>
            <w14:solidFill>
              <w14:schemeClr w14:val="tx1"/>
            </w14:solidFill>
          </w14:textFill>
        </w:rPr>
        <w:t>https://doi.org/10.3390/nursrep15020052</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726F3B8">
      <w:pPr>
        <w:spacing w:line="480" w:lineRule="auto"/>
        <w:jc w:val="both"/>
        <w:rPr>
          <w:color w:val="000000" w:themeColor="text1"/>
          <w14:textFill>
            <w14:solidFill>
              <w14:schemeClr w14:val="tx1"/>
            </w14:solidFill>
          </w14:textFill>
        </w:rPr>
      </w:pPr>
    </w:p>
    <w:p w14:paraId="366B305F">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Galanis, P. et al. (2023). Quiet quitting among nurses increases their turnover intention: evidence from Greece in the post-COVID-19 era. </w:t>
      </w:r>
      <w:r>
        <w:rPr>
          <w:i/>
          <w:iCs/>
          <w:color w:val="000000" w:themeColor="text1"/>
          <w14:textFill>
            <w14:solidFill>
              <w14:schemeClr w14:val="tx1"/>
            </w14:solidFill>
          </w14:textFill>
        </w:rPr>
        <w:t>Healthcare</w:t>
      </w:r>
      <w:r>
        <w:rPr>
          <w:color w:val="000000" w:themeColor="text1"/>
          <w14:textFill>
            <w14:solidFill>
              <w14:schemeClr w14:val="tx1"/>
            </w14:solidFill>
          </w14:textFill>
        </w:rPr>
        <w:t>, 12(1), pp.79–79. doi:</w:t>
      </w:r>
      <w:r>
        <w:fldChar w:fldCharType="begin"/>
      </w:r>
      <w:r>
        <w:instrText xml:space="preserve"> HYPERLINK "https://doi.org/10.3390/healthcare12010079" </w:instrText>
      </w:r>
      <w:r>
        <w:fldChar w:fldCharType="separate"/>
      </w:r>
      <w:r>
        <w:rPr>
          <w:rStyle w:val="17"/>
          <w:color w:val="000000" w:themeColor="text1"/>
          <w14:textFill>
            <w14:solidFill>
              <w14:schemeClr w14:val="tx1"/>
            </w14:solidFill>
          </w14:textFill>
        </w:rPr>
        <w:t>https://doi.org/10.3390/healthcare12010079</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06D11B9E">
      <w:pPr>
        <w:spacing w:line="480" w:lineRule="auto"/>
        <w:jc w:val="both"/>
        <w:rPr>
          <w:color w:val="000000" w:themeColor="text1"/>
          <w14:textFill>
            <w14:solidFill>
              <w14:schemeClr w14:val="tx1"/>
            </w14:solidFill>
          </w14:textFill>
        </w:rPr>
      </w:pPr>
    </w:p>
    <w:p w14:paraId="492B835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Galanis, P. et al. (2024a). Moral resilience reduces levels of quiet quitting, job burnout, and turnover intention among nurses. </w:t>
      </w:r>
      <w:r>
        <w:rPr>
          <w:i/>
          <w:iCs/>
          <w:color w:val="000000" w:themeColor="text1"/>
          <w14:textFill>
            <w14:solidFill>
              <w14:schemeClr w14:val="tx1"/>
            </w14:solidFill>
          </w14:textFill>
        </w:rPr>
        <w:t>Nursing Reports</w:t>
      </w:r>
      <w:r>
        <w:rPr>
          <w:color w:val="000000" w:themeColor="text1"/>
          <w14:textFill>
            <w14:solidFill>
              <w14:schemeClr w14:val="tx1"/>
            </w14:solidFill>
          </w14:textFill>
        </w:rPr>
        <w:t>, 14(1), pp.254–266. doi:</w:t>
      </w:r>
      <w:r>
        <w:fldChar w:fldCharType="begin"/>
      </w:r>
      <w:r>
        <w:instrText xml:space="preserve"> HYPERLINK "https://doi.org/10.3390/nursrep14010020" </w:instrText>
      </w:r>
      <w:r>
        <w:fldChar w:fldCharType="separate"/>
      </w:r>
      <w:r>
        <w:rPr>
          <w:rStyle w:val="17"/>
          <w:color w:val="000000" w:themeColor="text1"/>
          <w14:textFill>
            <w14:solidFill>
              <w14:schemeClr w14:val="tx1"/>
            </w14:solidFill>
          </w14:textFill>
        </w:rPr>
        <w:t>https://doi.org/10.3390/nursrep14010020</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ED94981">
      <w:pPr>
        <w:spacing w:line="480" w:lineRule="auto"/>
        <w:jc w:val="both"/>
        <w:rPr>
          <w:color w:val="000000" w:themeColor="text1"/>
          <w14:textFill>
            <w14:solidFill>
              <w14:schemeClr w14:val="tx1"/>
            </w14:solidFill>
          </w14:textFill>
        </w:rPr>
      </w:pPr>
    </w:p>
    <w:p w14:paraId="255B018B">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Galanis, P. et al. (2024b). Association between organisational support and turnover intention in nurses: a systematic review and meta-analysis. </w:t>
      </w:r>
      <w:r>
        <w:rPr>
          <w:i/>
          <w:iCs/>
          <w:color w:val="000000" w:themeColor="text1"/>
          <w14:textFill>
            <w14:solidFill>
              <w14:schemeClr w14:val="tx1"/>
            </w14:solidFill>
          </w14:textFill>
        </w:rPr>
        <w:t>Healthcare</w:t>
      </w:r>
      <w:r>
        <w:rPr>
          <w:color w:val="000000" w:themeColor="text1"/>
          <w14:textFill>
            <w14:solidFill>
              <w14:schemeClr w14:val="tx1"/>
            </w14:solidFill>
          </w14:textFill>
        </w:rPr>
        <w:t>, 12(3), p.291. doi:</w:t>
      </w:r>
      <w:r>
        <w:fldChar w:fldCharType="begin"/>
      </w:r>
      <w:r>
        <w:instrText xml:space="preserve"> HYPERLINK "https://doi.org/10.3390/healthcare12030291" </w:instrText>
      </w:r>
      <w:r>
        <w:fldChar w:fldCharType="separate"/>
      </w:r>
      <w:r>
        <w:rPr>
          <w:rStyle w:val="17"/>
          <w:color w:val="000000" w:themeColor="text1"/>
          <w14:textFill>
            <w14:solidFill>
              <w14:schemeClr w14:val="tx1"/>
            </w14:solidFill>
          </w14:textFill>
        </w:rPr>
        <w:t>https://doi.org/10.3390/healthcare12030291</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4B08EA4">
      <w:pPr>
        <w:spacing w:line="480" w:lineRule="auto"/>
        <w:jc w:val="both"/>
        <w:rPr>
          <w:color w:val="000000" w:themeColor="text1"/>
          <w14:textFill>
            <w14:solidFill>
              <w14:schemeClr w14:val="tx1"/>
            </w14:solidFill>
          </w14:textFill>
        </w:rPr>
      </w:pPr>
    </w:p>
    <w:p w14:paraId="2F56EFE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Galletta, M. et al. (2019). The role of collective affective commitment in the relationship between work-family conflict and emotional exhaustion among nurses. </w:t>
      </w:r>
      <w:r>
        <w:rPr>
          <w:i/>
          <w:iCs/>
          <w:color w:val="000000" w:themeColor="text1"/>
          <w14:textFill>
            <w14:solidFill>
              <w14:schemeClr w14:val="tx1"/>
            </w14:solidFill>
          </w14:textFill>
        </w:rPr>
        <w:t>BMC Nursing</w:t>
      </w:r>
      <w:r>
        <w:rPr>
          <w:color w:val="000000" w:themeColor="text1"/>
          <w14:textFill>
            <w14:solidFill>
              <w14:schemeClr w14:val="tx1"/>
            </w14:solidFill>
          </w14:textFill>
        </w:rPr>
        <w:t>, 18(1). doi:</w:t>
      </w:r>
      <w:r>
        <w:fldChar w:fldCharType="begin"/>
      </w:r>
      <w:r>
        <w:instrText xml:space="preserve"> HYPERLINK "https://doi.org/10.1186/s12912-019-0329-z" </w:instrText>
      </w:r>
      <w:r>
        <w:fldChar w:fldCharType="separate"/>
      </w:r>
      <w:r>
        <w:rPr>
          <w:rStyle w:val="17"/>
          <w:color w:val="000000" w:themeColor="text1"/>
          <w14:textFill>
            <w14:solidFill>
              <w14:schemeClr w14:val="tx1"/>
            </w14:solidFill>
          </w14:textFill>
        </w:rPr>
        <w:t>https://doi.org/10.1186/s12912-019-0329-z</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389214D">
      <w:pPr>
        <w:spacing w:line="480" w:lineRule="auto"/>
        <w:jc w:val="both"/>
        <w:rPr>
          <w:color w:val="000000" w:themeColor="text1"/>
          <w14:textFill>
            <w14:solidFill>
              <w14:schemeClr w14:val="tx1"/>
            </w14:solidFill>
          </w14:textFill>
        </w:rPr>
      </w:pPr>
    </w:p>
    <w:p w14:paraId="353EA340">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Garratt, K. (2024). </w:t>
      </w:r>
      <w:r>
        <w:rPr>
          <w:i/>
          <w:iCs/>
          <w:color w:val="000000" w:themeColor="text1"/>
          <w14:textFill>
            <w14:solidFill>
              <w14:schemeClr w14:val="tx1"/>
            </w14:solidFill>
          </w14:textFill>
        </w:rPr>
        <w:t>The NHS Workforce in England</w:t>
      </w:r>
      <w:r>
        <w:rPr>
          <w:color w:val="000000" w:themeColor="text1"/>
          <w14:textFill>
            <w14:solidFill>
              <w14:schemeClr w14:val="tx1"/>
            </w14:solidFill>
          </w14:textFill>
        </w:rPr>
        <w:t xml:space="preserve">. House of Commons Library. Available at: </w:t>
      </w:r>
      <w:r>
        <w:fldChar w:fldCharType="begin"/>
      </w:r>
      <w:r>
        <w:instrText xml:space="preserve"> HYPERLINK "https://researchbriefings.files.parliament.uk/documents/CBP-9731/CBP-9731.pdf" </w:instrText>
      </w:r>
      <w:r>
        <w:fldChar w:fldCharType="separate"/>
      </w:r>
      <w:r>
        <w:rPr>
          <w:rStyle w:val="17"/>
          <w:color w:val="000000" w:themeColor="text1"/>
          <w14:textFill>
            <w14:solidFill>
              <w14:schemeClr w14:val="tx1"/>
            </w14:solidFill>
          </w14:textFill>
        </w:rPr>
        <w:t>https://researchbriefings.files.parliament.uk/documents/CBP-9731/CBP-9731.pdf</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A0BC079">
      <w:pPr>
        <w:spacing w:line="480" w:lineRule="auto"/>
        <w:jc w:val="both"/>
        <w:rPr>
          <w:color w:val="000000" w:themeColor="text1"/>
          <w14:textFill>
            <w14:solidFill>
              <w14:schemeClr w14:val="tx1"/>
            </w14:solidFill>
          </w14:textFill>
        </w:rPr>
      </w:pPr>
    </w:p>
    <w:p w14:paraId="3F098D6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Greenhaus, J.H. and Beutell, N.J. (1985). Sources of conflict between work and family roles. </w:t>
      </w:r>
      <w:r>
        <w:rPr>
          <w:i/>
          <w:iCs/>
          <w:color w:val="000000" w:themeColor="text1"/>
          <w14:textFill>
            <w14:solidFill>
              <w14:schemeClr w14:val="tx1"/>
            </w14:solidFill>
          </w14:textFill>
        </w:rPr>
        <w:t>Academy of Management Review</w:t>
      </w:r>
      <w:r>
        <w:rPr>
          <w:color w:val="000000" w:themeColor="text1"/>
          <w14:textFill>
            <w14:solidFill>
              <w14:schemeClr w14:val="tx1"/>
            </w14:solidFill>
          </w14:textFill>
        </w:rPr>
        <w:t>, 10(1), pp.76–88. doi:</w:t>
      </w:r>
      <w:r>
        <w:fldChar w:fldCharType="begin"/>
      </w:r>
      <w:r>
        <w:instrText xml:space="preserve"> HYPERLINK "https://doi.org/10.5465/amr.1985.4277352" </w:instrText>
      </w:r>
      <w:r>
        <w:fldChar w:fldCharType="separate"/>
      </w:r>
      <w:r>
        <w:rPr>
          <w:rStyle w:val="17"/>
          <w:color w:val="000000" w:themeColor="text1"/>
          <w14:textFill>
            <w14:solidFill>
              <w14:schemeClr w14:val="tx1"/>
            </w14:solidFill>
          </w14:textFill>
        </w:rPr>
        <w:t>https://doi.org/10.5465/amr.1985.4277352</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D43E2D0">
      <w:pPr>
        <w:spacing w:line="480" w:lineRule="auto"/>
        <w:jc w:val="both"/>
        <w:rPr>
          <w:color w:val="000000" w:themeColor="text1"/>
          <w14:textFill>
            <w14:solidFill>
              <w14:schemeClr w14:val="tx1"/>
            </w14:solidFill>
          </w14:textFill>
        </w:rPr>
      </w:pPr>
    </w:p>
    <w:p w14:paraId="6C82FA1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Holton, S. et al. (2024). Developing nurse and midwife-centred rostering principles using co-design: a mixed-methods study.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23(1). doi:</w:t>
      </w:r>
      <w:r>
        <w:fldChar w:fldCharType="begin"/>
      </w:r>
      <w:r>
        <w:instrText xml:space="preserve"> HYPERLINK "https://doi.org/10.1186/s12912-024-02522-7" </w:instrText>
      </w:r>
      <w:r>
        <w:fldChar w:fldCharType="separate"/>
      </w:r>
      <w:r>
        <w:rPr>
          <w:rStyle w:val="17"/>
          <w:color w:val="000000" w:themeColor="text1"/>
          <w14:textFill>
            <w14:solidFill>
              <w14:schemeClr w14:val="tx1"/>
            </w14:solidFill>
          </w14:textFill>
        </w:rPr>
        <w:t>https://doi.org/10.1186/s12912-024-02522-7</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0846D85">
      <w:pPr>
        <w:spacing w:line="480" w:lineRule="auto"/>
        <w:jc w:val="both"/>
        <w:rPr>
          <w:color w:val="000000" w:themeColor="text1"/>
          <w14:textFill>
            <w14:solidFill>
              <w14:schemeClr w14:val="tx1"/>
            </w14:solidFill>
          </w14:textFill>
        </w:rPr>
      </w:pPr>
    </w:p>
    <w:p w14:paraId="77C040D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Hu, H., Wang, C., Lan, Y. and Wu, X. (2022). Nurses' turnover intention, hope and career identity: the mediating role of job satisfaction.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21(1). doi:</w:t>
      </w:r>
      <w:r>
        <w:fldChar w:fldCharType="begin"/>
      </w:r>
      <w:r>
        <w:instrText xml:space="preserve"> HYPERLINK "https://doi.org/10.1186/s12912-022-00821-5" </w:instrText>
      </w:r>
      <w:r>
        <w:fldChar w:fldCharType="separate"/>
      </w:r>
      <w:r>
        <w:rPr>
          <w:rStyle w:val="17"/>
          <w:color w:val="000000" w:themeColor="text1"/>
          <w14:textFill>
            <w14:solidFill>
              <w14:schemeClr w14:val="tx1"/>
            </w14:solidFill>
          </w14:textFill>
        </w:rPr>
        <w:t>https://doi.org/10.1186/s12912-022-00821-5</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E80A25A">
      <w:pPr>
        <w:spacing w:line="480" w:lineRule="auto"/>
        <w:jc w:val="both"/>
        <w:rPr>
          <w:color w:val="000000" w:themeColor="text1"/>
          <w14:textFill>
            <w14:solidFill>
              <w14:schemeClr w14:val="tx1"/>
            </w14:solidFill>
          </w14:textFill>
        </w:rPr>
      </w:pPr>
    </w:p>
    <w:p w14:paraId="2584F3F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Hussein, A.H.M., Ramadan, L.Z.T. and Atalla, A.D.G. (2025). Workaholism and work-family conflict among critical care nurses: a cross-sectional study.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"https://doi.org/10.1186/s12912-025-03465-3" </w:instrText>
      </w:r>
      <w:r>
        <w:fldChar w:fldCharType="separate"/>
      </w:r>
      <w:r>
        <w:rPr>
          <w:rStyle w:val="17"/>
          <w:color w:val="000000" w:themeColor="text1"/>
          <w14:textFill>
            <w14:solidFill>
              <w14:schemeClr w14:val="tx1"/>
            </w14:solidFill>
          </w14:textFill>
        </w:rPr>
        <w:t>https://doi.org/10.1186/s12912-025-03465-3</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B9B9E31">
      <w:pPr>
        <w:spacing w:line="480" w:lineRule="auto"/>
        <w:jc w:val="both"/>
        <w:rPr>
          <w:color w:val="000000" w:themeColor="text1"/>
          <w14:textFill>
            <w14:solidFill>
              <w14:schemeClr w14:val="tx1"/>
            </w14:solidFill>
          </w14:textFill>
        </w:rPr>
      </w:pPr>
    </w:p>
    <w:p w14:paraId="788F2B0E">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Jung, F.U., Pabst, A., Löbner, M., Luppa, M. and Riedel-Heller, S.G. (2024). Behind the times? Associations of working-time autonomy with health-related and occupational outcomes in health care personnel. </w:t>
      </w:r>
      <w:r>
        <w:rPr>
          <w:i/>
          <w:iCs/>
          <w:color w:val="000000" w:themeColor="text1"/>
          <w14:textFill>
            <w14:solidFill>
              <w14:schemeClr w14:val="tx1"/>
            </w14:solidFill>
          </w14:textFill>
        </w:rPr>
        <w:t>BMC Public Health</w:t>
      </w:r>
      <w:r>
        <w:rPr>
          <w:color w:val="000000" w:themeColor="text1"/>
          <w14:textFill>
            <w14:solidFill>
              <w14:schemeClr w14:val="tx1"/>
            </w14:solidFill>
          </w14:textFill>
        </w:rPr>
        <w:t>, 24(1), p.825. doi:</w:t>
      </w:r>
      <w:r>
        <w:fldChar w:fldCharType="begin"/>
      </w:r>
      <w:r>
        <w:instrText xml:space="preserve"> HYPERLINK "https://doi.org/10.1186/s12889-024-18289-0" </w:instrText>
      </w:r>
      <w:r>
        <w:fldChar w:fldCharType="separate"/>
      </w:r>
      <w:r>
        <w:rPr>
          <w:rStyle w:val="17"/>
          <w:color w:val="000000" w:themeColor="text1"/>
          <w14:textFill>
            <w14:solidFill>
              <w14:schemeClr w14:val="tx1"/>
            </w14:solidFill>
          </w14:textFill>
        </w:rPr>
        <w:t>https://doi.org/10.1186/s12889-024-18289-0</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47C0B06B">
      <w:pPr>
        <w:spacing w:line="480" w:lineRule="auto"/>
        <w:jc w:val="both"/>
        <w:rPr>
          <w:color w:val="000000" w:themeColor="text1"/>
          <w14:textFill>
            <w14:solidFill>
              <w14:schemeClr w14:val="tx1"/>
            </w14:solidFill>
          </w14:textFill>
        </w:rPr>
      </w:pPr>
    </w:p>
    <w:p w14:paraId="2773B55E">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Kaddourah, B., Abu-Shaheen, A.K. and Al-Tannir, M. (2018). Quality of nursing work-life and turnover intention among nurses in tertiary care hospitals in Riyadh. </w:t>
      </w:r>
      <w:r>
        <w:rPr>
          <w:i/>
          <w:iCs/>
          <w:color w:val="000000" w:themeColor="text1"/>
          <w14:textFill>
            <w14:solidFill>
              <w14:schemeClr w14:val="tx1"/>
            </w14:solidFill>
          </w14:textFill>
        </w:rPr>
        <w:t>BMC Nursing</w:t>
      </w:r>
      <w:r>
        <w:rPr>
          <w:color w:val="000000" w:themeColor="text1"/>
          <w14:textFill>
            <w14:solidFill>
              <w14:schemeClr w14:val="tx1"/>
            </w14:solidFill>
          </w14:textFill>
        </w:rPr>
        <w:t>, 17(1). doi:</w:t>
      </w:r>
      <w:r>
        <w:fldChar w:fldCharType="begin"/>
      </w:r>
      <w:r>
        <w:instrText xml:space="preserve"> HYPERLINK "https://doi.org/10.1186/s12912-018-0312-0" </w:instrText>
      </w:r>
      <w:r>
        <w:fldChar w:fldCharType="separate"/>
      </w:r>
      <w:r>
        <w:rPr>
          <w:rStyle w:val="17"/>
          <w:color w:val="000000" w:themeColor="text1"/>
          <w14:textFill>
            <w14:solidFill>
              <w14:schemeClr w14:val="tx1"/>
            </w14:solidFill>
          </w14:textFill>
        </w:rPr>
        <w:t>https://doi.org/10.1186/s12912-018-0312-0</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94960D0">
      <w:pPr>
        <w:spacing w:line="480" w:lineRule="auto"/>
        <w:jc w:val="both"/>
        <w:rPr>
          <w:color w:val="000000" w:themeColor="text1"/>
          <w14:textFill>
            <w14:solidFill>
              <w14:schemeClr w14:val="tx1"/>
            </w14:solidFill>
          </w14:textFill>
        </w:rPr>
      </w:pPr>
    </w:p>
    <w:p w14:paraId="1D01A59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Kahn, R.L., Wolfe, D.M., Quinn, R.P., Snoek, J.D. and Rosenthal, R.A. (1964). </w:t>
      </w:r>
      <w:r>
        <w:rPr>
          <w:i/>
          <w:iCs/>
          <w:color w:val="000000" w:themeColor="text1"/>
          <w14:textFill>
            <w14:solidFill>
              <w14:schemeClr w14:val="tx1"/>
            </w14:solidFill>
          </w14:textFill>
        </w:rPr>
        <w:t>Organisational Stress: Studies in Role Conflict and Ambiguity</w:t>
      </w:r>
      <w:r>
        <w:rPr>
          <w:color w:val="000000" w:themeColor="text1"/>
          <w14:textFill>
            <w14:solidFill>
              <w14:schemeClr w14:val="tx1"/>
            </w14:solidFill>
          </w14:textFill>
        </w:rPr>
        <w:t>. Wiley.</w:t>
      </w:r>
    </w:p>
    <w:p w14:paraId="37016CDC">
      <w:pPr>
        <w:spacing w:line="480" w:lineRule="auto"/>
        <w:jc w:val="both"/>
        <w:rPr>
          <w:color w:val="000000" w:themeColor="text1"/>
          <w14:textFill>
            <w14:solidFill>
              <w14:schemeClr w14:val="tx1"/>
            </w14:solidFill>
          </w14:textFill>
        </w:rPr>
      </w:pPr>
    </w:p>
    <w:p w14:paraId="633ABF3D">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Kim, S.-K., Kim, E.-J., Kim, H., Song, S.-S., Park, B. and Jo, K.-W. (2023). Development of a nurse turnover prediction model in Korea using machine learning. </w:t>
      </w:r>
      <w:r>
        <w:rPr>
          <w:i/>
          <w:iCs/>
          <w:color w:val="000000" w:themeColor="text1"/>
          <w14:textFill>
            <w14:solidFill>
              <w14:schemeClr w14:val="tx1"/>
            </w14:solidFill>
          </w14:textFill>
        </w:rPr>
        <w:t>Healthcare</w:t>
      </w:r>
      <w:r>
        <w:rPr>
          <w:color w:val="000000" w:themeColor="text1"/>
          <w14:textFill>
            <w14:solidFill>
              <w14:schemeClr w14:val="tx1"/>
            </w14:solidFill>
          </w14:textFill>
        </w:rPr>
        <w:t>, 11(11), pp.1583–1583. doi:</w:t>
      </w:r>
      <w:r>
        <w:fldChar w:fldCharType="begin"/>
      </w:r>
      <w:r>
        <w:instrText xml:space="preserve"> HYPERLINK "https://doi.org/10.3390/healthcare11111583" </w:instrText>
      </w:r>
      <w:r>
        <w:fldChar w:fldCharType="separate"/>
      </w:r>
      <w:r>
        <w:rPr>
          <w:rStyle w:val="17"/>
          <w:color w:val="000000" w:themeColor="text1"/>
          <w14:textFill>
            <w14:solidFill>
              <w14:schemeClr w14:val="tx1"/>
            </w14:solidFill>
          </w14:textFill>
        </w:rPr>
        <w:t>https://doi.org/10.3390/healthcare11111583</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19FC3483">
      <w:pPr>
        <w:spacing w:line="480" w:lineRule="auto"/>
        <w:jc w:val="both"/>
        <w:rPr>
          <w:color w:val="000000" w:themeColor="text1"/>
          <w14:textFill>
            <w14:solidFill>
              <w14:schemeClr w14:val="tx1"/>
            </w14:solidFill>
          </w14:textFill>
        </w:rPr>
      </w:pPr>
    </w:p>
    <w:p w14:paraId="5FC76D23">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Leary, A., Maxwell, E., Myers, R. and Punshon, G. (2024). Why are healthcare professionals leaving NHS roles? A secondary analysis of routinely collected data. </w:t>
      </w:r>
      <w:r>
        <w:rPr>
          <w:i/>
          <w:iCs/>
          <w:color w:val="000000" w:themeColor="text1"/>
          <w14:textFill>
            <w14:solidFill>
              <w14:schemeClr w14:val="tx1"/>
            </w14:solidFill>
          </w14:textFill>
        </w:rPr>
        <w:t>Human Resources for Health</w:t>
      </w:r>
      <w:r>
        <w:rPr>
          <w:color w:val="000000" w:themeColor="text1"/>
          <w14:textFill>
            <w14:solidFill>
              <w14:schemeClr w14:val="tx1"/>
            </w14:solidFill>
          </w14:textFill>
        </w:rPr>
        <w:t>, 22(1). doi:</w:t>
      </w:r>
      <w:r>
        <w:fldChar w:fldCharType="begin"/>
      </w:r>
      <w:r>
        <w:instrText xml:space="preserve"> HYPERLINK "https://doi.org/10.1186/s12960-024-00951-8" </w:instrText>
      </w:r>
      <w:r>
        <w:fldChar w:fldCharType="separate"/>
      </w:r>
      <w:r>
        <w:rPr>
          <w:rStyle w:val="17"/>
          <w:color w:val="000000" w:themeColor="text1"/>
          <w14:textFill>
            <w14:solidFill>
              <w14:schemeClr w14:val="tx1"/>
            </w14:solidFill>
          </w14:textFill>
        </w:rPr>
        <w:t>https://doi.org/10.1186/s12960-024-00951-8</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ADD2FEE">
      <w:pPr>
        <w:spacing w:line="480" w:lineRule="auto"/>
        <w:jc w:val="both"/>
        <w:rPr>
          <w:color w:val="000000" w:themeColor="text1"/>
          <w14:textFill>
            <w14:solidFill>
              <w14:schemeClr w14:val="tx1"/>
            </w14:solidFill>
          </w14:textFill>
        </w:rPr>
      </w:pPr>
    </w:p>
    <w:p w14:paraId="00B2B9B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Leavy, P. (2020). </w:t>
      </w:r>
      <w:r>
        <w:rPr>
          <w:i/>
          <w:iCs/>
          <w:color w:val="000000" w:themeColor="text1"/>
          <w14:textFill>
            <w14:solidFill>
              <w14:schemeClr w14:val="tx1"/>
            </w14:solidFill>
          </w14:textFill>
        </w:rPr>
        <w:t>The Oxford Handbook of Qualitative Research</w:t>
      </w:r>
      <w:r>
        <w:rPr>
          <w:color w:val="000000" w:themeColor="text1"/>
          <w14:textFill>
            <w14:solidFill>
              <w14:schemeClr w14:val="tx1"/>
            </w14:solidFill>
          </w14:textFill>
        </w:rPr>
        <w:t>. 2nd edn. Oxford University Press.</w:t>
      </w:r>
    </w:p>
    <w:p w14:paraId="339637AE">
      <w:pPr>
        <w:spacing w:line="480" w:lineRule="auto"/>
        <w:jc w:val="both"/>
        <w:rPr>
          <w:color w:val="000000" w:themeColor="text1"/>
          <w14:textFill>
            <w14:solidFill>
              <w14:schemeClr w14:val="tx1"/>
            </w14:solidFill>
          </w14:textFill>
        </w:rPr>
      </w:pPr>
    </w:p>
    <w:p w14:paraId="638BB829">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Milsom, R., Zasada, M., Taylor, C. and Spick, M. (2025). Machine learning applied to NHS Electronic Staff Records identifies key areas of focus for staff retention. </w:t>
      </w:r>
      <w:r>
        <w:rPr>
          <w:i/>
          <w:iCs/>
          <w:color w:val="000000" w:themeColor="text1"/>
          <w14:textFill>
            <w14:solidFill>
              <w14:schemeClr w14:val="tx1"/>
            </w14:solidFill>
          </w14:textFill>
        </w:rPr>
        <w:t>Administrative Sciences</w:t>
      </w:r>
      <w:r>
        <w:rPr>
          <w:color w:val="000000" w:themeColor="text1"/>
          <w14:textFill>
            <w14:solidFill>
              <w14:schemeClr w14:val="tx1"/>
            </w14:solidFill>
          </w14:textFill>
        </w:rPr>
        <w:t>, 15(8), pp.297–297. doi:</w:t>
      </w:r>
      <w:r>
        <w:fldChar w:fldCharType="begin"/>
      </w:r>
      <w:r>
        <w:instrText xml:space="preserve"> HYPERLINK "https://doi.org/10.3390/admsci15080297" </w:instrText>
      </w:r>
      <w:r>
        <w:fldChar w:fldCharType="separate"/>
      </w:r>
      <w:r>
        <w:rPr>
          <w:rStyle w:val="17"/>
          <w:color w:val="000000" w:themeColor="text1"/>
          <w14:textFill>
            <w14:solidFill>
              <w14:schemeClr w14:val="tx1"/>
            </w14:solidFill>
          </w14:textFill>
        </w:rPr>
        <w:t>https://doi.org/10.3390/admsci15080297</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F0CED7C">
      <w:pPr>
        <w:spacing w:line="480" w:lineRule="auto"/>
        <w:jc w:val="both"/>
        <w:rPr>
          <w:color w:val="000000" w:themeColor="text1"/>
          <w14:textFill>
            <w14:solidFill>
              <w14:schemeClr w14:val="tx1"/>
            </w14:solidFill>
          </w14:textFill>
        </w:rPr>
      </w:pPr>
    </w:p>
    <w:p w14:paraId="0224E174">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Moisoglou, I. et al. (2025). Workplace gaslighting is associated with nurses' job burnout and turnover intention in Greece. </w:t>
      </w:r>
      <w:r>
        <w:rPr>
          <w:i/>
          <w:iCs/>
          <w:color w:val="000000" w:themeColor="text1"/>
          <w14:textFill>
            <w14:solidFill>
              <w14:schemeClr w14:val="tx1"/>
            </w14:solidFill>
          </w14:textFill>
        </w:rPr>
        <w:t>Healthcare</w:t>
      </w:r>
      <w:r>
        <w:rPr>
          <w:color w:val="000000" w:themeColor="text1"/>
          <w14:textFill>
            <w14:solidFill>
              <w14:schemeClr w14:val="tx1"/>
            </w14:solidFill>
          </w14:textFill>
        </w:rPr>
        <w:t>, 13(13), p.1574. doi:</w:t>
      </w:r>
      <w:r>
        <w:fldChar w:fldCharType="begin"/>
      </w:r>
      <w:r>
        <w:instrText xml:space="preserve"> HYPERLINK "https://doi.org/10.3390/healthcare13131574" </w:instrText>
      </w:r>
      <w:r>
        <w:fldChar w:fldCharType="separate"/>
      </w:r>
      <w:r>
        <w:rPr>
          <w:rStyle w:val="17"/>
          <w:color w:val="000000" w:themeColor="text1"/>
          <w14:textFill>
            <w14:solidFill>
              <w14:schemeClr w14:val="tx1"/>
            </w14:solidFill>
          </w14:textFill>
        </w:rPr>
        <w:t>https://doi.org/10.3390/healthcare13131574</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FCD7878">
      <w:pPr>
        <w:spacing w:line="480" w:lineRule="auto"/>
        <w:jc w:val="both"/>
        <w:rPr>
          <w:color w:val="000000" w:themeColor="text1"/>
          <w14:textFill>
            <w14:solidFill>
              <w14:schemeClr w14:val="tx1"/>
            </w14:solidFill>
          </w14:textFill>
        </w:rPr>
      </w:pPr>
    </w:p>
    <w:p w14:paraId="5BE9D4F0">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Mustafa Şahin, Gülfer Bektaş, Mustafa Nal and Ahmet Can Küçükkurt (2025). The mediating role of job satisfaction related to nurse-nurse collaboration and turnover intention.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"https://doi.org/10.1186/s12912-025-02869-5" </w:instrText>
      </w:r>
      <w:r>
        <w:fldChar w:fldCharType="separate"/>
      </w:r>
      <w:r>
        <w:rPr>
          <w:rStyle w:val="17"/>
          <w:color w:val="000000" w:themeColor="text1"/>
          <w14:textFill>
            <w14:solidFill>
              <w14:schemeClr w14:val="tx1"/>
            </w14:solidFill>
          </w14:textFill>
        </w:rPr>
        <w:t>https://doi.org/10.1186/s12912-025-02869-5</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0F66389F">
      <w:pPr>
        <w:spacing w:line="480" w:lineRule="auto"/>
        <w:jc w:val="both"/>
        <w:rPr>
          <w:color w:val="000000" w:themeColor="text1"/>
          <w14:textFill>
            <w14:solidFill>
              <w14:schemeClr w14:val="tx1"/>
            </w14:solidFill>
          </w14:textFill>
        </w:rPr>
      </w:pPr>
    </w:p>
    <w:p w14:paraId="349AE51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 (2022). </w:t>
      </w:r>
      <w:r>
        <w:rPr>
          <w:i/>
          <w:iCs/>
          <w:color w:val="000000" w:themeColor="text1"/>
          <w14:textFill>
            <w14:solidFill>
              <w14:schemeClr w14:val="tx1"/>
            </w14:solidFill>
          </w14:textFill>
        </w:rPr>
        <w:t>Working Together to Improve NHS Staff Experiences: NHS Staff Survey</w:t>
      </w:r>
      <w:r>
        <w:rPr>
          <w:color w:val="000000" w:themeColor="text1"/>
          <w14:textFill>
            <w14:solidFill>
              <w14:schemeClr w14:val="tx1"/>
            </w14:solidFill>
          </w14:textFill>
        </w:rPr>
        <w:t xml:space="preserve">. Available at: </w:t>
      </w:r>
      <w:r>
        <w:fldChar w:fldCharType="begin"/>
      </w:r>
      <w:r>
        <w:instrText xml:space="preserve"> HYPERLINK "https://www.nhsstaffsurveys.com/" </w:instrText>
      </w:r>
      <w:r>
        <w:fldChar w:fldCharType="separate"/>
      </w:r>
      <w:r>
        <w:rPr>
          <w:rStyle w:val="17"/>
          <w:color w:val="000000" w:themeColor="text1"/>
          <w14:textFill>
            <w14:solidFill>
              <w14:schemeClr w14:val="tx1"/>
            </w14:solidFill>
          </w14:textFill>
        </w:rPr>
        <w:t>https://www.nhsstaffsurveys.com/</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CC4F8E4">
      <w:pPr>
        <w:spacing w:line="480" w:lineRule="auto"/>
        <w:jc w:val="both"/>
        <w:rPr>
          <w:color w:val="000000" w:themeColor="text1"/>
          <w14:textFill>
            <w14:solidFill>
              <w14:schemeClr w14:val="tx1"/>
            </w14:solidFill>
          </w14:textFill>
        </w:rPr>
      </w:pPr>
    </w:p>
    <w:p w14:paraId="35527A8B">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 Digital (2024). </w:t>
      </w:r>
      <w:r>
        <w:rPr>
          <w:i/>
          <w:iCs/>
          <w:color w:val="000000" w:themeColor="text1"/>
          <w14:textFill>
            <w14:solidFill>
              <w14:schemeClr w14:val="tx1"/>
            </w14:solidFill>
          </w14:textFill>
        </w:rPr>
        <w:t>NHS Workforce Statistics</w:t>
      </w:r>
      <w:r>
        <w:rPr>
          <w:color w:val="000000" w:themeColor="text1"/>
          <w14:textFill>
            <w14:solidFill>
              <w14:schemeClr w14:val="tx1"/>
            </w14:solidFill>
          </w14:textFill>
        </w:rPr>
        <w:t xml:space="preserve">. Available at: </w:t>
      </w:r>
      <w:r>
        <w:fldChar w:fldCharType="begin"/>
      </w:r>
      <w:r>
        <w:instrText xml:space="preserve"> HYPERLINK "https://digital.nhs.uk/data-and-information/publications/statistical/nhs-workforce-statistics" </w:instrText>
      </w:r>
      <w:r>
        <w:fldChar w:fldCharType="separate"/>
      </w:r>
      <w:r>
        <w:rPr>
          <w:rStyle w:val="17"/>
          <w:color w:val="000000" w:themeColor="text1"/>
          <w14:textFill>
            <w14:solidFill>
              <w14:schemeClr w14:val="tx1"/>
            </w14:solidFill>
          </w14:textFill>
        </w:rPr>
        <w:t>https://digital.nhs.uk/data-and-information/publications/statistical/nhs-workforce-statistics</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1C6FA1E1">
      <w:pPr>
        <w:spacing w:line="480" w:lineRule="auto"/>
        <w:jc w:val="both"/>
        <w:rPr>
          <w:color w:val="000000" w:themeColor="text1"/>
          <w14:textFill>
            <w14:solidFill>
              <w14:schemeClr w14:val="tx1"/>
            </w14:solidFill>
          </w14:textFill>
        </w:rPr>
      </w:pPr>
    </w:p>
    <w:p w14:paraId="3833F745">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 Employers (2020). </w:t>
      </w:r>
      <w:r>
        <w:rPr>
          <w:i/>
          <w:iCs/>
          <w:color w:val="000000" w:themeColor="text1"/>
          <w14:textFill>
            <w14:solidFill>
              <w14:schemeClr w14:val="tx1"/>
            </w14:solidFill>
          </w14:textFill>
        </w:rPr>
        <w:t>Improving Nurses' Work-Life Balance</w:t>
      </w:r>
      <w:r>
        <w:rPr>
          <w:color w:val="000000" w:themeColor="text1"/>
          <w14:textFill>
            <w14:solidFill>
              <w14:schemeClr w14:val="tx1"/>
            </w14:solidFill>
          </w14:textFill>
        </w:rPr>
        <w:t xml:space="preserve">. Available at: </w:t>
      </w:r>
      <w:r>
        <w:fldChar w:fldCharType="begin"/>
      </w:r>
      <w:r>
        <w:instrText xml:space="preserve"> HYPERLINK "https://www.nhsemployers.org/case-studies/improving-nurses-work-life-balance" </w:instrText>
      </w:r>
      <w:r>
        <w:fldChar w:fldCharType="separate"/>
      </w:r>
      <w:r>
        <w:rPr>
          <w:rStyle w:val="17"/>
          <w:color w:val="000000" w:themeColor="text1"/>
          <w14:textFill>
            <w14:solidFill>
              <w14:schemeClr w14:val="tx1"/>
            </w14:solidFill>
          </w14:textFill>
        </w:rPr>
        <w:t>https://www.nhsemployers.org/case-studies/improving-nurses-work-life-balance</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B1CDA3D">
      <w:pPr>
        <w:spacing w:line="480" w:lineRule="auto"/>
        <w:jc w:val="both"/>
        <w:rPr>
          <w:color w:val="000000" w:themeColor="text1"/>
          <w14:textFill>
            <w14:solidFill>
              <w14:schemeClr w14:val="tx1"/>
            </w14:solidFill>
          </w14:textFill>
        </w:rPr>
      </w:pPr>
    </w:p>
    <w:p w14:paraId="3CA1E490">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 England (2023). </w:t>
      </w:r>
      <w:r>
        <w:rPr>
          <w:i/>
          <w:iCs/>
          <w:color w:val="000000" w:themeColor="text1"/>
          <w14:textFill>
            <w14:solidFill>
              <w14:schemeClr w14:val="tx1"/>
            </w14:solidFill>
          </w14:textFill>
        </w:rPr>
        <w:t>NHS Long Term Workforce Plan</w:t>
      </w:r>
      <w:r>
        <w:rPr>
          <w:color w:val="000000" w:themeColor="text1"/>
          <w14:textFill>
            <w14:solidFill>
              <w14:schemeClr w14:val="tx1"/>
            </w14:solidFill>
          </w14:textFill>
        </w:rPr>
        <w:t xml:space="preserve">. Available at: </w:t>
      </w:r>
      <w:r>
        <w:fldChar w:fldCharType="begin"/>
      </w:r>
      <w:r>
        <w:instrText xml:space="preserve"> HYPERLINK "https://www.england.nhs.uk/long-read/nhs-long-term-workforce-plan/" </w:instrText>
      </w:r>
      <w:r>
        <w:fldChar w:fldCharType="separate"/>
      </w:r>
      <w:r>
        <w:rPr>
          <w:rStyle w:val="17"/>
          <w:color w:val="000000" w:themeColor="text1"/>
          <w14:textFill>
            <w14:solidFill>
              <w14:schemeClr w14:val="tx1"/>
            </w14:solidFill>
          </w14:textFill>
        </w:rPr>
        <w:t>https://www.england.nhs.uk/long-read/nhs-long-term-workforce-plan/</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13208416">
      <w:pPr>
        <w:spacing w:line="480" w:lineRule="auto"/>
        <w:jc w:val="both"/>
        <w:rPr>
          <w:color w:val="000000" w:themeColor="text1"/>
          <w14:textFill>
            <w14:solidFill>
              <w14:schemeClr w14:val="tx1"/>
            </w14:solidFill>
          </w14:textFill>
        </w:rPr>
      </w:pPr>
    </w:p>
    <w:p w14:paraId="29CA41A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 England (2024). </w:t>
      </w:r>
      <w:r>
        <w:rPr>
          <w:i/>
          <w:iCs/>
          <w:color w:val="000000" w:themeColor="text1"/>
          <w14:textFill>
            <w14:solidFill>
              <w14:schemeClr w14:val="tx1"/>
            </w14:solidFill>
          </w14:textFill>
        </w:rPr>
        <w:t>NHS Vacancy Statistics England, April 2015 to March 2024</w:t>
      </w:r>
      <w:r>
        <w:rPr>
          <w:color w:val="000000" w:themeColor="text1"/>
          <w14:textFill>
            <w14:solidFill>
              <w14:schemeClr w14:val="tx1"/>
            </w14:solidFill>
          </w14:textFill>
        </w:rPr>
        <w:t xml:space="preserve">. Available at: </w:t>
      </w:r>
      <w:r>
        <w:fldChar w:fldCharType="begin"/>
      </w:r>
      <w:r>
        <w:instrText xml:space="preserve"> HYPERLINK "https://digital.nhs.uk/data-and-information/publications/statistical/nhs-vacancies-survey/april-2015---march-2024-experimental-statistics" </w:instrText>
      </w:r>
      <w:r>
        <w:fldChar w:fldCharType="separate"/>
      </w:r>
      <w:r>
        <w:rPr>
          <w:rStyle w:val="17"/>
          <w:color w:val="000000" w:themeColor="text1"/>
          <w14:textFill>
            <w14:solidFill>
              <w14:schemeClr w14:val="tx1"/>
            </w14:solidFill>
          </w14:textFill>
        </w:rPr>
        <w:t>https://digital.nhs.uk/data-and-information/publications/statistical/nhs-vacancies-survey/april-2015---march-2024-experimental-statistics</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53426310">
      <w:pPr>
        <w:spacing w:line="480" w:lineRule="auto"/>
        <w:jc w:val="both"/>
        <w:rPr>
          <w:color w:val="000000" w:themeColor="text1"/>
          <w14:textFill>
            <w14:solidFill>
              <w14:schemeClr w14:val="tx1"/>
            </w14:solidFill>
          </w14:textFill>
        </w:rPr>
      </w:pPr>
    </w:p>
    <w:p w14:paraId="4F4484BF">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 England (2025). </w:t>
      </w:r>
      <w:r>
        <w:rPr>
          <w:i/>
          <w:iCs/>
          <w:color w:val="000000" w:themeColor="text1"/>
          <w14:textFill>
            <w14:solidFill>
              <w14:schemeClr w14:val="tx1"/>
            </w14:solidFill>
          </w14:textFill>
        </w:rPr>
        <w:t>Staff Leaving the NHS Among Lowest in Over a Decade</w:t>
      </w:r>
      <w:r>
        <w:rPr>
          <w:color w:val="000000" w:themeColor="text1"/>
          <w14:textFill>
            <w14:solidFill>
              <w14:schemeClr w14:val="tx1"/>
            </w14:solidFill>
          </w14:textFill>
        </w:rPr>
        <w:t xml:space="preserve">. Available at: </w:t>
      </w:r>
      <w:r>
        <w:fldChar w:fldCharType="begin"/>
      </w:r>
      <w:r>
        <w:instrText xml:space="preserve"> HYPERLINK "https://www.england.nhs.uk/2025/03/staff-leaving-the-nhs-among-lowest-in-over-a-decade/" </w:instrText>
      </w:r>
      <w:r>
        <w:fldChar w:fldCharType="separate"/>
      </w:r>
      <w:r>
        <w:rPr>
          <w:rStyle w:val="17"/>
          <w:color w:val="000000" w:themeColor="text1"/>
          <w14:textFill>
            <w14:solidFill>
              <w14:schemeClr w14:val="tx1"/>
            </w14:solidFill>
          </w14:textFill>
        </w:rPr>
        <w:t>https://www.england.nhs.uk/2025/03/staff-leaving-the-nhs-among-lowest-in-over-a-decade/</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764867E9">
      <w:pPr>
        <w:spacing w:line="480" w:lineRule="auto"/>
        <w:jc w:val="both"/>
        <w:rPr>
          <w:color w:val="000000" w:themeColor="text1"/>
          <w14:textFill>
            <w14:solidFill>
              <w14:schemeClr w14:val="tx1"/>
            </w14:solidFill>
          </w14:textFill>
        </w:rPr>
      </w:pPr>
    </w:p>
    <w:p w14:paraId="12A56343">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 England (2026). </w:t>
      </w:r>
      <w:r>
        <w:rPr>
          <w:i/>
          <w:iCs/>
          <w:color w:val="000000" w:themeColor="text1"/>
          <w14:textFill>
            <w14:solidFill>
              <w14:schemeClr w14:val="tx1"/>
            </w14:solidFill>
          </w14:textFill>
        </w:rPr>
        <w:t>Get a Better Work/Life Balance</w:t>
      </w:r>
      <w:r>
        <w:rPr>
          <w:color w:val="000000" w:themeColor="text1"/>
          <w14:textFill>
            <w14:solidFill>
              <w14:schemeClr w14:val="tx1"/>
            </w14:solidFill>
          </w14:textFill>
        </w:rPr>
        <w:t xml:space="preserve">. Available at: </w:t>
      </w:r>
      <w:r>
        <w:fldChar w:fldCharType="begin"/>
      </w:r>
      <w:r>
        <w:instrText xml:space="preserve"> HYPERLINK "https://www.england.nhs.uk/looking-after-our-people/the-programme-and-resources/pensions-and-flexible-working-in-your-later-career/get-a-better-work-life-balance/" </w:instrText>
      </w:r>
      <w:r>
        <w:fldChar w:fldCharType="separate"/>
      </w:r>
      <w:r>
        <w:rPr>
          <w:rStyle w:val="17"/>
          <w:color w:val="000000" w:themeColor="text1"/>
          <w14:textFill>
            <w14:solidFill>
              <w14:schemeClr w14:val="tx1"/>
            </w14:solidFill>
          </w14:textFill>
        </w:rPr>
        <w:t>https://www.england.nhs.uk/looking-after-our-people/the-programme-and-resources/pensions-and-flexible-working-in-your-later-career/get-a-better-work-life-balance/</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40E53DA8">
      <w:pPr>
        <w:spacing w:line="480" w:lineRule="auto"/>
        <w:jc w:val="both"/>
        <w:rPr>
          <w:color w:val="000000" w:themeColor="text1"/>
          <w14:textFill>
            <w14:solidFill>
              <w14:schemeClr w14:val="tx1"/>
            </w14:solidFill>
          </w14:textFill>
        </w:rPr>
      </w:pPr>
    </w:p>
    <w:p w14:paraId="6DDDCCF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Nhs.scot (2023). </w:t>
      </w:r>
      <w:r>
        <w:rPr>
          <w:i/>
          <w:iCs/>
          <w:color w:val="000000" w:themeColor="text1"/>
          <w14:textFill>
            <w14:solidFill>
              <w14:schemeClr w14:val="tx1"/>
            </w14:solidFill>
          </w14:textFill>
        </w:rPr>
        <w:t>Policies: NHS Scotland</w:t>
      </w:r>
      <w:r>
        <w:rPr>
          <w:color w:val="000000" w:themeColor="text1"/>
          <w14:textFill>
            <w14:solidFill>
              <w14:schemeClr w14:val="tx1"/>
            </w14:solidFill>
          </w14:textFill>
        </w:rPr>
        <w:t xml:space="preserve">. Available at: </w:t>
      </w:r>
      <w:r>
        <w:fldChar w:fldCharType="begin"/>
      </w:r>
      <w:r>
        <w:instrText xml:space="preserve"> HYPERLINK "https://workforce.nhs.scot/policies/" </w:instrText>
      </w:r>
      <w:r>
        <w:fldChar w:fldCharType="separate"/>
      </w:r>
      <w:r>
        <w:rPr>
          <w:rStyle w:val="17"/>
          <w:color w:val="000000" w:themeColor="text1"/>
          <w14:textFill>
            <w14:solidFill>
              <w14:schemeClr w14:val="tx1"/>
            </w14:solidFill>
          </w14:textFill>
        </w:rPr>
        <w:t>https://workforce.nhs.scot/policies/</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27 Mar. 2026].</w:t>
      </w:r>
    </w:p>
    <w:p w14:paraId="500E0506">
      <w:pPr>
        <w:spacing w:line="480" w:lineRule="auto"/>
        <w:jc w:val="both"/>
        <w:rPr>
          <w:color w:val="000000" w:themeColor="text1"/>
          <w14:textFill>
            <w14:solidFill>
              <w14:schemeClr w14:val="tx1"/>
            </w14:solidFill>
          </w14:textFill>
        </w:rPr>
      </w:pPr>
    </w:p>
    <w:p w14:paraId="710C1DF4">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Othman, A.A., Mahran, H.M. and Ali, H.I. (2025). Covering loyalty policy in a quiet-firing workplace: the association between quiet quitting, intention to leave, and nurses' loyalty.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"https://doi.org/10.1186/s12912-025-03301-8" </w:instrText>
      </w:r>
      <w:r>
        <w:fldChar w:fldCharType="separate"/>
      </w:r>
      <w:r>
        <w:rPr>
          <w:rStyle w:val="17"/>
          <w:color w:val="000000" w:themeColor="text1"/>
          <w14:textFill>
            <w14:solidFill>
              <w14:schemeClr w14:val="tx1"/>
            </w14:solidFill>
          </w14:textFill>
        </w:rPr>
        <w:t>https://doi.org/10.1186/s12912-025-03301-8</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798B17F">
      <w:pPr>
        <w:spacing w:line="480" w:lineRule="auto"/>
        <w:jc w:val="both"/>
        <w:rPr>
          <w:color w:val="000000" w:themeColor="text1"/>
          <w14:textFill>
            <w14:solidFill>
              <w14:schemeClr w14:val="tx1"/>
            </w14:solidFill>
          </w14:textFill>
        </w:rPr>
      </w:pPr>
    </w:p>
    <w:p w14:paraId="78E602C3">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Oweidat, I.A. et al. (2025). Work stressors and intention to leave among nurses in isolation nursing units during COVID-19.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"https://doi.org/10.1186/s12912-025-02779-6" </w:instrText>
      </w:r>
      <w:r>
        <w:fldChar w:fldCharType="separate"/>
      </w:r>
      <w:r>
        <w:rPr>
          <w:rStyle w:val="17"/>
          <w:color w:val="000000" w:themeColor="text1"/>
          <w14:textFill>
            <w14:solidFill>
              <w14:schemeClr w14:val="tx1"/>
            </w14:solidFill>
          </w14:textFill>
        </w:rPr>
        <w:t>https://doi.org/10.1186/s12912-025-02779-6</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5637EAE4">
      <w:pPr>
        <w:spacing w:line="480" w:lineRule="auto"/>
        <w:jc w:val="both"/>
        <w:rPr>
          <w:color w:val="000000" w:themeColor="text1"/>
          <w14:textFill>
            <w14:solidFill>
              <w14:schemeClr w14:val="tx1"/>
            </w14:solidFill>
          </w14:textFill>
        </w:rPr>
      </w:pPr>
    </w:p>
    <w:p w14:paraId="2B04ED0D">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Poon, Y.-S.R. et al. (2022). A global overview of healthcare workers' turnover intention amid the COVID-19 pandemic: a systematic review with future directions. </w:t>
      </w:r>
      <w:r>
        <w:rPr>
          <w:i/>
          <w:iCs/>
          <w:color w:val="000000" w:themeColor="text1"/>
          <w14:textFill>
            <w14:solidFill>
              <w14:schemeClr w14:val="tx1"/>
            </w14:solidFill>
          </w14:textFill>
        </w:rPr>
        <w:t>Human Resources for Health</w:t>
      </w:r>
      <w:r>
        <w:rPr>
          <w:color w:val="000000" w:themeColor="text1"/>
          <w14:textFill>
            <w14:solidFill>
              <w14:schemeClr w14:val="tx1"/>
            </w14:solidFill>
          </w14:textFill>
        </w:rPr>
        <w:t>, 20(1). doi:</w:t>
      </w:r>
      <w:r>
        <w:fldChar w:fldCharType="begin"/>
      </w:r>
      <w:r>
        <w:instrText xml:space="preserve"> HYPERLINK "https://doi.org/10.1186/s12960-022-00764-7" </w:instrText>
      </w:r>
      <w:r>
        <w:fldChar w:fldCharType="separate"/>
      </w:r>
      <w:r>
        <w:rPr>
          <w:rStyle w:val="17"/>
          <w:color w:val="000000" w:themeColor="text1"/>
          <w14:textFill>
            <w14:solidFill>
              <w14:schemeClr w14:val="tx1"/>
            </w14:solidFill>
          </w14:textFill>
        </w:rPr>
        <w:t>https://doi.org/10.1186/s12960-022-00764-7</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06367764">
      <w:pPr>
        <w:spacing w:line="480" w:lineRule="auto"/>
        <w:jc w:val="both"/>
        <w:rPr>
          <w:color w:val="000000" w:themeColor="text1"/>
          <w14:textFill>
            <w14:solidFill>
              <w14:schemeClr w14:val="tx1"/>
            </w14:solidFill>
          </w14:textFill>
        </w:rPr>
      </w:pPr>
    </w:p>
    <w:p w14:paraId="7706C916">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Rony, M.K.K., Md. Numan, S. and Alamgir, H.M. (2023). The association between work-life imbalance, employees' unhappiness, work's impact on family, and family impacts on work among nurses: a cross-sectional study. </w:t>
      </w:r>
      <w:r>
        <w:rPr>
          <w:i/>
          <w:iCs/>
          <w:color w:val="000000" w:themeColor="text1"/>
          <w14:textFill>
            <w14:solidFill>
              <w14:schemeClr w14:val="tx1"/>
            </w14:solidFill>
          </w14:textFill>
        </w:rPr>
        <w:t>Informatics in Medicine Unlocked</w:t>
      </w:r>
      <w:r>
        <w:rPr>
          <w:color w:val="000000" w:themeColor="text1"/>
          <w14:textFill>
            <w14:solidFill>
              <w14:schemeClr w14:val="tx1"/>
            </w14:solidFill>
          </w14:textFill>
        </w:rPr>
        <w:t>, 38(1). doi:</w:t>
      </w:r>
      <w:r>
        <w:fldChar w:fldCharType="begin"/>
      </w:r>
      <w:r>
        <w:instrText xml:space="preserve"> HYPERLINK "https://doi.org/10.1016/j.imu.2023.101225" </w:instrText>
      </w:r>
      <w:r>
        <w:fldChar w:fldCharType="separate"/>
      </w:r>
      <w:r>
        <w:rPr>
          <w:rStyle w:val="17"/>
          <w:color w:val="000000" w:themeColor="text1"/>
          <w14:textFill>
            <w14:solidFill>
              <w14:schemeClr w14:val="tx1"/>
            </w14:solidFill>
          </w14:textFill>
        </w:rPr>
        <w:t>https://doi.org/10.1016/j.imu.2023.101225</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0779C112">
      <w:pPr>
        <w:spacing w:line="480" w:lineRule="auto"/>
        <w:jc w:val="both"/>
        <w:rPr>
          <w:color w:val="000000" w:themeColor="text1"/>
          <w14:textFill>
            <w14:solidFill>
              <w14:schemeClr w14:val="tx1"/>
            </w14:solidFill>
          </w14:textFill>
        </w:rPr>
      </w:pPr>
    </w:p>
    <w:p w14:paraId="5A5D4820">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Salahat, M.F. and Al-Hamdan, Z.M. (2022). Quality of nursing work life, job satisfaction, and intent to leave among Jordanian nurses. </w:t>
      </w:r>
      <w:r>
        <w:rPr>
          <w:i/>
          <w:iCs/>
          <w:color w:val="000000" w:themeColor="text1"/>
          <w14:textFill>
            <w14:solidFill>
              <w14:schemeClr w14:val="tx1"/>
            </w14:solidFill>
          </w14:textFill>
        </w:rPr>
        <w:t>Heliyon</w:t>
      </w:r>
      <w:r>
        <w:rPr>
          <w:color w:val="000000" w:themeColor="text1"/>
          <w14:textFill>
            <w14:solidFill>
              <w14:schemeClr w14:val="tx1"/>
            </w14:solidFill>
          </w14:textFill>
        </w:rPr>
        <w:t>, 8(7), p.e09838. doi:</w:t>
      </w:r>
      <w:r>
        <w:fldChar w:fldCharType="begin"/>
      </w:r>
      <w:r>
        <w:instrText xml:space="preserve"> HYPERLINK "https://doi.org/10.1016/j.heliyon.2022.e09838" </w:instrText>
      </w:r>
      <w:r>
        <w:fldChar w:fldCharType="separate"/>
      </w:r>
      <w:r>
        <w:rPr>
          <w:rStyle w:val="17"/>
          <w:color w:val="000000" w:themeColor="text1"/>
          <w14:textFill>
            <w14:solidFill>
              <w14:schemeClr w14:val="tx1"/>
            </w14:solidFill>
          </w14:textFill>
        </w:rPr>
        <w:t>https://doi.org/10.1016/j.heliyon.2022.e09838</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2D50B7B">
      <w:pPr>
        <w:spacing w:line="480" w:lineRule="auto"/>
        <w:jc w:val="both"/>
        <w:rPr>
          <w:color w:val="000000" w:themeColor="text1"/>
          <w14:textFill>
            <w14:solidFill>
              <w14:schemeClr w14:val="tx1"/>
            </w14:solidFill>
          </w14:textFill>
        </w:rPr>
      </w:pPr>
    </w:p>
    <w:p w14:paraId="47A4ECA2">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Salam, M.A.A.E., Fakhry, S.F. and Elsayed, S.M. (2025). Time management training and its effect on head nurses' work-family conflict.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"https://doi.org/10.1186/s12912-025-03691-9" </w:instrText>
      </w:r>
      <w:r>
        <w:fldChar w:fldCharType="separate"/>
      </w:r>
      <w:r>
        <w:rPr>
          <w:rStyle w:val="17"/>
          <w:color w:val="000000" w:themeColor="text1"/>
          <w14:textFill>
            <w14:solidFill>
              <w14:schemeClr w14:val="tx1"/>
            </w14:solidFill>
          </w14:textFill>
        </w:rPr>
        <w:t>https://doi.org/10.1186/s12912-025-03691-9</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1987118">
      <w:pPr>
        <w:spacing w:line="480" w:lineRule="auto"/>
        <w:jc w:val="both"/>
        <w:rPr>
          <w:color w:val="000000" w:themeColor="text1"/>
          <w14:textFill>
            <w14:solidFill>
              <w14:schemeClr w14:val="tx1"/>
            </w14:solidFill>
          </w14:textFill>
        </w:rPr>
      </w:pPr>
    </w:p>
    <w:p w14:paraId="1D16EA1B">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Saunders, M., Lewis, P. and Thornhill, A. (2019). </w:t>
      </w:r>
      <w:r>
        <w:rPr>
          <w:i/>
          <w:iCs/>
          <w:color w:val="000000" w:themeColor="text1"/>
          <w14:textFill>
            <w14:solidFill>
              <w14:schemeClr w14:val="tx1"/>
            </w14:solidFill>
          </w14:textFill>
        </w:rPr>
        <w:t>Research Methods for Business Students</w:t>
      </w:r>
      <w:r>
        <w:rPr>
          <w:color w:val="000000" w:themeColor="text1"/>
          <w14:textFill>
            <w14:solidFill>
              <w14:schemeClr w14:val="tx1"/>
            </w14:solidFill>
          </w14:textFill>
        </w:rPr>
        <w:t>. 8th edn. Pearson.</w:t>
      </w:r>
    </w:p>
    <w:p w14:paraId="2AD7F1A0">
      <w:pPr>
        <w:spacing w:line="480" w:lineRule="auto"/>
        <w:jc w:val="both"/>
        <w:rPr>
          <w:color w:val="000000" w:themeColor="text1"/>
          <w14:textFill>
            <w14:solidFill>
              <w14:schemeClr w14:val="tx1"/>
            </w14:solidFill>
          </w14:textFill>
        </w:rPr>
      </w:pPr>
    </w:p>
    <w:p w14:paraId="131FCCD4">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Senek, M., Long, J., Ohlsen, S., Finn, R., Weich, S., Ryan, T. and Wood, E. (2025). Factors affecting the retention of healthcare assistants in English mental health services: a qualitative interview study. </w:t>
      </w:r>
      <w:r>
        <w:rPr>
          <w:i/>
          <w:iCs/>
          <w:color w:val="000000" w:themeColor="text1"/>
          <w14:textFill>
            <w14:solidFill>
              <w14:schemeClr w14:val="tx1"/>
            </w14:solidFill>
          </w14:textFill>
        </w:rPr>
        <w:t>BMC Health Services Research</w:t>
      </w:r>
      <w:r>
        <w:rPr>
          <w:color w:val="000000" w:themeColor="text1"/>
          <w14:textFill>
            <w14:solidFill>
              <w14:schemeClr w14:val="tx1"/>
            </w14:solidFill>
          </w14:textFill>
        </w:rPr>
        <w:t>, 25(1). doi:</w:t>
      </w:r>
      <w:r>
        <w:fldChar w:fldCharType="begin"/>
      </w:r>
      <w:r>
        <w:instrText xml:space="preserve"> HYPERLINK "https://doi.org/10.1186/s12913-025%2012665-1" </w:instrText>
      </w:r>
      <w:r>
        <w:fldChar w:fldCharType="separate"/>
      </w:r>
      <w:r>
        <w:rPr>
          <w:rStyle w:val="17"/>
          <w:color w:val="000000" w:themeColor="text1"/>
          <w14:textFill>
            <w14:solidFill>
              <w14:schemeClr w14:val="tx1"/>
            </w14:solidFill>
          </w14:textFill>
        </w:rPr>
        <w:t>https://doi.org/10.1186/s12913-025 12665-1</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D0B02D6">
      <w:pPr>
        <w:spacing w:line="480" w:lineRule="auto"/>
        <w:jc w:val="both"/>
        <w:rPr>
          <w:color w:val="000000" w:themeColor="text1"/>
          <w14:textFill>
            <w14:solidFill>
              <w14:schemeClr w14:val="tx1"/>
            </w14:solidFill>
          </w14:textFill>
        </w:rPr>
      </w:pPr>
    </w:p>
    <w:p w14:paraId="46018B46">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Senek, M., Robertson, S., King, R., Wood, E. and Ryan, T. (2023). Should I stay or should I go? Why nurses are leaving community nursing in the UK. </w:t>
      </w:r>
      <w:r>
        <w:rPr>
          <w:i/>
          <w:iCs/>
          <w:color w:val="000000" w:themeColor="text1"/>
          <w14:textFill>
            <w14:solidFill>
              <w14:schemeClr w14:val="tx1"/>
            </w14:solidFill>
          </w14:textFill>
        </w:rPr>
        <w:t>BMC Health Services Research</w:t>
      </w:r>
      <w:r>
        <w:rPr>
          <w:color w:val="000000" w:themeColor="text1"/>
          <w14:textFill>
            <w14:solidFill>
              <w14:schemeClr w14:val="tx1"/>
            </w14:solidFill>
          </w14:textFill>
        </w:rPr>
        <w:t>, 23(1), pp.1–10. doi:</w:t>
      </w:r>
      <w:r>
        <w:fldChar w:fldCharType="begin"/>
      </w:r>
      <w:r>
        <w:instrText xml:space="preserve"> HYPERLINK "https://doi.org/10.1186/s12913-023-09163-7" </w:instrText>
      </w:r>
      <w:r>
        <w:fldChar w:fldCharType="separate"/>
      </w:r>
      <w:r>
        <w:rPr>
          <w:rStyle w:val="17"/>
          <w:color w:val="000000" w:themeColor="text1"/>
          <w14:textFill>
            <w14:solidFill>
              <w14:schemeClr w14:val="tx1"/>
            </w14:solidFill>
          </w14:textFill>
        </w:rPr>
        <w:t>https://doi.org/10.1186/s12913-023-09163-7</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2201F077">
      <w:pPr>
        <w:spacing w:line="480" w:lineRule="auto"/>
        <w:jc w:val="both"/>
        <w:rPr>
          <w:color w:val="000000" w:themeColor="text1"/>
          <w14:textFill>
            <w14:solidFill>
              <w14:schemeClr w14:val="tx1"/>
            </w14:solidFill>
          </w14:textFill>
        </w:rPr>
      </w:pPr>
    </w:p>
    <w:p w14:paraId="4448E75A">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Shen, X. et al. (2020). The global prevalence of turnover intention among general practitioners: a systematic review and meta-analysis. </w:t>
      </w:r>
      <w:r>
        <w:rPr>
          <w:i/>
          <w:iCs/>
          <w:color w:val="000000" w:themeColor="text1"/>
          <w14:textFill>
            <w14:solidFill>
              <w14:schemeClr w14:val="tx1"/>
            </w14:solidFill>
          </w14:textFill>
        </w:rPr>
        <w:t>BMC Family Practice</w:t>
      </w:r>
      <w:r>
        <w:rPr>
          <w:color w:val="000000" w:themeColor="text1"/>
          <w14:textFill>
            <w14:solidFill>
              <w14:schemeClr w14:val="tx1"/>
            </w14:solidFill>
          </w14:textFill>
        </w:rPr>
        <w:t>, 21(1). doi:</w:t>
      </w:r>
      <w:r>
        <w:fldChar w:fldCharType="begin"/>
      </w:r>
      <w:r>
        <w:instrText xml:space="preserve"> HYPERLINK "https://doi.org/10.1186/s12875-020-01309-4" </w:instrText>
      </w:r>
      <w:r>
        <w:fldChar w:fldCharType="separate"/>
      </w:r>
      <w:r>
        <w:rPr>
          <w:rStyle w:val="17"/>
          <w:color w:val="000000" w:themeColor="text1"/>
          <w14:textFill>
            <w14:solidFill>
              <w14:schemeClr w14:val="tx1"/>
            </w14:solidFill>
          </w14:textFill>
        </w:rPr>
        <w:t>https://doi.org/10.1186/s12875-020-01309-4</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34F3972">
      <w:pPr>
        <w:spacing w:line="480" w:lineRule="auto"/>
        <w:jc w:val="both"/>
        <w:rPr>
          <w:color w:val="000000" w:themeColor="text1"/>
          <w14:textFill>
            <w14:solidFill>
              <w14:schemeClr w14:val="tx1"/>
            </w14:solidFill>
          </w14:textFill>
        </w:rPr>
      </w:pPr>
    </w:p>
    <w:p w14:paraId="3BE04941">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Suk Jung Han, Lee, S.J. and Kim, S. (2023). Psychological distress, professional quality of life, effort-reward imbalance, and turnover intention of hospital nurses during the COVID-19 pandemic. </w:t>
      </w:r>
      <w:r>
        <w:rPr>
          <w:i/>
          <w:iCs/>
          <w:color w:val="000000" w:themeColor="text1"/>
          <w14:textFill>
            <w14:solidFill>
              <w14:schemeClr w14:val="tx1"/>
            </w14:solidFill>
          </w14:textFill>
        </w:rPr>
        <w:t>Healthcare</w:t>
      </w:r>
      <w:r>
        <w:rPr>
          <w:color w:val="000000" w:themeColor="text1"/>
          <w14:textFill>
            <w14:solidFill>
              <w14:schemeClr w14:val="tx1"/>
            </w14:solidFill>
          </w14:textFill>
        </w:rPr>
        <w:t>, 11(19), pp.2695–2695. doi:</w:t>
      </w:r>
      <w:r>
        <w:fldChar w:fldCharType="begin"/>
      </w:r>
      <w:r>
        <w:instrText xml:space="preserve"> HYPERLINK "https://doi.org/10.3390/healthcare11192695" </w:instrText>
      </w:r>
      <w:r>
        <w:fldChar w:fldCharType="separate"/>
      </w:r>
      <w:r>
        <w:rPr>
          <w:rStyle w:val="17"/>
          <w:color w:val="000000" w:themeColor="text1"/>
          <w14:textFill>
            <w14:solidFill>
              <w14:schemeClr w14:val="tx1"/>
            </w14:solidFill>
          </w14:textFill>
        </w:rPr>
        <w:t>https://doi.org/10.3390/healthcare11192695</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47F7A5D">
      <w:pPr>
        <w:spacing w:line="480" w:lineRule="auto"/>
        <w:jc w:val="both"/>
        <w:rPr>
          <w:color w:val="000000" w:themeColor="text1"/>
          <w14:textFill>
            <w14:solidFill>
              <w14:schemeClr w14:val="tx1"/>
            </w14:solidFill>
          </w14:textFill>
        </w:rPr>
      </w:pPr>
    </w:p>
    <w:p w14:paraId="2667091F">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Sun, Y. et al. (2025). Related factors of turnover intention among general practitioners: a cross-sectional study in 6 provinces of China. </w:t>
      </w:r>
      <w:r>
        <w:rPr>
          <w:i/>
          <w:iCs/>
          <w:color w:val="000000" w:themeColor="text1"/>
          <w14:textFill>
            <w14:solidFill>
              <w14:schemeClr w14:val="tx1"/>
            </w14:solidFill>
          </w14:textFill>
        </w:rPr>
        <w:t>BMC Primary Care</w:t>
      </w:r>
      <w:r>
        <w:rPr>
          <w:color w:val="000000" w:themeColor="text1"/>
          <w14:textFill>
            <w14:solidFill>
              <w14:schemeClr w14:val="tx1"/>
            </w14:solidFill>
          </w14:textFill>
        </w:rPr>
        <w:t>, 26(1). doi:</w:t>
      </w:r>
      <w:r>
        <w:fldChar w:fldCharType="begin"/>
      </w:r>
      <w:r>
        <w:instrText xml:space="preserve"> HYPERLINK "https://doi.org/10.1186/s12875-025-02728-x" </w:instrText>
      </w:r>
      <w:r>
        <w:fldChar w:fldCharType="separate"/>
      </w:r>
      <w:r>
        <w:rPr>
          <w:rStyle w:val="17"/>
          <w:color w:val="000000" w:themeColor="text1"/>
          <w14:textFill>
            <w14:solidFill>
              <w14:schemeClr w14:val="tx1"/>
            </w14:solidFill>
          </w14:textFill>
        </w:rPr>
        <w:t>https://doi.org/10.1186/s12875-025-02728-x</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466EE25D">
      <w:pPr>
        <w:spacing w:line="480" w:lineRule="auto"/>
        <w:jc w:val="both"/>
        <w:rPr>
          <w:color w:val="000000" w:themeColor="text1"/>
          <w14:textFill>
            <w14:solidFill>
              <w14:schemeClr w14:val="tx1"/>
            </w14:solidFill>
          </w14:textFill>
        </w:rPr>
      </w:pPr>
    </w:p>
    <w:p w14:paraId="59D5C12D">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The King's Fund (2025). </w:t>
      </w:r>
      <w:r>
        <w:rPr>
          <w:i/>
          <w:iCs/>
          <w:color w:val="000000" w:themeColor="text1"/>
          <w14:textFill>
            <w14:solidFill>
              <w14:schemeClr w14:val="tx1"/>
            </w14:solidFill>
          </w14:textFill>
        </w:rPr>
        <w:t>Securing the NHS Workforce for the Future: Our Recommendations for Action</w:t>
      </w:r>
      <w:r>
        <w:rPr>
          <w:color w:val="000000" w:themeColor="text1"/>
          <w14:textFill>
            <w14:solidFill>
              <w14:schemeClr w14:val="tx1"/>
            </w14:solidFill>
          </w14:textFill>
        </w:rPr>
        <w:t xml:space="preserve">. Available at: </w:t>
      </w:r>
      <w:r>
        <w:fldChar w:fldCharType="begin"/>
      </w:r>
      <w:r>
        <w:instrText xml:space="preserve"> HYPERLINK "https://www.kingsfund.org.uk/insight-and-analysis/long-reads/securing-nhs-workforce-future-recommendations-action" </w:instrText>
      </w:r>
      <w:r>
        <w:fldChar w:fldCharType="separate"/>
      </w:r>
      <w:r>
        <w:rPr>
          <w:rStyle w:val="17"/>
          <w:color w:val="000000" w:themeColor="text1"/>
          <w14:textFill>
            <w14:solidFill>
              <w14:schemeClr w14:val="tx1"/>
            </w14:solidFill>
          </w14:textFill>
        </w:rPr>
        <w:t>https://www.kingsfund.org.uk/insight-and-analysis/long-reads/securing-nhs-workforce-future-recommendations-action</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33C947E8">
      <w:pPr>
        <w:spacing w:line="480" w:lineRule="auto"/>
        <w:jc w:val="both"/>
        <w:rPr>
          <w:color w:val="000000" w:themeColor="text1"/>
          <w14:textFill>
            <w14:solidFill>
              <w14:schemeClr w14:val="tx1"/>
            </w14:solidFill>
          </w14:textFill>
        </w:rPr>
      </w:pPr>
    </w:p>
    <w:p w14:paraId="7860D028">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Tolksdorf, K.H., Tischler, U. and Heinrichs, K. (2022). Correlates of turnover intention among nursing staff in the COVID-19 pandemic: a systematic review.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21(1). doi:</w:t>
      </w:r>
      <w:r>
        <w:fldChar w:fldCharType="begin"/>
      </w:r>
      <w:r>
        <w:instrText xml:space="preserve"> HYPERLINK "https://doi.org/10.1186/s12912-022-00949-4" </w:instrText>
      </w:r>
      <w:r>
        <w:fldChar w:fldCharType="separate"/>
      </w:r>
      <w:r>
        <w:rPr>
          <w:rStyle w:val="17"/>
          <w:color w:val="000000" w:themeColor="text1"/>
          <w14:textFill>
            <w14:solidFill>
              <w14:schemeClr w14:val="tx1"/>
            </w14:solidFill>
          </w14:textFill>
        </w:rPr>
        <w:t>https://doi.org/10.1186/s12912-022-00949-4</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452C3FA1">
      <w:pPr>
        <w:spacing w:line="480" w:lineRule="auto"/>
        <w:jc w:val="both"/>
        <w:rPr>
          <w:color w:val="000000" w:themeColor="text1"/>
          <w14:textFill>
            <w14:solidFill>
              <w14:schemeClr w14:val="tx1"/>
            </w14:solidFill>
          </w14:textFill>
        </w:rPr>
      </w:pPr>
    </w:p>
    <w:p w14:paraId="351E958E">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UK Parliament (2021). </w:t>
      </w:r>
      <w:r>
        <w:rPr>
          <w:i/>
          <w:iCs/>
          <w:color w:val="000000" w:themeColor="text1"/>
          <w14:textFill>
            <w14:solidFill>
              <w14:schemeClr w14:val="tx1"/>
            </w14:solidFill>
          </w14:textFill>
        </w:rPr>
        <w:t>Workforce Burnout and Resilience in the NHS and Social Care  Health and Social Care Committee</w:t>
      </w:r>
      <w:r>
        <w:rPr>
          <w:color w:val="000000" w:themeColor="text1"/>
          <w14:textFill>
            <w14:solidFill>
              <w14:schemeClr w14:val="tx1"/>
            </w14:solidFill>
          </w14:textFill>
        </w:rPr>
        <w:t xml:space="preserve">. Available at: </w:t>
      </w:r>
      <w:r>
        <w:fldChar w:fldCharType="begin"/>
      </w:r>
      <w:r>
        <w:instrText xml:space="preserve"> HYPERLINK "https://publications.parliament.uk/pa/cm5802/cmselect/cmhealth/22/2202.htm" </w:instrText>
      </w:r>
      <w:r>
        <w:fldChar w:fldCharType="separate"/>
      </w:r>
      <w:r>
        <w:rPr>
          <w:rStyle w:val="17"/>
          <w:color w:val="000000" w:themeColor="text1"/>
          <w14:textFill>
            <w14:solidFill>
              <w14:schemeClr w14:val="tx1"/>
            </w14:solidFill>
          </w14:textFill>
        </w:rPr>
        <w:t>https://publications.parliament.uk/pa/cm5802/cmselect/cmhealth/22/2202.htm</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DCE093D">
      <w:pPr>
        <w:spacing w:line="480" w:lineRule="auto"/>
        <w:jc w:val="both"/>
        <w:rPr>
          <w:color w:val="000000" w:themeColor="text1"/>
          <w14:textFill>
            <w14:solidFill>
              <w14:schemeClr w14:val="tx1"/>
            </w14:solidFill>
          </w14:textFill>
        </w:rPr>
      </w:pPr>
    </w:p>
    <w:p w14:paraId="715C2859">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Vries, N. de et al. (2023). Retaining healthcare workers: a systematic review of strategies for sustaining power in the workplace. </w:t>
      </w:r>
      <w:r>
        <w:rPr>
          <w:i/>
          <w:iCs/>
          <w:color w:val="000000" w:themeColor="text1"/>
          <w14:textFill>
            <w14:solidFill>
              <w14:schemeClr w14:val="tx1"/>
            </w14:solidFill>
          </w14:textFill>
        </w:rPr>
        <w:t>Healthcare</w:t>
      </w:r>
      <w:r>
        <w:rPr>
          <w:color w:val="000000" w:themeColor="text1"/>
          <w14:textFill>
            <w14:solidFill>
              <w14:schemeClr w14:val="tx1"/>
            </w14:solidFill>
          </w14:textFill>
        </w:rPr>
        <w:t>, 11(13), pp.1–29. doi:</w:t>
      </w:r>
      <w:r>
        <w:fldChar w:fldCharType="begin"/>
      </w:r>
      <w:r>
        <w:instrText xml:space="preserve"> HYPERLINK "https://doi.org/10.3390/healthcare11131887" </w:instrText>
      </w:r>
      <w:r>
        <w:fldChar w:fldCharType="separate"/>
      </w:r>
      <w:r>
        <w:rPr>
          <w:rStyle w:val="17"/>
          <w:color w:val="000000" w:themeColor="text1"/>
          <w14:textFill>
            <w14:solidFill>
              <w14:schemeClr w14:val="tx1"/>
            </w14:solidFill>
          </w14:textFill>
        </w:rPr>
        <w:t>https://doi.org/10.3390/healthcare11131887</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45B9E89A">
      <w:pPr>
        <w:spacing w:line="480" w:lineRule="auto"/>
        <w:jc w:val="both"/>
        <w:rPr>
          <w:color w:val="000000" w:themeColor="text1"/>
          <w14:textFill>
            <w14:solidFill>
              <w14:schemeClr w14:val="tx1"/>
            </w14:solidFill>
          </w14:textFill>
        </w:rPr>
      </w:pPr>
    </w:p>
    <w:p w14:paraId="7784CE46">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Wubetie, A., Taye, B. and Girma, B. (2020). Magnitude of turnover intention and associated factors among nurses working in emergency departments of governmental hospitals in Addis Ababa, Ethiopia. </w:t>
      </w:r>
      <w:r>
        <w:rPr>
          <w:i/>
          <w:iCs/>
          <w:color w:val="000000" w:themeColor="text1"/>
          <w14:textFill>
            <w14:solidFill>
              <w14:schemeClr w14:val="tx1"/>
            </w14:solidFill>
          </w14:textFill>
        </w:rPr>
        <w:t>BMC Nursing</w:t>
      </w:r>
      <w:r>
        <w:rPr>
          <w:color w:val="000000" w:themeColor="text1"/>
          <w14:textFill>
            <w14:solidFill>
              <w14:schemeClr w14:val="tx1"/>
            </w14:solidFill>
          </w14:textFill>
        </w:rPr>
        <w:t>, 19(1). doi:</w:t>
      </w:r>
      <w:r>
        <w:fldChar w:fldCharType="begin"/>
      </w:r>
      <w:r>
        <w:instrText xml:space="preserve"> HYPERLINK "https://doi.org/10.1186/s12912-020-00490-2" </w:instrText>
      </w:r>
      <w:r>
        <w:fldChar w:fldCharType="separate"/>
      </w:r>
      <w:r>
        <w:rPr>
          <w:rStyle w:val="17"/>
          <w:color w:val="000000" w:themeColor="text1"/>
          <w14:textFill>
            <w14:solidFill>
              <w14:schemeClr w14:val="tx1"/>
            </w14:solidFill>
          </w14:textFill>
        </w:rPr>
        <w:t>https://doi.org/10.1186/s12912-020-00490-2</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55362B4C">
      <w:pPr>
        <w:spacing w:line="480" w:lineRule="auto"/>
        <w:jc w:val="both"/>
        <w:rPr>
          <w:color w:val="000000" w:themeColor="text1"/>
          <w14:textFill>
            <w14:solidFill>
              <w14:schemeClr w14:val="tx1"/>
            </w14:solidFill>
          </w14:textFill>
        </w:rPr>
      </w:pPr>
    </w:p>
    <w:p w14:paraId="3CEA3BA8">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Yan, W., Cheng, Z., Xiao, D., Wang, H., Du, X., Li, L. and Song, C. (2024). Patient mistreatment, emotional exhaustion and work-family conflict among nurses: a moderated mediation model. </w:t>
      </w:r>
      <w:r>
        <w:rPr>
          <w:i/>
          <w:iCs/>
          <w:color w:val="000000" w:themeColor="text1"/>
          <w14:textFill>
            <w14:solidFill>
              <w14:schemeClr w14:val="tx1"/>
            </w14:solidFill>
          </w14:textFill>
        </w:rPr>
        <w:t>BMC Medical Education</w:t>
      </w:r>
      <w:r>
        <w:rPr>
          <w:color w:val="000000" w:themeColor="text1"/>
          <w14:textFill>
            <w14:solidFill>
              <w14:schemeClr w14:val="tx1"/>
            </w14:solidFill>
          </w14:textFill>
        </w:rPr>
        <w:t>, 24(1). doi:</w:t>
      </w:r>
      <w:r>
        <w:fldChar w:fldCharType="begin"/>
      </w:r>
      <w:r>
        <w:instrText xml:space="preserve"> HYPERLINK "https://doi.org/10.1186/s12909-024-06022-9" </w:instrText>
      </w:r>
      <w:r>
        <w:fldChar w:fldCharType="separate"/>
      </w:r>
      <w:r>
        <w:rPr>
          <w:rStyle w:val="17"/>
          <w:color w:val="000000" w:themeColor="text1"/>
          <w14:textFill>
            <w14:solidFill>
              <w14:schemeClr w14:val="tx1"/>
            </w14:solidFill>
          </w14:textFill>
        </w:rPr>
        <w:t>https://doi.org/10.1186/s12909-024-06022-9</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063B39B6">
      <w:pPr>
        <w:spacing w:line="480" w:lineRule="auto"/>
        <w:jc w:val="both"/>
        <w:rPr>
          <w:color w:val="000000" w:themeColor="text1"/>
          <w14:textFill>
            <w14:solidFill>
              <w14:schemeClr w14:val="tx1"/>
            </w14:solidFill>
          </w14:textFill>
        </w:rPr>
      </w:pPr>
    </w:p>
    <w:p w14:paraId="00FF68FD">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Yang, X. et al. (2024). The effect of work-family conflict on employee well-being among physicians: the mediating role of job satisfaction and work engagement. </w:t>
      </w:r>
      <w:r>
        <w:rPr>
          <w:i/>
          <w:iCs/>
          <w:color w:val="000000" w:themeColor="text1"/>
          <w14:textFill>
            <w14:solidFill>
              <w14:schemeClr w14:val="tx1"/>
            </w14:solidFill>
          </w14:textFill>
        </w:rPr>
        <w:t>BMC Psychology</w:t>
      </w:r>
      <w:r>
        <w:rPr>
          <w:color w:val="000000" w:themeColor="text1"/>
          <w14:textFill>
            <w14:solidFill>
              <w14:schemeClr w14:val="tx1"/>
            </w14:solidFill>
          </w14:textFill>
        </w:rPr>
        <w:t>, 12(1). doi:</w:t>
      </w:r>
      <w:r>
        <w:fldChar w:fldCharType="begin"/>
      </w:r>
      <w:r>
        <w:instrText xml:space="preserve"> HYPERLINK "https://doi.org/10.1186/s40359-024-02026-8" </w:instrText>
      </w:r>
      <w:r>
        <w:fldChar w:fldCharType="separate"/>
      </w:r>
      <w:r>
        <w:rPr>
          <w:rStyle w:val="17"/>
          <w:color w:val="000000" w:themeColor="text1"/>
          <w14:textFill>
            <w14:solidFill>
              <w14:schemeClr w14:val="tx1"/>
            </w14:solidFill>
          </w14:textFill>
        </w:rPr>
        <w:t>https://doi.org/10.1186/s40359-024-02026-8</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0D5EC172">
      <w:pPr>
        <w:spacing w:line="480" w:lineRule="auto"/>
        <w:jc w:val="both"/>
        <w:rPr>
          <w:color w:val="000000" w:themeColor="text1"/>
          <w14:textFill>
            <w14:solidFill>
              <w14:schemeClr w14:val="tx1"/>
            </w14:solidFill>
          </w14:textFill>
        </w:rPr>
      </w:pPr>
    </w:p>
    <w:p w14:paraId="616B53ED">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Yıldırım, T.Ö. and Karatepe, H.K. (2024). The effect of the challenges experienced by nurses during the pandemic on their intention to leave work: the mediating role of the performance.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23(1). doi:</w:t>
      </w:r>
      <w:r>
        <w:fldChar w:fldCharType="begin"/>
      </w:r>
      <w:r>
        <w:instrText xml:space="preserve"> HYPERLINK "https://doi.org/10.1186/s12912-024-02413-x" </w:instrText>
      </w:r>
      <w:r>
        <w:fldChar w:fldCharType="separate"/>
      </w:r>
      <w:r>
        <w:rPr>
          <w:rStyle w:val="17"/>
          <w:color w:val="000000" w:themeColor="text1"/>
          <w14:textFill>
            <w14:solidFill>
              <w14:schemeClr w14:val="tx1"/>
            </w14:solidFill>
          </w14:textFill>
        </w:rPr>
        <w:t>https://doi.org/10.1186/s12912-024-02413-x</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5284F9A8">
      <w:pPr>
        <w:spacing w:line="480" w:lineRule="auto"/>
        <w:jc w:val="both"/>
        <w:rPr>
          <w:color w:val="000000" w:themeColor="text1"/>
          <w14:textFill>
            <w14:solidFill>
              <w14:schemeClr w14:val="tx1"/>
            </w14:solidFill>
          </w14:textFill>
        </w:rPr>
      </w:pPr>
    </w:p>
    <w:p w14:paraId="6D7F96C5">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Yu, K., Wang, Z. and Huang, Y. (2018). Work-family conflict and organizational citizenship behavior: the role of job satisfaction and decision authority. </w:t>
      </w:r>
      <w:r>
        <w:rPr>
          <w:i/>
          <w:iCs/>
          <w:color w:val="000000" w:themeColor="text1"/>
          <w14:textFill>
            <w14:solidFill>
              <w14:schemeClr w14:val="tx1"/>
            </w14:solidFill>
          </w14:textFill>
        </w:rPr>
        <w:t>Frontiers of Business Research in China</w:t>
      </w:r>
      <w:r>
        <w:rPr>
          <w:color w:val="000000" w:themeColor="text1"/>
          <w14:textFill>
            <w14:solidFill>
              <w14:schemeClr w14:val="tx1"/>
            </w14:solidFill>
          </w14:textFill>
        </w:rPr>
        <w:t>, 12(1). doi:</w:t>
      </w:r>
      <w:r>
        <w:fldChar w:fldCharType="begin"/>
      </w:r>
      <w:r>
        <w:instrText xml:space="preserve"> HYPERLINK "https://doi.org/10.1186/s11782-018-0039-5" </w:instrText>
      </w:r>
      <w:r>
        <w:fldChar w:fldCharType="separate"/>
      </w:r>
      <w:r>
        <w:rPr>
          <w:rStyle w:val="17"/>
          <w:color w:val="000000" w:themeColor="text1"/>
          <w14:textFill>
            <w14:solidFill>
              <w14:schemeClr w14:val="tx1"/>
            </w14:solidFill>
          </w14:textFill>
        </w:rPr>
        <w:t>https://doi.org/10.1186/s11782-018-0039-5</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5A9D65FE">
      <w:pPr>
        <w:spacing w:line="480" w:lineRule="auto"/>
        <w:jc w:val="both"/>
        <w:rPr>
          <w:color w:val="000000" w:themeColor="text1"/>
          <w14:textFill>
            <w14:solidFill>
              <w14:schemeClr w14:val="tx1"/>
            </w14:solidFill>
          </w14:textFill>
        </w:rPr>
      </w:pPr>
    </w:p>
    <w:p w14:paraId="52C7E98B">
      <w:pPr>
        <w:pStyle w:val="37"/>
        <w:numPr>
          <w:ilvl w:val="0"/>
          <w:numId w:val="4"/>
        </w:numPr>
        <w:spacing w:line="480" w:lineRule="auto"/>
        <w:ind w:left="360"/>
        <w:jc w:val="both"/>
        <w:rPr>
          <w:color w:val="000000" w:themeColor="text1"/>
          <w14:textFill>
            <w14:solidFill>
              <w14:schemeClr w14:val="tx1"/>
            </w14:solidFill>
          </w14:textFill>
        </w:rPr>
      </w:pPr>
      <w:r>
        <w:rPr>
          <w:color w:val="000000" w:themeColor="text1"/>
          <w14:textFill>
            <w14:solidFill>
              <w14:schemeClr w14:val="tx1"/>
            </w14:solidFill>
          </w14:textFill>
        </w:rPr>
        <w:t xml:space="preserve">Zhang, Y., Pang, Z. and Zhang, N. (2025). Perceived supervisors' psychological control and work-family conflict of nurses: a mediated moderation model. </w:t>
      </w:r>
      <w:r>
        <w:rPr>
          <w:i/>
          <w:iCs/>
          <w:color w:val="000000" w:themeColor="text1"/>
          <w14:textFill>
            <w14:solidFill>
              <w14:schemeClr w14:val="tx1"/>
            </w14:solidFill>
          </w14:textFill>
        </w:rPr>
        <w:t>BMC Nursing</w:t>
      </w:r>
      <w:r>
        <w:rPr>
          <w:color w:val="000000" w:themeColor="text1"/>
          <w14:textFill>
            <w14:solidFill>
              <w14:schemeClr w14:val="tx1"/>
            </w14:solidFill>
          </w14:textFill>
        </w:rPr>
        <w:t>, 24(1). doi:</w:t>
      </w:r>
      <w:r>
        <w:fldChar w:fldCharType="begin"/>
      </w:r>
      <w:r>
        <w:instrText xml:space="preserve"> HYPERLINK "https://doi.org/10.1186/s12912-025-03315-2" </w:instrText>
      </w:r>
      <w:r>
        <w:fldChar w:fldCharType="separate"/>
      </w:r>
      <w:r>
        <w:rPr>
          <w:rStyle w:val="17"/>
          <w:color w:val="000000" w:themeColor="text1"/>
          <w14:textFill>
            <w14:solidFill>
              <w14:schemeClr w14:val="tx1"/>
            </w14:solidFill>
          </w14:textFill>
        </w:rPr>
        <w:t>https://doi.org/10.1186/s12912-025-03315-2</w:t>
      </w:r>
      <w:r>
        <w:rPr>
          <w:rStyle w:val="17"/>
          <w:color w:val="000000" w:themeColor="text1"/>
          <w14:textFill>
            <w14:solidFill>
              <w14:schemeClr w14:val="tx1"/>
            </w14:solidFill>
          </w14:textFill>
        </w:rPr>
        <w:fldChar w:fldCharType="end"/>
      </w:r>
      <w:r>
        <w:rPr>
          <w:color w:val="000000" w:themeColor="text1"/>
          <w14:textFill>
            <w14:solidFill>
              <w14:schemeClr w14:val="tx1"/>
            </w14:solidFill>
          </w14:textFill>
        </w:rPr>
        <w:t>.</w:t>
      </w:r>
    </w:p>
    <w:p w14:paraId="6C59E1E3">
      <w:pPr>
        <w:spacing w:line="480" w:lineRule="auto"/>
        <w:jc w:val="both"/>
        <w:rPr>
          <w:color w:val="000000" w:themeColor="text1"/>
          <w14:textFill>
            <w14:solidFill>
              <w14:schemeClr w14:val="tx1"/>
            </w14:solidFill>
          </w14:textFill>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DengXian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DengXian">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71026943"/>
      <w:docPartObj>
        <w:docPartGallery w:val="AutoText"/>
      </w:docPartObj>
    </w:sdtPr>
    <w:sdtContent>
      <w:p w14:paraId="02E8BE32">
        <w:pPr>
          <w:pStyle w:val="15"/>
          <w:jc w:val="right"/>
        </w:pPr>
        <w:r>
          <w:fldChar w:fldCharType="begin"/>
        </w:r>
        <w:r>
          <w:instrText xml:space="preserve"> PAGE   \* MERGEFORMAT </w:instrText>
        </w:r>
        <w:r>
          <w:fldChar w:fldCharType="separate"/>
        </w:r>
        <w:r>
          <w:t>2</w:t>
        </w:r>
        <w:r>
          <w:fldChar w:fldCharType="end"/>
        </w:r>
      </w:p>
    </w:sdtContent>
  </w:sdt>
  <w:p w14:paraId="5B656080">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EE340C4"/>
    <w:multiLevelType w:val="multilevel"/>
    <w:tmpl w:val="0EE340C4"/>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
    <w:nsid w:val="3A1A2E8F"/>
    <w:multiLevelType w:val="multilevel"/>
    <w:tmpl w:val="3A1A2E8F"/>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2">
    <w:nsid w:val="5EC16AFE"/>
    <w:multiLevelType w:val="multilevel"/>
    <w:tmpl w:val="5EC16AFE"/>
    <w:lvl w:ilvl="0" w:tentative="0">
      <w:start w:val="1"/>
      <w:numFmt w:val="upperRoman"/>
      <w:lvlText w:val="%1."/>
      <w:lvlJc w:val="righ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3">
    <w:nsid w:val="72993892"/>
    <w:multiLevelType w:val="multilevel"/>
    <w:tmpl w:val="7299389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C0C"/>
    <w:rsid w:val="00013BD3"/>
    <w:rsid w:val="00020074"/>
    <w:rsid w:val="000527D2"/>
    <w:rsid w:val="0006568E"/>
    <w:rsid w:val="000A2B7C"/>
    <w:rsid w:val="000A6897"/>
    <w:rsid w:val="000A6B86"/>
    <w:rsid w:val="000C113F"/>
    <w:rsid w:val="000D1FBF"/>
    <w:rsid w:val="000D2C6E"/>
    <w:rsid w:val="00104D87"/>
    <w:rsid w:val="00133F28"/>
    <w:rsid w:val="00180CBD"/>
    <w:rsid w:val="001A49DE"/>
    <w:rsid w:val="001D00C6"/>
    <w:rsid w:val="001E5D50"/>
    <w:rsid w:val="001E74D0"/>
    <w:rsid w:val="001F0C76"/>
    <w:rsid w:val="002174FB"/>
    <w:rsid w:val="002444D2"/>
    <w:rsid w:val="00256683"/>
    <w:rsid w:val="0029162B"/>
    <w:rsid w:val="00292E42"/>
    <w:rsid w:val="002B190C"/>
    <w:rsid w:val="002B1E5F"/>
    <w:rsid w:val="002B762D"/>
    <w:rsid w:val="002C35F8"/>
    <w:rsid w:val="002D481C"/>
    <w:rsid w:val="002D716A"/>
    <w:rsid w:val="00313810"/>
    <w:rsid w:val="00346CA6"/>
    <w:rsid w:val="003606C9"/>
    <w:rsid w:val="00376EEE"/>
    <w:rsid w:val="0038280E"/>
    <w:rsid w:val="00392BEB"/>
    <w:rsid w:val="003A1AC6"/>
    <w:rsid w:val="003B7ED9"/>
    <w:rsid w:val="00422D2B"/>
    <w:rsid w:val="0043577B"/>
    <w:rsid w:val="00441C2C"/>
    <w:rsid w:val="004511C6"/>
    <w:rsid w:val="0050409B"/>
    <w:rsid w:val="00514FDE"/>
    <w:rsid w:val="00524F12"/>
    <w:rsid w:val="0053482D"/>
    <w:rsid w:val="00564E0F"/>
    <w:rsid w:val="00585835"/>
    <w:rsid w:val="00591D5A"/>
    <w:rsid w:val="005A27AB"/>
    <w:rsid w:val="005B272E"/>
    <w:rsid w:val="005E5EC6"/>
    <w:rsid w:val="006016DB"/>
    <w:rsid w:val="00610251"/>
    <w:rsid w:val="00627DB3"/>
    <w:rsid w:val="00666E85"/>
    <w:rsid w:val="00670F96"/>
    <w:rsid w:val="00684973"/>
    <w:rsid w:val="006861F4"/>
    <w:rsid w:val="006A4D41"/>
    <w:rsid w:val="006E1541"/>
    <w:rsid w:val="006E4914"/>
    <w:rsid w:val="006F75B5"/>
    <w:rsid w:val="007000D4"/>
    <w:rsid w:val="00703661"/>
    <w:rsid w:val="00717824"/>
    <w:rsid w:val="007266AF"/>
    <w:rsid w:val="0073063C"/>
    <w:rsid w:val="0073510F"/>
    <w:rsid w:val="007378A6"/>
    <w:rsid w:val="00740FEA"/>
    <w:rsid w:val="00775960"/>
    <w:rsid w:val="00794B4C"/>
    <w:rsid w:val="007A09C6"/>
    <w:rsid w:val="007B3569"/>
    <w:rsid w:val="007B4116"/>
    <w:rsid w:val="007D739B"/>
    <w:rsid w:val="00802346"/>
    <w:rsid w:val="00807473"/>
    <w:rsid w:val="00814A01"/>
    <w:rsid w:val="008268F3"/>
    <w:rsid w:val="00867626"/>
    <w:rsid w:val="008B1B33"/>
    <w:rsid w:val="008F4A27"/>
    <w:rsid w:val="00903E5A"/>
    <w:rsid w:val="00904AFE"/>
    <w:rsid w:val="00905C0C"/>
    <w:rsid w:val="00975A96"/>
    <w:rsid w:val="009875A6"/>
    <w:rsid w:val="009B6942"/>
    <w:rsid w:val="009E2D3A"/>
    <w:rsid w:val="00A03FFE"/>
    <w:rsid w:val="00A20099"/>
    <w:rsid w:val="00A8346C"/>
    <w:rsid w:val="00A85486"/>
    <w:rsid w:val="00A96621"/>
    <w:rsid w:val="00AA6FA9"/>
    <w:rsid w:val="00B86953"/>
    <w:rsid w:val="00B935B9"/>
    <w:rsid w:val="00BA4AF4"/>
    <w:rsid w:val="00BB2872"/>
    <w:rsid w:val="00BC3FC7"/>
    <w:rsid w:val="00BC64F7"/>
    <w:rsid w:val="00C0680E"/>
    <w:rsid w:val="00C21985"/>
    <w:rsid w:val="00C27946"/>
    <w:rsid w:val="00C46269"/>
    <w:rsid w:val="00C57989"/>
    <w:rsid w:val="00C64984"/>
    <w:rsid w:val="00C749C7"/>
    <w:rsid w:val="00C74D89"/>
    <w:rsid w:val="00C82BB7"/>
    <w:rsid w:val="00C90658"/>
    <w:rsid w:val="00CB3D35"/>
    <w:rsid w:val="00CD5318"/>
    <w:rsid w:val="00D236BE"/>
    <w:rsid w:val="00D47C1B"/>
    <w:rsid w:val="00D52DBF"/>
    <w:rsid w:val="00DC500C"/>
    <w:rsid w:val="00DD1BEA"/>
    <w:rsid w:val="00DE35FF"/>
    <w:rsid w:val="00DE3B7A"/>
    <w:rsid w:val="00DE4504"/>
    <w:rsid w:val="00E01C6E"/>
    <w:rsid w:val="00E04DF9"/>
    <w:rsid w:val="00E10E65"/>
    <w:rsid w:val="00E202F6"/>
    <w:rsid w:val="00E21731"/>
    <w:rsid w:val="00E2647D"/>
    <w:rsid w:val="00E41C84"/>
    <w:rsid w:val="00E51350"/>
    <w:rsid w:val="00E86437"/>
    <w:rsid w:val="00ED6708"/>
    <w:rsid w:val="00EF419C"/>
    <w:rsid w:val="00F04BCC"/>
    <w:rsid w:val="00F04C9F"/>
    <w:rsid w:val="00F120DB"/>
    <w:rsid w:val="00F17857"/>
    <w:rsid w:val="00F64E66"/>
    <w:rsid w:val="00F66FDB"/>
    <w:rsid w:val="00FD56C2"/>
    <w:rsid w:val="54E752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line="360" w:lineRule="auto"/>
    </w:pPr>
    <w:rPr>
      <w:rFonts w:ascii="Times New Roman" w:hAnsi="Times New Roman" w:eastAsiaTheme="minorHAnsi" w:cstheme="minorBidi"/>
      <w:kern w:val="2"/>
      <w:sz w:val="24"/>
      <w:szCs w:val="24"/>
      <w:lang w:val="en-GB" w:eastAsia="en-US" w:bidi="ar-SA"/>
      <w14:ligatures w14:val="standardContextual"/>
    </w:rPr>
  </w:style>
  <w:style w:type="paragraph" w:styleId="2">
    <w:name w:val="heading 1"/>
    <w:basedOn w:val="1"/>
    <w:next w:val="1"/>
    <w:link w:val="24"/>
    <w:autoRedefine/>
    <w:qFormat/>
    <w:uiPriority w:val="9"/>
    <w:pPr>
      <w:keepNext/>
      <w:keepLines/>
      <w:numPr>
        <w:ilvl w:val="0"/>
        <w:numId w:val="1"/>
      </w:numPr>
      <w:pBdr>
        <w:bottom w:val="dashSmallGap" w:color="auto" w:sz="4" w:space="1"/>
      </w:pBdr>
      <w:shd w:val="clear" w:color="auto" w:fill="FFFFFF" w:themeFill="background1"/>
      <w:outlineLvl w:val="0"/>
    </w:pPr>
    <w:rPr>
      <w:rFonts w:eastAsiaTheme="majorEastAsia" w:cstheme="majorBidi"/>
      <w:b/>
      <w:color w:val="000000" w:themeColor="text1"/>
      <w:sz w:val="32"/>
      <w:szCs w:val="40"/>
      <w:lang w:val="en-US"/>
      <w14:textFill>
        <w14:solidFill>
          <w14:schemeClr w14:val="tx1"/>
        </w14:solidFill>
      </w14:textFill>
    </w:rPr>
  </w:style>
  <w:style w:type="paragraph" w:styleId="3">
    <w:name w:val="heading 2"/>
    <w:basedOn w:val="1"/>
    <w:next w:val="1"/>
    <w:link w:val="25"/>
    <w:autoRedefine/>
    <w:unhideWhenUsed/>
    <w:qFormat/>
    <w:uiPriority w:val="9"/>
    <w:pPr>
      <w:keepNext/>
      <w:keepLines/>
      <w:numPr>
        <w:ilvl w:val="1"/>
        <w:numId w:val="1"/>
      </w:numPr>
      <w:spacing w:before="160" w:after="80"/>
      <w:jc w:val="both"/>
      <w:outlineLvl w:val="1"/>
    </w:pPr>
    <w:rPr>
      <w:rFonts w:eastAsiaTheme="majorEastAsia" w:cstheme="majorBidi"/>
      <w:b/>
      <w:color w:val="000000" w:themeColor="text1"/>
      <w:sz w:val="28"/>
      <w:szCs w:val="32"/>
      <w:lang w:val="en-US"/>
      <w14:textFill>
        <w14:solidFill>
          <w14:schemeClr w14:val="tx1"/>
        </w14:solidFill>
      </w14:textFill>
    </w:rPr>
  </w:style>
  <w:style w:type="paragraph" w:styleId="4">
    <w:name w:val="heading 3"/>
    <w:basedOn w:val="1"/>
    <w:next w:val="1"/>
    <w:link w:val="27"/>
    <w:autoRedefine/>
    <w:unhideWhenUsed/>
    <w:qFormat/>
    <w:uiPriority w:val="9"/>
    <w:pPr>
      <w:keepNext/>
      <w:keepLines/>
      <w:numPr>
        <w:ilvl w:val="2"/>
        <w:numId w:val="1"/>
      </w:numPr>
      <w:spacing w:before="160" w:after="80"/>
      <w:outlineLvl w:val="2"/>
    </w:pPr>
    <w:rPr>
      <w:rFonts w:eastAsiaTheme="majorEastAsia" w:cstheme="majorBidi"/>
      <w:i/>
      <w:color w:val="000000" w:themeColor="text1"/>
      <w:szCs w:val="28"/>
      <w:lang w:val="en-US"/>
      <w14:textFill>
        <w14:solidFill>
          <w14:schemeClr w14:val="tx1"/>
        </w14:solidFill>
      </w14:textFill>
    </w:rPr>
  </w:style>
  <w:style w:type="paragraph" w:styleId="5">
    <w:name w:val="heading 4"/>
    <w:basedOn w:val="1"/>
    <w:next w:val="1"/>
    <w:link w:val="28"/>
    <w:semiHidden/>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30"/>
    <w:semiHidden/>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4">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5">
    <w:name w:val="footer"/>
    <w:basedOn w:val="1"/>
    <w:link w:val="46"/>
    <w:unhideWhenUsed/>
    <w:qFormat/>
    <w:uiPriority w:val="99"/>
    <w:pPr>
      <w:tabs>
        <w:tab w:val="center" w:pos="4680"/>
        <w:tab w:val="right" w:pos="9360"/>
      </w:tabs>
      <w:spacing w:line="240" w:lineRule="auto"/>
    </w:pPr>
  </w:style>
  <w:style w:type="paragraph" w:styleId="16">
    <w:name w:val="header"/>
    <w:basedOn w:val="1"/>
    <w:link w:val="45"/>
    <w:unhideWhenUsed/>
    <w:qFormat/>
    <w:uiPriority w:val="99"/>
    <w:pPr>
      <w:tabs>
        <w:tab w:val="center" w:pos="4680"/>
        <w:tab w:val="right" w:pos="9360"/>
      </w:tabs>
      <w:spacing w:line="240" w:lineRule="auto"/>
    </w:pPr>
  </w:style>
  <w:style w:type="character" w:styleId="17">
    <w:name w:val="Hyperlink"/>
    <w:basedOn w:val="11"/>
    <w:unhideWhenUsed/>
    <w:qFormat/>
    <w:uiPriority w:val="99"/>
    <w:rPr>
      <w:color w:val="0563C1" w:themeColor="hyperlink"/>
      <w:u w:val="single"/>
      <w14:textFill>
        <w14:solidFill>
          <w14:schemeClr w14:val="hlink"/>
        </w14:solidFill>
      </w14:textFill>
    </w:rPr>
  </w:style>
  <w:style w:type="paragraph" w:styleId="18">
    <w:name w:val="Subtitle"/>
    <w:basedOn w:val="1"/>
    <w:next w:val="1"/>
    <w:link w:val="34"/>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qFormat/>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26"/>
    <w:qFormat/>
    <w:uiPriority w:val="10"/>
    <w:pPr>
      <w:spacing w:after="80" w:line="240" w:lineRule="auto"/>
      <w:contextualSpacing/>
    </w:pPr>
    <w:rPr>
      <w:rFonts w:eastAsiaTheme="majorEastAsia" w:cstheme="majorBidi"/>
      <w:spacing w:val="-10"/>
      <w:kern w:val="28"/>
      <w:sz w:val="40"/>
      <w:szCs w:val="56"/>
    </w:rPr>
  </w:style>
  <w:style w:type="paragraph" w:styleId="21">
    <w:name w:val="toc 1"/>
    <w:basedOn w:val="1"/>
    <w:next w:val="1"/>
    <w:autoRedefine/>
    <w:unhideWhenUsed/>
    <w:qFormat/>
    <w:uiPriority w:val="39"/>
    <w:pPr>
      <w:spacing w:after="100"/>
    </w:pPr>
  </w:style>
  <w:style w:type="paragraph" w:styleId="22">
    <w:name w:val="toc 2"/>
    <w:basedOn w:val="1"/>
    <w:next w:val="1"/>
    <w:autoRedefine/>
    <w:unhideWhenUsed/>
    <w:qFormat/>
    <w:uiPriority w:val="39"/>
    <w:pPr>
      <w:spacing w:after="100"/>
      <w:ind w:left="240"/>
    </w:pPr>
  </w:style>
  <w:style w:type="paragraph" w:styleId="23">
    <w:name w:val="toc 3"/>
    <w:basedOn w:val="1"/>
    <w:next w:val="1"/>
    <w:autoRedefine/>
    <w:unhideWhenUsed/>
    <w:qFormat/>
    <w:uiPriority w:val="39"/>
    <w:pPr>
      <w:spacing w:after="100"/>
      <w:ind w:left="480"/>
    </w:pPr>
  </w:style>
  <w:style w:type="character" w:customStyle="1" w:styleId="24">
    <w:name w:val="Heading 1 Char"/>
    <w:basedOn w:val="11"/>
    <w:link w:val="2"/>
    <w:qFormat/>
    <w:uiPriority w:val="9"/>
    <w:rPr>
      <w:rFonts w:ascii="Times New Roman" w:hAnsi="Times New Roman" w:eastAsiaTheme="majorEastAsia" w:cstheme="majorBidi"/>
      <w:b/>
      <w:color w:val="000000" w:themeColor="text1"/>
      <w:sz w:val="32"/>
      <w:szCs w:val="40"/>
      <w:shd w:val="clear" w:color="auto" w:fill="FFFFFF" w:themeFill="background1"/>
      <w14:textFill>
        <w14:solidFill>
          <w14:schemeClr w14:val="tx1"/>
        </w14:solidFill>
      </w14:textFill>
    </w:rPr>
  </w:style>
  <w:style w:type="character" w:customStyle="1" w:styleId="25">
    <w:name w:val="Heading 2 Char"/>
    <w:basedOn w:val="11"/>
    <w:link w:val="3"/>
    <w:qFormat/>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26">
    <w:name w:val="Title Char"/>
    <w:basedOn w:val="11"/>
    <w:link w:val="20"/>
    <w:qFormat/>
    <w:uiPriority w:val="10"/>
    <w:rPr>
      <w:rFonts w:ascii="Times New Roman" w:hAnsi="Times New Roman" w:eastAsiaTheme="majorEastAsia" w:cstheme="majorBidi"/>
      <w:spacing w:val="-10"/>
      <w:kern w:val="28"/>
      <w:sz w:val="40"/>
      <w:szCs w:val="56"/>
      <w:lang w:val="en-GB"/>
    </w:rPr>
  </w:style>
  <w:style w:type="character" w:customStyle="1" w:styleId="27">
    <w:name w:val="Heading 3 Char"/>
    <w:basedOn w:val="11"/>
    <w:link w:val="4"/>
    <w:qFormat/>
    <w:uiPriority w:val="9"/>
    <w:rPr>
      <w:rFonts w:ascii="Times New Roman" w:hAnsi="Times New Roman" w:eastAsiaTheme="majorEastAsia" w:cstheme="majorBidi"/>
      <w:i/>
      <w:color w:val="000000" w:themeColor="text1"/>
      <w:szCs w:val="28"/>
      <w14:textFill>
        <w14:solidFill>
          <w14:schemeClr w14:val="tx1"/>
        </w14:solidFill>
      </w14:textFill>
    </w:rPr>
  </w:style>
  <w:style w:type="character" w:customStyle="1" w:styleId="28">
    <w:name w:val="Heading 4 Char"/>
    <w:basedOn w:val="11"/>
    <w:link w:val="5"/>
    <w:semiHidden/>
    <w:qFormat/>
    <w:uiPriority w:val="9"/>
    <w:rPr>
      <w:rFonts w:eastAsiaTheme="majorEastAsia" w:cstheme="majorBidi"/>
      <w:i/>
      <w:iCs/>
      <w:color w:val="2F5597" w:themeColor="accent1" w:themeShade="BF"/>
      <w:lang w:val="en-GB"/>
    </w:rPr>
  </w:style>
  <w:style w:type="character" w:customStyle="1" w:styleId="29">
    <w:name w:val="Heading 5 Char"/>
    <w:basedOn w:val="11"/>
    <w:link w:val="6"/>
    <w:semiHidden/>
    <w:qFormat/>
    <w:uiPriority w:val="9"/>
    <w:rPr>
      <w:rFonts w:eastAsiaTheme="majorEastAsia" w:cstheme="majorBidi"/>
      <w:color w:val="2F5597" w:themeColor="accent1" w:themeShade="BF"/>
      <w:lang w:val="en-GB"/>
    </w:rPr>
  </w:style>
  <w:style w:type="character" w:customStyle="1" w:styleId="30">
    <w:name w:val="Heading 6 Char"/>
    <w:basedOn w:val="11"/>
    <w:link w:val="7"/>
    <w:semiHidden/>
    <w:qFormat/>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31">
    <w:name w:val="Heading 7 Char"/>
    <w:basedOn w:val="11"/>
    <w:link w:val="8"/>
    <w:semiHidden/>
    <w:qFormat/>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32">
    <w:name w:val="Heading 8 Char"/>
    <w:basedOn w:val="11"/>
    <w:link w:val="9"/>
    <w:semiHidden/>
    <w:qFormat/>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33">
    <w:name w:val="Heading 9 Char"/>
    <w:basedOn w:val="11"/>
    <w:link w:val="10"/>
    <w:semiHidden/>
    <w:qFormat/>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34">
    <w:name w:val="Subtitle Char"/>
    <w:basedOn w:val="11"/>
    <w:link w:val="18"/>
    <w:qFormat/>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rFonts w:ascii="Times New Roman" w:hAnsi="Times New Roman"/>
      <w:i/>
      <w:iCs/>
      <w:color w:val="404040" w:themeColor="text1" w:themeTint="BF"/>
      <w:lang w:val="en-GB"/>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2F5597" w:themeColor="accent1" w:themeShade="BF"/>
    </w:rPr>
  </w:style>
  <w:style w:type="paragraph" w:styleId="39">
    <w:name w:val="Intense Quote"/>
    <w:basedOn w:val="1"/>
    <w:next w:val="1"/>
    <w:link w:val="40"/>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0">
    <w:name w:val="Intense Quote Char"/>
    <w:basedOn w:val="11"/>
    <w:link w:val="39"/>
    <w:qFormat/>
    <w:uiPriority w:val="30"/>
    <w:rPr>
      <w:rFonts w:ascii="Times New Roman" w:hAnsi="Times New Roman"/>
      <w:i/>
      <w:iCs/>
      <w:color w:val="2F5597" w:themeColor="accent1" w:themeShade="BF"/>
      <w:lang w:val="en-GB"/>
    </w:rPr>
  </w:style>
  <w:style w:type="character" w:customStyle="1" w:styleId="41">
    <w:name w:val="Intense Reference"/>
    <w:basedOn w:val="11"/>
    <w:qFormat/>
    <w:uiPriority w:val="32"/>
    <w:rPr>
      <w:b/>
      <w:bCs/>
      <w:smallCaps/>
      <w:color w:val="2F5597" w:themeColor="accent1" w:themeShade="BF"/>
      <w:spacing w:val="5"/>
    </w:rPr>
  </w:style>
  <w:style w:type="character" w:customStyle="1" w:styleId="42">
    <w:name w:val="Unresolved Mention"/>
    <w:basedOn w:val="11"/>
    <w:semiHidden/>
    <w:unhideWhenUsed/>
    <w:qFormat/>
    <w:uiPriority w:val="99"/>
    <w:rPr>
      <w:color w:val="605E5C"/>
      <w:shd w:val="clear" w:color="auto" w:fill="E1DFDD"/>
    </w:rPr>
  </w:style>
  <w:style w:type="table" w:customStyle="1" w:styleId="43">
    <w:name w:val="Plain Table 1"/>
    <w:basedOn w:val="12"/>
    <w:qFormat/>
    <w:uiPriority w:val="41"/>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customStyle="1" w:styleId="44">
    <w:name w:val="TOC Heading"/>
    <w:basedOn w:val="2"/>
    <w:next w:val="1"/>
    <w:unhideWhenUsed/>
    <w:qFormat/>
    <w:uiPriority w:val="39"/>
    <w:pPr>
      <w:numPr>
        <w:numId w:val="0"/>
      </w:numPr>
      <w:pBdr>
        <w:bottom w:val="none" w:color="auto" w:sz="0" w:space="0"/>
      </w:pBdr>
      <w:shd w:val="clear" w:color="auto" w:fill="auto"/>
      <w:spacing w:before="240" w:line="259" w:lineRule="auto"/>
      <w:outlineLvl w:val="9"/>
    </w:pPr>
    <w:rPr>
      <w:rFonts w:asciiTheme="majorHAnsi" w:hAnsiTheme="majorHAnsi"/>
      <w:b w:val="0"/>
      <w:color w:val="2F5597" w:themeColor="accent1" w:themeShade="BF"/>
      <w:kern w:val="0"/>
      <w:szCs w:val="32"/>
      <w14:ligatures w14:val="none"/>
    </w:rPr>
  </w:style>
  <w:style w:type="character" w:customStyle="1" w:styleId="45">
    <w:name w:val="Header Char"/>
    <w:basedOn w:val="11"/>
    <w:link w:val="16"/>
    <w:qFormat/>
    <w:uiPriority w:val="99"/>
    <w:rPr>
      <w:rFonts w:ascii="Times New Roman" w:hAnsi="Times New Roman"/>
      <w:lang w:val="en-GB"/>
    </w:rPr>
  </w:style>
  <w:style w:type="character" w:customStyle="1" w:styleId="46">
    <w:name w:val="Footer Char"/>
    <w:basedOn w:val="11"/>
    <w:link w:val="15"/>
    <w:qFormat/>
    <w:uiPriority w:val="99"/>
    <w:rPr>
      <w:rFonts w:ascii="Times New Roman" w:hAnsi="Times New Roman"/>
      <w:lang w:val="en-GB"/>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35</Pages>
  <Words>5873</Words>
  <Characters>36196</Characters>
  <Lines>402</Lines>
  <Paragraphs>113</Paragraphs>
  <TotalTime>0</TotalTime>
  <ScaleCrop>false</ScaleCrop>
  <LinksUpToDate>false</LinksUpToDate>
  <CharactersWithSpaces>41911</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2026-03-28T09:29:00Z</dcterms:created>
  <dcterms:modified xsi:type="dcterms:W3CDTF">2026-06-08T07:53:59Z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c6b97ffd-fc65-4925-9787-0a317f89ddaf</vt:lpwstr>
  </property>
  <property fmtid="{D5CDD505-2E9C-101B-9397-08002B2CF9AE}" pid="3" name="KSOTemplateDocerSaveRecord">
    <vt:lpwstr>eyJoZGlkIjoiOTdhNmJjN2FjMjM0MmExNDdkNjFmMTU5MjVhZGU4ZDUiLCJ1c2VySWQiOiIzODY1ODgxNjYwNTYzIn0=</vt:lpwstr>
  </property>
  <property fmtid="{D5CDD505-2E9C-101B-9397-08002B2CF9AE}" pid="4" name="KSOProductBuildVer">
    <vt:lpwstr>1033-12.1.0.26880</vt:lpwstr>
  </property>
  <property fmtid="{D5CDD505-2E9C-101B-9397-08002B2CF9AE}" pid="5" name="ICV">
    <vt:lpwstr>B41D5CF6915E4DE99D84150ED4CDC34B_13</vt:lpwstr>
  </property>
</Properties>
</file>