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C538EE" w14:textId="77777777" w:rsidR="009F3B77" w:rsidRPr="009F3B77" w:rsidRDefault="009F3B77" w:rsidP="009F3B77">
      <w:pPr>
        <w:jc w:val="left"/>
        <w:rPr>
          <w:rFonts w:ascii="Arial" w:hAnsi="Arial"/>
          <w:lang w:val="en-GB"/>
        </w:rPr>
      </w:pPr>
    </w:p>
    <w:p w14:paraId="6225C658" w14:textId="77777777" w:rsidR="009F3B77" w:rsidRPr="009F3B77" w:rsidRDefault="009F3B77" w:rsidP="009F3B77">
      <w:pPr>
        <w:tabs>
          <w:tab w:val="left" w:pos="6432"/>
        </w:tabs>
        <w:rPr>
          <w:rFonts w:asciiTheme="minorBidi" w:hAnsiTheme="minorBidi"/>
          <w:szCs w:val="24"/>
          <w:lang w:val="en-GB"/>
        </w:rPr>
      </w:pPr>
      <w:r w:rsidRPr="009F3B77">
        <w:rPr>
          <w:rFonts w:asciiTheme="minorBidi" w:hAnsiTheme="minorBidi"/>
          <w:b/>
          <w:bCs/>
          <w:szCs w:val="24"/>
          <w:lang w:val="en-GB"/>
        </w:rPr>
        <w:t>Assignment Title</w:t>
      </w:r>
      <w:r w:rsidRPr="009F3B77">
        <w:rPr>
          <w:rFonts w:asciiTheme="minorBidi" w:hAnsiTheme="minorBidi"/>
          <w:szCs w:val="24"/>
          <w:lang w:val="en-GB"/>
        </w:rPr>
        <w:t>: Essay</w:t>
      </w:r>
      <w:r w:rsidRPr="009F3B77">
        <w:rPr>
          <w:rFonts w:asciiTheme="minorBidi" w:hAnsiTheme="minorBidi"/>
          <w:szCs w:val="24"/>
          <w:lang w:val="en-GB"/>
        </w:rPr>
        <w:tab/>
      </w:r>
    </w:p>
    <w:p w14:paraId="5E370D89" w14:textId="08DB608E" w:rsidR="009F3B77" w:rsidRPr="009F3B77" w:rsidRDefault="009F3B77" w:rsidP="009F3B77">
      <w:pPr>
        <w:rPr>
          <w:rFonts w:asciiTheme="minorBidi" w:eastAsia="Calibri" w:hAnsiTheme="minorBidi"/>
          <w:b/>
          <w:bCs/>
          <w:color w:val="000000" w:themeColor="text1"/>
          <w:szCs w:val="24"/>
          <w:u w:val="single"/>
          <w:lang w:val="en-GB"/>
        </w:rPr>
      </w:pPr>
      <w:r w:rsidRPr="009F3B77">
        <w:rPr>
          <w:rFonts w:asciiTheme="minorBidi" w:eastAsia="Calibri" w:hAnsiTheme="minorBidi"/>
          <w:b/>
          <w:bCs/>
          <w:color w:val="000000" w:themeColor="text1"/>
          <w:szCs w:val="24"/>
          <w:lang w:val="en-GB"/>
        </w:rPr>
        <w:t>Name:</w:t>
      </w:r>
      <w:r w:rsidR="00625FC0">
        <w:rPr>
          <w:rFonts w:asciiTheme="minorBidi" w:eastAsia="Calibri" w:hAnsiTheme="minorBidi"/>
          <w:b/>
          <w:bCs/>
          <w:color w:val="000000" w:themeColor="text1"/>
          <w:szCs w:val="24"/>
          <w:lang w:val="en-GB"/>
        </w:rPr>
        <w:t xml:space="preserve"> </w:t>
      </w:r>
      <w:proofErr w:type="spellStart"/>
      <w:r w:rsidRPr="009F3B77">
        <w:rPr>
          <w:rFonts w:asciiTheme="minorBidi" w:eastAsia="Calibri" w:hAnsiTheme="minorBidi"/>
          <w:color w:val="000000" w:themeColor="text1"/>
          <w:szCs w:val="24"/>
          <w:lang w:val="en-GB"/>
        </w:rPr>
        <w:t>Md</w:t>
      </w:r>
      <w:proofErr w:type="spellEnd"/>
      <w:r w:rsidRPr="009F3B77">
        <w:rPr>
          <w:rFonts w:asciiTheme="minorBidi" w:eastAsia="Calibri" w:hAnsiTheme="minorBidi"/>
          <w:color w:val="000000" w:themeColor="text1"/>
          <w:szCs w:val="24"/>
          <w:lang w:val="en-GB"/>
        </w:rPr>
        <w:t xml:space="preserve"> </w:t>
      </w:r>
      <w:proofErr w:type="spellStart"/>
      <w:r w:rsidRPr="009F3B77">
        <w:rPr>
          <w:rFonts w:asciiTheme="minorBidi" w:eastAsia="Calibri" w:hAnsiTheme="minorBidi"/>
          <w:color w:val="000000" w:themeColor="text1"/>
          <w:szCs w:val="24"/>
          <w:lang w:val="en-GB"/>
        </w:rPr>
        <w:t>Mustakim</w:t>
      </w:r>
      <w:proofErr w:type="spellEnd"/>
      <w:r w:rsidRPr="009F3B77">
        <w:rPr>
          <w:rFonts w:asciiTheme="minorBidi" w:eastAsia="Calibri" w:hAnsiTheme="minorBidi"/>
          <w:color w:val="000000" w:themeColor="text1"/>
          <w:szCs w:val="24"/>
          <w:lang w:val="en-GB"/>
        </w:rPr>
        <w:t xml:space="preserve"> Miah </w:t>
      </w:r>
      <w:proofErr w:type="spellStart"/>
      <w:r w:rsidRPr="009F3B77">
        <w:rPr>
          <w:rFonts w:asciiTheme="minorBidi" w:eastAsia="Calibri" w:hAnsiTheme="minorBidi"/>
          <w:color w:val="000000" w:themeColor="text1"/>
          <w:szCs w:val="24"/>
          <w:lang w:val="en-GB"/>
        </w:rPr>
        <w:t>Burhani</w:t>
      </w:r>
      <w:proofErr w:type="spellEnd"/>
      <w:r w:rsidRPr="009F3B77">
        <w:rPr>
          <w:rFonts w:asciiTheme="minorBidi" w:eastAsia="Calibri" w:hAnsiTheme="minorBidi"/>
          <w:color w:val="000000" w:themeColor="text1"/>
          <w:szCs w:val="24"/>
          <w:lang w:val="en-GB"/>
        </w:rPr>
        <w:t xml:space="preserve"> </w:t>
      </w:r>
    </w:p>
    <w:p w14:paraId="010F2C5F" w14:textId="77777777" w:rsidR="009F3B77" w:rsidRPr="009F3B77" w:rsidRDefault="009F3B77" w:rsidP="009F3B77">
      <w:pPr>
        <w:rPr>
          <w:rFonts w:asciiTheme="minorBidi" w:eastAsia="Calibri" w:hAnsiTheme="minorBidi"/>
          <w:color w:val="000000" w:themeColor="text1"/>
          <w:szCs w:val="24"/>
          <w:lang w:val="en-GB"/>
        </w:rPr>
      </w:pPr>
      <w:r w:rsidRPr="009F3B77">
        <w:rPr>
          <w:rFonts w:asciiTheme="minorBidi" w:eastAsia="Calibri" w:hAnsiTheme="minorBidi"/>
          <w:b/>
          <w:bCs/>
          <w:color w:val="000000" w:themeColor="text1"/>
          <w:szCs w:val="24"/>
          <w:lang w:val="en-GB"/>
        </w:rPr>
        <w:t xml:space="preserve">Student Number: </w:t>
      </w:r>
      <w:r w:rsidRPr="009F3B77">
        <w:rPr>
          <w:rFonts w:asciiTheme="minorBidi" w:eastAsia="Calibri" w:hAnsiTheme="minorBidi"/>
          <w:color w:val="000000" w:themeColor="text1"/>
          <w:szCs w:val="24"/>
          <w:lang w:val="en-GB"/>
        </w:rPr>
        <w:t>2246150</w:t>
      </w:r>
    </w:p>
    <w:p w14:paraId="3E25E5B2" w14:textId="77777777" w:rsidR="009F3B77" w:rsidRPr="009F3B77" w:rsidRDefault="009F3B77" w:rsidP="009F3B77">
      <w:pPr>
        <w:rPr>
          <w:rFonts w:asciiTheme="minorBidi" w:hAnsiTheme="minorBidi"/>
          <w:szCs w:val="24"/>
          <w:lang w:val="en-GB"/>
        </w:rPr>
      </w:pPr>
      <w:r w:rsidRPr="009F3B77">
        <w:rPr>
          <w:rFonts w:asciiTheme="minorBidi" w:hAnsiTheme="minorBidi"/>
          <w:b/>
          <w:bCs/>
          <w:szCs w:val="24"/>
          <w:lang w:val="en-GB"/>
        </w:rPr>
        <w:t>Module:</w:t>
      </w:r>
      <w:r w:rsidRPr="009F3B77">
        <w:rPr>
          <w:rFonts w:asciiTheme="minorBidi" w:hAnsiTheme="minorBidi"/>
          <w:szCs w:val="24"/>
          <w:lang w:val="en-GB"/>
        </w:rPr>
        <w:t xml:space="preserve"> </w:t>
      </w:r>
      <w:r w:rsidRPr="009F3B77">
        <w:rPr>
          <w:rFonts w:ascii="Arial" w:hAnsi="Arial"/>
          <w:lang w:val="en-GB"/>
        </w:rPr>
        <w:t xml:space="preserve">Sustainable Hospitality &amp; Tourism Management </w:t>
      </w:r>
    </w:p>
    <w:p w14:paraId="4EE9A572" w14:textId="77777777" w:rsidR="009F3B77" w:rsidRPr="009F3B77" w:rsidRDefault="009F3B77" w:rsidP="009F3B77">
      <w:pPr>
        <w:rPr>
          <w:rFonts w:asciiTheme="minorBidi" w:hAnsiTheme="minorBidi"/>
          <w:szCs w:val="24"/>
          <w:lang w:val="en-GB"/>
        </w:rPr>
      </w:pPr>
      <w:r w:rsidRPr="009F3B77">
        <w:rPr>
          <w:rFonts w:asciiTheme="minorBidi" w:hAnsiTheme="minorBidi"/>
          <w:b/>
          <w:bCs/>
          <w:szCs w:val="24"/>
          <w:lang w:val="en-GB"/>
        </w:rPr>
        <w:t>Module code:</w:t>
      </w:r>
      <w:r w:rsidRPr="009F3B77">
        <w:rPr>
          <w:rFonts w:asciiTheme="minorBidi" w:hAnsiTheme="minorBidi"/>
          <w:szCs w:val="24"/>
          <w:lang w:val="en-GB"/>
        </w:rPr>
        <w:t xml:space="preserve"> BMIH5006</w:t>
      </w:r>
    </w:p>
    <w:p w14:paraId="747CEC2A" w14:textId="77777777" w:rsidR="009F3B77" w:rsidRPr="009F3B77" w:rsidRDefault="009F3B77" w:rsidP="009F3B77">
      <w:pPr>
        <w:rPr>
          <w:rFonts w:asciiTheme="minorBidi" w:eastAsia="Calibri" w:hAnsiTheme="minorBidi"/>
          <w:color w:val="000000" w:themeColor="text1"/>
          <w:szCs w:val="24"/>
          <w:lang w:val="en-GB"/>
        </w:rPr>
      </w:pPr>
      <w:r w:rsidRPr="009F3B77">
        <w:rPr>
          <w:rFonts w:asciiTheme="minorBidi" w:hAnsiTheme="minorBidi"/>
          <w:b/>
          <w:bCs/>
          <w:szCs w:val="24"/>
          <w:lang w:val="en-GB"/>
        </w:rPr>
        <w:t>Programme:</w:t>
      </w:r>
      <w:r w:rsidRPr="009F3B77">
        <w:rPr>
          <w:rFonts w:asciiTheme="minorBidi" w:hAnsiTheme="minorBidi"/>
          <w:szCs w:val="24"/>
          <w:lang w:val="en-GB"/>
        </w:rPr>
        <w:t xml:space="preserve"> BA (Hons) International Hotel Management</w:t>
      </w:r>
    </w:p>
    <w:p w14:paraId="777CFAB8" w14:textId="77777777" w:rsidR="009F3B77" w:rsidRPr="009F3B77" w:rsidRDefault="009F3B77" w:rsidP="009F3B77">
      <w:pPr>
        <w:rPr>
          <w:rFonts w:asciiTheme="minorBidi" w:eastAsia="Calibri" w:hAnsiTheme="minorBidi"/>
          <w:b/>
          <w:bCs/>
          <w:color w:val="000000" w:themeColor="text1"/>
          <w:szCs w:val="24"/>
          <w:lang w:val="en-GB"/>
        </w:rPr>
      </w:pPr>
      <w:r w:rsidRPr="009F3B77">
        <w:rPr>
          <w:rFonts w:asciiTheme="minorBidi" w:eastAsia="Calibri" w:hAnsiTheme="minorBidi"/>
          <w:b/>
          <w:bCs/>
          <w:color w:val="000000" w:themeColor="text1"/>
          <w:szCs w:val="24"/>
          <w:lang w:val="en-GB"/>
        </w:rPr>
        <w:t xml:space="preserve">Lecturer’s Name: </w:t>
      </w:r>
      <w:r w:rsidRPr="009F3B77">
        <w:rPr>
          <w:rFonts w:ascii="Arial" w:hAnsi="Arial"/>
          <w:lang w:val="en-GB"/>
        </w:rPr>
        <w:t>Kathryn Roberts</w:t>
      </w:r>
    </w:p>
    <w:p w14:paraId="10AB619A" w14:textId="77777777" w:rsidR="009F3B77" w:rsidRPr="009F3B77" w:rsidRDefault="009F3B77" w:rsidP="009F3B77">
      <w:pPr>
        <w:rPr>
          <w:rFonts w:asciiTheme="minorBidi" w:hAnsiTheme="minorBidi"/>
          <w:szCs w:val="24"/>
          <w:lang w:val="en-GB"/>
        </w:rPr>
      </w:pPr>
      <w:r w:rsidRPr="009F3B77">
        <w:rPr>
          <w:rFonts w:asciiTheme="minorBidi" w:hAnsiTheme="minorBidi"/>
          <w:b/>
          <w:bCs/>
          <w:szCs w:val="24"/>
          <w:lang w:val="en-GB"/>
        </w:rPr>
        <w:t>Submission deadline:</w:t>
      </w:r>
      <w:r w:rsidRPr="009F3B77">
        <w:rPr>
          <w:rFonts w:asciiTheme="minorBidi" w:hAnsiTheme="minorBidi"/>
          <w:szCs w:val="24"/>
          <w:lang w:val="en-GB"/>
        </w:rPr>
        <w:t xml:space="preserve"> </w:t>
      </w:r>
      <w:r w:rsidRPr="009F3B77">
        <w:rPr>
          <w:rFonts w:ascii="Arial" w:hAnsi="Arial"/>
          <w:lang w:val="en-GB"/>
        </w:rPr>
        <w:t>Friday 7th February 2025</w:t>
      </w:r>
      <w:r w:rsidRPr="009F3B77">
        <w:rPr>
          <w:rFonts w:asciiTheme="minorBidi" w:hAnsiTheme="minorBidi"/>
          <w:szCs w:val="24"/>
          <w:lang w:val="en-GB"/>
        </w:rPr>
        <w:t xml:space="preserve">, 23:59 pm </w:t>
      </w:r>
    </w:p>
    <w:p w14:paraId="19CC150F" w14:textId="77777777" w:rsidR="009F3B77" w:rsidRPr="009F3B77" w:rsidRDefault="009F3B77" w:rsidP="009F3B77">
      <w:pPr>
        <w:rPr>
          <w:rFonts w:asciiTheme="minorBidi" w:hAnsiTheme="minorBidi"/>
          <w:szCs w:val="24"/>
          <w:lang w:val="en-GB"/>
        </w:rPr>
      </w:pPr>
      <w:r w:rsidRPr="009F3B77">
        <w:rPr>
          <w:rFonts w:asciiTheme="minorBidi" w:hAnsiTheme="minorBidi"/>
          <w:b/>
          <w:bCs/>
          <w:szCs w:val="24"/>
          <w:lang w:val="en-GB"/>
        </w:rPr>
        <w:t>Word count (or equivalent):</w:t>
      </w:r>
      <w:r w:rsidRPr="009F3B77">
        <w:rPr>
          <w:rFonts w:asciiTheme="minorBidi" w:hAnsiTheme="minorBidi"/>
          <w:szCs w:val="24"/>
          <w:lang w:val="en-GB"/>
        </w:rPr>
        <w:t xml:space="preserve"> 2000</w:t>
      </w:r>
    </w:p>
    <w:p w14:paraId="45509832" w14:textId="77777777" w:rsidR="009F3B77" w:rsidRPr="009F3B77" w:rsidRDefault="009F3B77" w:rsidP="009F3B77">
      <w:pPr>
        <w:rPr>
          <w:rFonts w:asciiTheme="minorBidi" w:hAnsiTheme="minorBidi"/>
          <w:szCs w:val="24"/>
          <w:lang w:val="en-GB"/>
        </w:rPr>
      </w:pPr>
    </w:p>
    <w:p w14:paraId="3FEB9566" w14:textId="77777777" w:rsidR="009F3B77" w:rsidRPr="009F3B77" w:rsidRDefault="009F3B77" w:rsidP="009F3B77">
      <w:pPr>
        <w:rPr>
          <w:rFonts w:asciiTheme="minorBidi" w:hAnsiTheme="minorBidi"/>
          <w:szCs w:val="24"/>
          <w:lang w:val="en-GB"/>
        </w:rPr>
      </w:pPr>
      <w:r w:rsidRPr="009F3B77">
        <w:rPr>
          <w:rFonts w:asciiTheme="minorBidi" w:hAnsiTheme="minorBidi"/>
          <w:szCs w:val="24"/>
          <w:lang w:val="en-GB"/>
        </w:rPr>
        <w:t xml:space="preserve"> I confirm that I have not presented any AI generated text as my own work </w:t>
      </w:r>
    </w:p>
    <w:p w14:paraId="1C5FA8B3" w14:textId="2FB937F4" w:rsidR="00FA74D5" w:rsidRPr="00E44DD9" w:rsidRDefault="00FA74D5" w:rsidP="00ED3DF3">
      <w:pPr>
        <w:rPr>
          <w:b/>
          <w:bCs/>
          <w:sz w:val="28"/>
          <w:szCs w:val="24"/>
        </w:rPr>
      </w:pPr>
    </w:p>
    <w:p w14:paraId="4599515C" w14:textId="6756A2AE" w:rsidR="00ED3DF3" w:rsidRDefault="00ED3DF3" w:rsidP="00FA74D5">
      <w:pPr>
        <w:jc w:val="center"/>
      </w:pPr>
    </w:p>
    <w:p w14:paraId="2C1676DE" w14:textId="74DADD17" w:rsidR="00FA74D5" w:rsidRDefault="00FA74D5" w:rsidP="00ED3DF3"/>
    <w:p w14:paraId="0B60AF46" w14:textId="1730C3E9" w:rsidR="00FA74D5" w:rsidRDefault="00FA74D5" w:rsidP="00ED3DF3"/>
    <w:p w14:paraId="44D86CF4" w14:textId="3DD8A608" w:rsidR="00FA74D5" w:rsidRDefault="00FA74D5" w:rsidP="00ED3DF3"/>
    <w:p w14:paraId="3B664F22" w14:textId="5EF6971A" w:rsidR="00FA74D5" w:rsidRDefault="00FA74D5" w:rsidP="00ED3DF3"/>
    <w:p w14:paraId="641B9257" w14:textId="005E1315" w:rsidR="00C52B3D" w:rsidRDefault="00C52B3D" w:rsidP="00C52B3D">
      <w:pPr>
        <w:pStyle w:val="TOCHeading"/>
        <w:rPr>
          <w:rFonts w:ascii="Times New Roman" w:eastAsiaTheme="minorHAnsi" w:hAnsi="Times New Roman" w:cstheme="minorBidi"/>
          <w:color w:val="auto"/>
          <w:sz w:val="24"/>
          <w:szCs w:val="22"/>
        </w:rPr>
      </w:pPr>
    </w:p>
    <w:p w14:paraId="340EB58A" w14:textId="77777777" w:rsidR="00C52B3D" w:rsidRPr="00C52B3D" w:rsidRDefault="00C52B3D" w:rsidP="00C52B3D"/>
    <w:p w14:paraId="1D69B62F" w14:textId="7CB09248" w:rsidR="0059353F" w:rsidRPr="00C52B3D" w:rsidRDefault="00E3574E" w:rsidP="00C52B3D">
      <w:r w:rsidRPr="00E3574E">
        <w:lastRenderedPageBreak/>
        <w:t>In accordance with the green practices in the hospitality industry are the ecological, resource efficient and environmentally sustainable technique</w:t>
      </w:r>
      <w:r w:rsidR="009C5290">
        <w:t xml:space="preserve">s that are systematically </w:t>
      </w:r>
      <w:proofErr w:type="spellStart"/>
      <w:r w:rsidR="009C5290">
        <w:t>utilised</w:t>
      </w:r>
      <w:proofErr w:type="spellEnd"/>
      <w:r w:rsidR="009C5290">
        <w:t xml:space="preserve"> for </w:t>
      </w:r>
      <w:proofErr w:type="spellStart"/>
      <w:r w:rsidR="009C5290">
        <w:t>minimis</w:t>
      </w:r>
      <w:r w:rsidRPr="00E3574E">
        <w:t>ing</w:t>
      </w:r>
      <w:proofErr w:type="spellEnd"/>
      <w:r w:rsidRPr="00E3574E">
        <w:t xml:space="preserve"> the impact of natural environment as well as increasing efficiency in operation as well as the satisfaction of guests. Included in these practices are a host of energy conservation, water management, waste reduction, and on the more inventive side, managing food waste. In this day and age of a very environmentally sustainable market, and an environmentally sustainable hotel market, hoteliers are increasingly pressured to adopt such practices for ecological air, to reduce the ecological footprint and to meet the demands of an environmentally aware consu</w:t>
      </w:r>
      <w:r w:rsidR="009C5290">
        <w:t xml:space="preserve">mers. This challenge is </w:t>
      </w:r>
      <w:proofErr w:type="spellStart"/>
      <w:r w:rsidR="009C5290">
        <w:t>epitomis</w:t>
      </w:r>
      <w:r w:rsidRPr="00E3574E">
        <w:t>ed</w:t>
      </w:r>
      <w:proofErr w:type="spellEnd"/>
      <w:r w:rsidRPr="00E3574E">
        <w:t xml:space="preserve"> by the national chain in this category that is internationally renowned under the brand name Holiday Inn. Holiday Inn has adopted green practices in many operational </w:t>
      </w:r>
      <w:r w:rsidR="005919C0" w:rsidRPr="00E3574E">
        <w:t>areas;</w:t>
      </w:r>
      <w:r w:rsidRPr="00E3574E">
        <w:t xml:space="preserve"> however, it is relatively poor in its approach to managing food waste which have a severe environmental impact in terms of greenhouse gas emission resulting from wasting of food </w:t>
      </w:r>
      <w:r w:rsidR="00672A7B" w:rsidRPr="00672A7B">
        <w:t>(</w:t>
      </w:r>
      <w:proofErr w:type="spellStart"/>
      <w:r w:rsidR="00672A7B" w:rsidRPr="00672A7B">
        <w:t>Jauhari</w:t>
      </w:r>
      <w:proofErr w:type="spellEnd"/>
      <w:r w:rsidR="00672A7B" w:rsidRPr="00672A7B">
        <w:t>, 2021)</w:t>
      </w:r>
      <w:r w:rsidRPr="00E3574E">
        <w:t>. This paper presents the creation of an AI powered food waste tracking system at Holiday Inn to bridge this gap. Using real t</w:t>
      </w:r>
      <w:r w:rsidR="00E047BF">
        <w:t xml:space="preserve">ime data to collected and </w:t>
      </w:r>
      <w:proofErr w:type="spellStart"/>
      <w:r w:rsidR="00E047BF">
        <w:t>analys</w:t>
      </w:r>
      <w:r w:rsidRPr="00E3574E">
        <w:t>ed</w:t>
      </w:r>
      <w:proofErr w:type="spellEnd"/>
      <w:r w:rsidRPr="00E3574E">
        <w:t xml:space="preserve"> with advanced</w:t>
      </w:r>
      <w:r w:rsidR="00E047BF">
        <w:t xml:space="preserve"> technologies, the hotel </w:t>
      </w:r>
      <w:proofErr w:type="spellStart"/>
      <w:r w:rsidR="00E047BF">
        <w:t>maximis</w:t>
      </w:r>
      <w:r w:rsidRPr="00E3574E">
        <w:t>es</w:t>
      </w:r>
      <w:proofErr w:type="spellEnd"/>
      <w:r w:rsidRPr="00E3574E">
        <w:t xml:space="preserve"> its food service operation, reduces waste, and gains cost savings while advancing toward the broader sustainability vision of Sustainable Development Goal 12.3 that seeks to cut in half food waste by 2030 (United Nations, 2015).</w:t>
      </w:r>
    </w:p>
    <w:p w14:paraId="2C659362" w14:textId="77777777" w:rsidR="00E3574E" w:rsidRDefault="00E3574E">
      <w:pPr>
        <w:spacing w:line="259" w:lineRule="auto"/>
        <w:jc w:val="left"/>
        <w:rPr>
          <w:b/>
          <w:bCs/>
        </w:rPr>
      </w:pPr>
      <w:r>
        <w:rPr>
          <w:b/>
          <w:bCs/>
        </w:rPr>
        <w:br w:type="page"/>
      </w:r>
    </w:p>
    <w:p w14:paraId="4B6FB83B" w14:textId="51AD9560" w:rsidR="0059353F" w:rsidRPr="00590F30" w:rsidRDefault="0059353F" w:rsidP="00590F30">
      <w:pPr>
        <w:rPr>
          <w:b/>
          <w:bCs/>
        </w:rPr>
      </w:pPr>
      <w:r w:rsidRPr="00590F30">
        <w:lastRenderedPageBreak/>
        <w:t>The Importance of Green Practices in Hospitality</w:t>
      </w:r>
      <w:r w:rsidR="00590F30" w:rsidRPr="00590F30">
        <w:t>;</w:t>
      </w:r>
      <w:r w:rsidR="00590F30">
        <w:t xml:space="preserve"> </w:t>
      </w:r>
      <w:r w:rsidR="00E3574E" w:rsidRPr="00E3574E">
        <w:t>Green practices in hospitality are not just about cost saving, it goes beyond and is an essential part of the larger causes of environmental stewardship. Sustainable practices, when implemented in hotels, are important because they can contribute to reductions of operational cost, brand reputation and guest satisfaction, and because they serve as an engine to provide a voice during the ‘green’ transition and anticipate the end users’ demand (Jones et al., 2016). On a more specific note, this includes reducing how much food is wasted. Other than revenue loss, discarded food does not go wasted, it causes environmental pollution by releasing methane—a potent greenhouse gas—from decomposing organic waste in landfills by the Environmental Protection Agency (EPA, 2021). Therefore, it is necessary to take a proactive and technologically advanced stance to managing food waste that encompasses issues of environment, social, and economy.</w:t>
      </w:r>
    </w:p>
    <w:p w14:paraId="29FE9AE2" w14:textId="29E868D6" w:rsidR="0059353F" w:rsidRPr="00826E1B" w:rsidRDefault="0059353F" w:rsidP="00826E1B">
      <w:pPr>
        <w:rPr>
          <w:b/>
          <w:bCs/>
        </w:rPr>
      </w:pPr>
      <w:r w:rsidRPr="00826E1B">
        <w:t>Identifying the Gap at Holiday Inn</w:t>
      </w:r>
      <w:r w:rsidR="00826E1B">
        <w:rPr>
          <w:b/>
          <w:bCs/>
        </w:rPr>
        <w:t xml:space="preserve">; </w:t>
      </w:r>
      <w:r w:rsidR="00E3574E" w:rsidRPr="00E3574E">
        <w:t xml:space="preserve">However, Holiday Inn’s food waste management processes for now are still lagging behind the company’s commitment towards sustainability in a wide range of areas. At the moment, Holiday Inn follows the standard line of waste disposal and recycling, that helps, but does not tackle the case of the feeding waste. With no 'dynamic' technology driven system it does not identify and correct any inefficiencies in the preparation, storage and service of meals. The missing of this sustainability framework results not only in higher operating costs which is attributable, therefore, to wasted resources, but also impacts negatively on the hotel’s environmental credentials. Pirani and Arafat (2016) and </w:t>
      </w:r>
      <w:proofErr w:type="spellStart"/>
      <w:r w:rsidR="00E3574E" w:rsidRPr="00E3574E">
        <w:t>Filimonau</w:t>
      </w:r>
      <w:proofErr w:type="spellEnd"/>
      <w:r w:rsidR="00E3574E" w:rsidRPr="00E3574E">
        <w:t xml:space="preserve"> et al. (2020) have been researching the integration of </w:t>
      </w:r>
      <w:r w:rsidR="00A46E0C" w:rsidRPr="00E3574E">
        <w:t>high-quality</w:t>
      </w:r>
      <w:r w:rsidR="00E3574E" w:rsidRPr="00E3574E">
        <w:t xml:space="preserve"> advanced monitoring systems which can markedly reduce food waste generation in the hospitality industry. Thus, Holiday Inn can be significantly benefited from deployment of an AI driven food waste tracking system.</w:t>
      </w:r>
    </w:p>
    <w:p w14:paraId="58497CB6" w14:textId="6C2752D0" w:rsidR="00136F1A" w:rsidRDefault="0059353F" w:rsidP="00826E1B">
      <w:r w:rsidRPr="00826E1B">
        <w:t>Proposed Solution: AI-Powered Food Waste Tracking System</w:t>
      </w:r>
      <w:r w:rsidR="00826E1B">
        <w:rPr>
          <w:b/>
          <w:bCs/>
        </w:rPr>
        <w:t xml:space="preserve">; </w:t>
      </w:r>
      <w:r w:rsidR="00136F1A">
        <w:t xml:space="preserve">For the solution of Holiday Inn, proposed is an integration of an AI delivered food waste tracking system. In order to upscale this system to detect food waste in various stages of hotel operations, such as kitchen preparation, service, and disposal, we have </w:t>
      </w:r>
      <w:proofErr w:type="spellStart"/>
      <w:r w:rsidR="00136F1A">
        <w:t>ut</w:t>
      </w:r>
      <w:r w:rsidR="00670FF3">
        <w:t>ilis</w:t>
      </w:r>
      <w:r w:rsidR="00136F1A">
        <w:t>ed</w:t>
      </w:r>
      <w:proofErr w:type="spellEnd"/>
      <w:r w:rsidR="00136F1A">
        <w:t xml:space="preserve"> state-of-the-art sensors, data analytics, and machine learning algorithms. The system captures real time data so that the hotel can take informed decisions based on data as to where and why food waste occurs helping the hotel plan menus, control portions and manage inventories (Winnow, 2023).</w:t>
      </w:r>
    </w:p>
    <w:p w14:paraId="0E6A805F" w14:textId="77777777" w:rsidR="00F50A07" w:rsidRPr="00826E1B" w:rsidRDefault="00F50A07" w:rsidP="00826E1B">
      <w:pPr>
        <w:rPr>
          <w:b/>
          <w:bCs/>
        </w:rPr>
      </w:pPr>
    </w:p>
    <w:p w14:paraId="03826992" w14:textId="19AC9586" w:rsidR="0059353F" w:rsidRPr="00F50A07" w:rsidRDefault="00136F1A" w:rsidP="00F50A07">
      <w:pPr>
        <w:rPr>
          <w:b/>
          <w:bCs/>
        </w:rPr>
      </w:pPr>
      <w:r>
        <w:lastRenderedPageBreak/>
        <w:t>The main operational advantage of this system is its capability to identify kind of inefficiencies in the food preparation and service process. For illustratio</w:t>
      </w:r>
      <w:r w:rsidR="00FB4078">
        <w:t xml:space="preserve">n, historical data can be </w:t>
      </w:r>
      <w:proofErr w:type="spellStart"/>
      <w:r w:rsidR="00FB4078">
        <w:t>analys</w:t>
      </w:r>
      <w:r>
        <w:t>ed</w:t>
      </w:r>
      <w:proofErr w:type="spellEnd"/>
      <w:r>
        <w:t xml:space="preserve"> together with real time location occupancy rates for more precise prediction of daily food requirements, thereby reducing the risk of preparation of more food than needed, as well as its spoilage (</w:t>
      </w:r>
      <w:proofErr w:type="spellStart"/>
      <w:r>
        <w:t>Okumus</w:t>
      </w:r>
      <w:proofErr w:type="spellEnd"/>
      <w:r>
        <w:t xml:space="preserve"> et al., 2018). This predictive capability not only eliminates waste, but also cuts down procurement and inventory management processes, besides reducing food costs and cut down on waste disposal charges. In addition, the system identifies patterns that may signal underlying systemic issues, like repeated over production during peak periods and interventions aimed at addressing the same situation on a continuous process improvement basis.</w:t>
      </w:r>
    </w:p>
    <w:p w14:paraId="5CA6E164" w14:textId="27AB76D8" w:rsidR="00F061A1" w:rsidRPr="00212CF4" w:rsidRDefault="00F061A1" w:rsidP="00212CF4">
      <w:pPr>
        <w:rPr>
          <w:b/>
          <w:bCs/>
        </w:rPr>
      </w:pPr>
      <w:r>
        <w:t>From a perspective of the environment, reducing food waste is as important as any other way. A significant amount of food produced across the world goes to waste, according to the Food and Agriculture Organization (FAO</w:t>
      </w:r>
      <w:r w:rsidR="00E44DD9">
        <w:t>)</w:t>
      </w:r>
      <w:r>
        <w:t xml:space="preserve"> </w:t>
      </w:r>
      <w:r w:rsidR="00E44DD9">
        <w:t>(</w:t>
      </w:r>
      <w:r>
        <w:t>2021) that decomposes the resource and emits unnecessary greenhouse gas emissions. By reducing the amount of food that goes to waste, Holiday Inn can reduce the amount of organic waste that lands in landfills, therefore reduce the amount of methane emissions in the air and ultimately Holiday Inn’s carbon footprint will decrease (EPA, 2021). This contributes to global efforts to reduce emissions in order to mitigate climate change and is consistent with the UNFCCC’s environmental sustainability targets.</w:t>
      </w:r>
    </w:p>
    <w:p w14:paraId="7E60ACB5" w14:textId="505FCCB1" w:rsidR="0059353F" w:rsidRPr="00BE7872" w:rsidRDefault="00F061A1" w:rsidP="00BE7872">
      <w:pPr>
        <w:rPr>
          <w:b/>
          <w:bCs/>
        </w:rPr>
      </w:pPr>
      <w:r>
        <w:t xml:space="preserve">The investment in an AI powered food waste tracking system is economical due to the </w:t>
      </w:r>
      <w:r w:rsidR="00E44DD9">
        <w:t>long-term</w:t>
      </w:r>
      <w:r>
        <w:t xml:space="preserve"> cost saving it will generate. According to WRI (2019), in high volume operations, such as hotels, food waste reduction represents significant savings. While the initial investment in such a system is high, this is offset by the reduction in the food procurement costs, waste management fees and potentially access to green funding or subsidies (as detailed by the UK Government’s Net Zero Strategy, 2021) that can be achieved over time. In addition, a higher return on investment (ROI) can be achieved as the resources saved can be diverted to other areas of the hotel’s sustainability agenda that may be critical.</w:t>
      </w:r>
    </w:p>
    <w:p w14:paraId="54AC12B5" w14:textId="2CCA0639" w:rsidR="00F9104E" w:rsidRPr="00BE7872" w:rsidRDefault="0059353F" w:rsidP="00BE7872">
      <w:pPr>
        <w:rPr>
          <w:b/>
          <w:bCs/>
        </w:rPr>
      </w:pPr>
      <w:r w:rsidRPr="00BE7872">
        <w:t>Challenges and Mitigation Strategies</w:t>
      </w:r>
      <w:r w:rsidR="00BE7872">
        <w:rPr>
          <w:b/>
          <w:bCs/>
        </w:rPr>
        <w:t xml:space="preserve">; </w:t>
      </w:r>
      <w:r w:rsidR="00F9104E">
        <w:t>However, the issues of an AI based food waste tracking system are several. The other main problem is the high initial cost of the technology, including the costs associated with hardware, software and the costs of staff training (</w:t>
      </w:r>
      <w:proofErr w:type="spellStart"/>
      <w:r w:rsidR="00F9104E">
        <w:t>Kirchherr</w:t>
      </w:r>
      <w:proofErr w:type="spellEnd"/>
      <w:r w:rsidR="00F9104E">
        <w:t xml:space="preserve"> et al., 2017). Secondly, our existing legacy systems are not easy to integrate with the new software. It cancels integral worked processes. To deal with these shortcomings, Holiday Inn can follow a phased </w:t>
      </w:r>
      <w:r w:rsidR="00F9104E">
        <w:lastRenderedPageBreak/>
        <w:t>implementation strategy whereby it begins with a pilot program at a confined number of outlets. The system can also be tuned well by the hotel, staffs can also be trained gradually, and the benefits can also be measured before a complete roll out (</w:t>
      </w:r>
      <w:proofErr w:type="spellStart"/>
      <w:r w:rsidR="00F9104E">
        <w:t>Teng</w:t>
      </w:r>
      <w:proofErr w:type="spellEnd"/>
      <w:r w:rsidR="00F9104E">
        <w:t>, et al., 2021).</w:t>
      </w:r>
    </w:p>
    <w:p w14:paraId="3AA25B4E" w14:textId="1E23C1AC" w:rsidR="0059353F" w:rsidRDefault="00F9104E" w:rsidP="00F9104E">
      <w:r>
        <w:t>The second challenge is accuracy and integrity of the data. The outcome of the AI system depends on the quality of data gathered from different sources. To ensure that the generated unknowns are reliable and actionable, monitoring and calibration of sensors as well as rigorous data validation protocols must be established in regular maintenance</w:t>
      </w:r>
      <w:r w:rsidR="00603A69">
        <w:t xml:space="preserve"> </w:t>
      </w:r>
      <w:r w:rsidR="00603A69" w:rsidRPr="00603A69">
        <w:t>(</w:t>
      </w:r>
      <w:proofErr w:type="spellStart"/>
      <w:r w:rsidR="00603A69" w:rsidRPr="00603A69">
        <w:t>Okumus</w:t>
      </w:r>
      <w:proofErr w:type="spellEnd"/>
      <w:r w:rsidR="00603A69" w:rsidRPr="00603A69">
        <w:t xml:space="preserve"> et al., 2018)</w:t>
      </w:r>
      <w:r>
        <w:t>. Data privacy and cybersecurity are equally important, and especially with the necessity of working with operational data this comes at the forefront of concentration. Potential breaches can be safeguarded by following the industry best practices and compliance with data protection regulations (</w:t>
      </w:r>
      <w:proofErr w:type="spellStart"/>
      <w:r>
        <w:t>Gössling</w:t>
      </w:r>
      <w:proofErr w:type="spellEnd"/>
      <w:r>
        <w:t xml:space="preserve"> et al., 2020).</w:t>
      </w:r>
    </w:p>
    <w:p w14:paraId="5CC9AEF0" w14:textId="77777777" w:rsidR="00A67858" w:rsidRPr="0059353F" w:rsidRDefault="00A67858" w:rsidP="00F9104E"/>
    <w:p w14:paraId="39BF0604" w14:textId="4699D314" w:rsidR="00F9104E" w:rsidRDefault="00F9104E" w:rsidP="0026234D">
      <w:r>
        <w:t xml:space="preserve">The proposed initiative can be examined using the Diffusion of Innovations model (Rogers, 2003), as well as the Technology–Organization–Environment (TOE) framework. Within </w:t>
      </w:r>
      <w:r w:rsidR="002D307D">
        <w:t>the Diffusion of Innovations model framework, we stress the determinant factors such as the relative advantage, compatibility, complexity, and observability for adopting</w:t>
      </w:r>
      <w:r>
        <w:t xml:space="preserve"> new technologies. For the adoption of the AI system, Holiday Inn has </w:t>
      </w:r>
      <w:r w:rsidR="002D307D">
        <w:t>a</w:t>
      </w:r>
      <w:r>
        <w:t xml:space="preserve"> clear relative advantage, i.e., the large reduction in food waste and therefore, the economic savings. Phased implementation and a high degree of staff training </w:t>
      </w:r>
      <w:r w:rsidR="0026234D">
        <w:t>address</w:t>
      </w:r>
      <w:r>
        <w:t xml:space="preserve"> compatibility issues with existing systems </w:t>
      </w:r>
      <w:r w:rsidR="0026234D">
        <w:t>and</w:t>
      </w:r>
      <w:r>
        <w:t xml:space="preserve"> complexity by breaking the adoption process into stages that can be easily managed without undue complexity.</w:t>
      </w:r>
    </w:p>
    <w:p w14:paraId="7D48BD79" w14:textId="20E2BB55" w:rsidR="0059353F" w:rsidRPr="0059353F" w:rsidRDefault="00F9104E" w:rsidP="00F9104E">
      <w:r>
        <w:t>In addition, the TOE framework describes the multiple dimensions in which technology adoption is influenced. The AI system has to be robust, accurate and easily integrated into current oper</w:t>
      </w:r>
      <w:r w:rsidR="0026234D">
        <w:t xml:space="preserve">ations. How ready is the </w:t>
      </w:r>
      <w:proofErr w:type="spellStart"/>
      <w:r w:rsidR="0026234D">
        <w:t>organis</w:t>
      </w:r>
      <w:r>
        <w:t>ation</w:t>
      </w:r>
      <w:proofErr w:type="spellEnd"/>
      <w:r>
        <w:t xml:space="preserve"> to change, and procure the right support, from their Senior Management? Such an impetus for innovative solutions in decision problems of sustainable practices is generated externally by environmentally increasing regulatory pressures and consumer demand such as the decrease in the use of fossil fuels (</w:t>
      </w:r>
      <w:proofErr w:type="spellStart"/>
      <w:r>
        <w:t>Gössling</w:t>
      </w:r>
      <w:proofErr w:type="spellEnd"/>
      <w:r>
        <w:t xml:space="preserve"> et al., 2020). Fostering an ecosystem for successful implementation of the proposed food waste tracking system through technological capabilities and environmental impe</w:t>
      </w:r>
      <w:r w:rsidR="0026234D">
        <w:t xml:space="preserve">ratives and, configuring </w:t>
      </w:r>
      <w:proofErr w:type="spellStart"/>
      <w:r w:rsidR="0026234D">
        <w:t>organis</w:t>
      </w:r>
      <w:r>
        <w:t>ational</w:t>
      </w:r>
      <w:proofErr w:type="spellEnd"/>
      <w:r>
        <w:t xml:space="preserve"> commitment to enabling it, Holiday Inn can do so by aligning technological capabilities, </w:t>
      </w:r>
      <w:proofErr w:type="spellStart"/>
      <w:r w:rsidR="0026234D">
        <w:t>organis</w:t>
      </w:r>
      <w:r>
        <w:t>ational</w:t>
      </w:r>
      <w:proofErr w:type="spellEnd"/>
      <w:r>
        <w:t xml:space="preserve"> commitment, and environmental imperatives.</w:t>
      </w:r>
    </w:p>
    <w:p w14:paraId="2A3EA831" w14:textId="79F98E3C" w:rsidR="0059353F" w:rsidRPr="00EE6A96" w:rsidRDefault="009026EC" w:rsidP="00EE6A96">
      <w:pPr>
        <w:rPr>
          <w:b/>
          <w:bCs/>
        </w:rPr>
      </w:pPr>
      <w:r w:rsidRPr="009026EC">
        <w:lastRenderedPageBreak/>
        <w:t>Several case studies in the hospitality industry bring out how AI based waste management system is viable. For instance, IHG’s Green Engage system and Hilton’s Food Waste Reduction Program are shown to have measurable reduction in food waste and operations costs that made IHG and Hilton as examples of successful technology integration (IHG, 2022; Hilton, 2021). Besides saving cost, these have improved the hotel brands' environmental and social credentials. With these successful models, Holiday Inn can adopt adapted measures for its operational context to make the approach to food waste management innovative and effective. Furthermore, the lessons learned from these examples can be used to avoid possible implementation obstacles and frame a way to measure success in terms of sustainability outcomes.</w:t>
      </w:r>
    </w:p>
    <w:p w14:paraId="1FF69BBA" w14:textId="77777777" w:rsidR="00853632" w:rsidRDefault="00853632" w:rsidP="0059353F">
      <w:pPr>
        <w:rPr>
          <w:b/>
          <w:bCs/>
        </w:rPr>
      </w:pPr>
    </w:p>
    <w:p w14:paraId="11348E58" w14:textId="6D1B5683" w:rsidR="002E4710" w:rsidRPr="0059353F" w:rsidRDefault="002E4710" w:rsidP="0059353F">
      <w:r>
        <w:t>I</w:t>
      </w:r>
      <w:r w:rsidRPr="002E4710">
        <w:t>mplementation of the AI powered food waste tracking system to be effective, and an effective implementation roadmap is needed to achieve it. First, Holiday Inn should conduct a comprehensive audit or baseline study that will reveal the current level of food waste and identify those operating areas that need urgent corrective action. In other words, the initial phase will be a first benchmark for further improvements to come</w:t>
      </w:r>
      <w:r w:rsidR="00C12574">
        <w:t xml:space="preserve"> </w:t>
      </w:r>
      <w:r w:rsidR="00C12574" w:rsidRPr="00C12574">
        <w:t>(</w:t>
      </w:r>
      <w:proofErr w:type="spellStart"/>
      <w:r w:rsidR="00C12574" w:rsidRPr="00C12574">
        <w:t>Korstanje</w:t>
      </w:r>
      <w:proofErr w:type="spellEnd"/>
      <w:r w:rsidR="00C12574" w:rsidRPr="00C12574">
        <w:t xml:space="preserve"> and </w:t>
      </w:r>
      <w:proofErr w:type="spellStart"/>
      <w:r w:rsidR="00C12574" w:rsidRPr="00C12574">
        <w:t>Nedelea</w:t>
      </w:r>
      <w:proofErr w:type="spellEnd"/>
      <w:r w:rsidR="00C12574" w:rsidRPr="00C12574">
        <w:t>, 2020)</w:t>
      </w:r>
      <w:r w:rsidRPr="002E4710">
        <w:t>. After the audit, a pilot program should be launched in a small group of outlets in which the hotel will make a trial run of the tool in a controlled environment. During this, the pilot phase, system and algorithmic development and refinement, as well as the development of operational protocols will come from detailed data collection and analysis, which will guide development and refinement of the system. At the same time, the staff must receive extremely comprehensive training sessions to teach a culture of sustainability and make sure that everybody understands the new technology</w:t>
      </w:r>
      <w:r w:rsidR="006F08CB">
        <w:t xml:space="preserve"> </w:t>
      </w:r>
      <w:r w:rsidR="006F08CB" w:rsidRPr="006F08CB">
        <w:t>(</w:t>
      </w:r>
      <w:proofErr w:type="spellStart"/>
      <w:r w:rsidR="006F08CB" w:rsidRPr="006F08CB">
        <w:t>Gössling</w:t>
      </w:r>
      <w:proofErr w:type="spellEnd"/>
      <w:r w:rsidR="006F08CB" w:rsidRPr="006F08CB">
        <w:t xml:space="preserve"> et al., 2020)</w:t>
      </w:r>
      <w:r w:rsidRPr="002E4710">
        <w:t xml:space="preserve">. However, engagement with frontline staff will be especially key as they are in the best position to provide feedback around the functionality to the system and ideate improvements that seem practical. And when that’s proven, Holiday Inn moves to a phased rollout of the pilot to all properties. Regular audits and </w:t>
      </w:r>
      <w:r w:rsidR="007176EC" w:rsidRPr="002E4710">
        <w:t>continuous</w:t>
      </w:r>
      <w:r w:rsidRPr="002E4710">
        <w:t xml:space="preserve"> s monitoring will be necessary to keep system accurate, meet continuous food waste reduction targets, and to find more opportunities for improvement.</w:t>
      </w:r>
    </w:p>
    <w:p w14:paraId="4A012A7A" w14:textId="77777777" w:rsidR="009026EC" w:rsidRDefault="009026EC">
      <w:pPr>
        <w:spacing w:line="259" w:lineRule="auto"/>
        <w:jc w:val="left"/>
        <w:rPr>
          <w:b/>
          <w:bCs/>
        </w:rPr>
      </w:pPr>
      <w:r>
        <w:rPr>
          <w:b/>
          <w:bCs/>
        </w:rPr>
        <w:br w:type="page"/>
      </w:r>
    </w:p>
    <w:p w14:paraId="35F83A61" w14:textId="2794A0DD" w:rsidR="0059353F" w:rsidRPr="0059353F" w:rsidRDefault="009026EC" w:rsidP="00DB6AC5">
      <w:r w:rsidRPr="009026EC">
        <w:lastRenderedPageBreak/>
        <w:t xml:space="preserve">Finally, </w:t>
      </w:r>
      <w:r w:rsidR="009D21BB">
        <w:t xml:space="preserve">the </w:t>
      </w:r>
      <w:r w:rsidRPr="009026EC">
        <w:t xml:space="preserve">integration of an </w:t>
      </w:r>
      <w:r w:rsidR="009D21BB">
        <w:t>AI-powered</w:t>
      </w:r>
      <w:r w:rsidRPr="009026EC">
        <w:t xml:space="preserve"> food waste tracking system at Holiday Inn is an opportunity that has the ability to practically fill a key sustainability gap at a hotel. Advanced technologies allow Holiday Inn to monitor and analyze food waste in </w:t>
      </w:r>
      <w:r w:rsidR="009D21BB">
        <w:t>real-time</w:t>
      </w:r>
      <w:r w:rsidRPr="009026EC">
        <w:t xml:space="preserve"> by doing the following: reducing waste generation, achieving cost savings</w:t>
      </w:r>
      <w:r w:rsidR="006710DC">
        <w:t>,</w:t>
      </w:r>
      <w:r w:rsidRPr="009026EC">
        <w:t xml:space="preserve"> and reducing energy consumption. This initiative benefits from the Triple Bottom Line framework and provides broader benefits for SDG 12.3, as its economic and operational benefits and environmental stewardship are mutually reinforcing</w:t>
      </w:r>
      <w:r w:rsidR="00C12574">
        <w:t xml:space="preserve"> </w:t>
      </w:r>
      <w:r w:rsidR="00C12574" w:rsidRPr="00C12574">
        <w:t>(Costa and Costa, 2022)</w:t>
      </w:r>
      <w:r w:rsidRPr="009026EC">
        <w:t xml:space="preserve">. Despite such challenges as in the areas of investment, system integration, data quality, and staff adaptation, they are manageable through phased implementation, </w:t>
      </w:r>
      <w:r w:rsidR="00DB6AC5">
        <w:t>well-designed</w:t>
      </w:r>
      <w:r w:rsidRPr="009026EC">
        <w:t xml:space="preserve"> training programs, and strict adherence to industry best practices</w:t>
      </w:r>
      <w:r w:rsidR="00603A69">
        <w:t xml:space="preserve"> </w:t>
      </w:r>
      <w:r w:rsidR="00603A69" w:rsidRPr="00603A69">
        <w:t>(</w:t>
      </w:r>
      <w:proofErr w:type="spellStart"/>
      <w:r w:rsidR="00603A69" w:rsidRPr="00603A69">
        <w:t>Okumus</w:t>
      </w:r>
      <w:proofErr w:type="spellEnd"/>
      <w:r w:rsidR="00603A69" w:rsidRPr="00603A69">
        <w:t xml:space="preserve"> et al., 2018)</w:t>
      </w:r>
      <w:r w:rsidRPr="009026EC">
        <w:t xml:space="preserve">. Based on theoretical models such as </w:t>
      </w:r>
      <w:r w:rsidR="00DB6AC5">
        <w:t xml:space="preserve">the </w:t>
      </w:r>
      <w:r w:rsidRPr="009026EC">
        <w:t xml:space="preserve">Diffusion of Innovations model and Technology Organization Environment model along with successful case studies, this essay shows that the proposed </w:t>
      </w:r>
      <w:r w:rsidR="00DB6AC5">
        <w:t>AI-powered</w:t>
      </w:r>
      <w:r w:rsidRPr="009026EC">
        <w:t xml:space="preserve"> food waste tracking system is a very feasible as well as a </w:t>
      </w:r>
      <w:r w:rsidR="00DB6AC5">
        <w:t>strategically</w:t>
      </w:r>
      <w:r w:rsidRPr="009026EC">
        <w:t xml:space="preserve"> sound solution for Holiday Inn. With expanding </w:t>
      </w:r>
      <w:r w:rsidR="00DB6AC5">
        <w:t>eco-consciousness</w:t>
      </w:r>
      <w:r w:rsidRPr="009026EC">
        <w:t xml:space="preserve"> and a vulnerable market, Holiday Inn has to embrace such innovative technologies to secure </w:t>
      </w:r>
      <w:r w:rsidR="00DB6AC5">
        <w:t xml:space="preserve">a </w:t>
      </w:r>
      <w:bookmarkStart w:id="0" w:name="_GoBack"/>
      <w:bookmarkEnd w:id="0"/>
      <w:r w:rsidRPr="009026EC">
        <w:t>competitive advantage.</w:t>
      </w:r>
    </w:p>
    <w:p w14:paraId="587D3A92" w14:textId="77777777" w:rsidR="006F08CB" w:rsidRDefault="006F08CB">
      <w:pPr>
        <w:spacing w:line="259" w:lineRule="auto"/>
        <w:jc w:val="left"/>
        <w:rPr>
          <w:rFonts w:eastAsiaTheme="majorEastAsia" w:cstheme="majorBidi"/>
          <w:b/>
          <w:color w:val="000000" w:themeColor="text1"/>
          <w:sz w:val="32"/>
          <w:szCs w:val="32"/>
        </w:rPr>
      </w:pPr>
      <w:r>
        <w:br w:type="page"/>
      </w:r>
    </w:p>
    <w:p w14:paraId="0EE478C1" w14:textId="29345A69" w:rsidR="0059353F" w:rsidRPr="0059353F" w:rsidRDefault="0059353F" w:rsidP="006F08CB">
      <w:pPr>
        <w:pStyle w:val="Heading1"/>
      </w:pPr>
      <w:bookmarkStart w:id="1" w:name="_Toc189513989"/>
      <w:r w:rsidRPr="0059353F">
        <w:lastRenderedPageBreak/>
        <w:t>References</w:t>
      </w:r>
      <w:bookmarkEnd w:id="1"/>
    </w:p>
    <w:p w14:paraId="79D46173" w14:textId="75C75D6E" w:rsidR="00C12574" w:rsidRPr="0059353F" w:rsidRDefault="00A75B81" w:rsidP="0059353F">
      <w:r>
        <w:t>1.</w:t>
      </w:r>
      <w:r w:rsidR="00C12574" w:rsidRPr="0059353F">
        <w:t xml:space="preserve">Carbon Trust (2021) </w:t>
      </w:r>
      <w:r w:rsidR="00C12574" w:rsidRPr="0059353F">
        <w:rPr>
          <w:i/>
          <w:iCs/>
        </w:rPr>
        <w:t>Energy Efficiency in Hotels: Best Practices</w:t>
      </w:r>
      <w:r w:rsidR="00C12574" w:rsidRPr="0059353F">
        <w:t xml:space="preserve">. Available at: </w:t>
      </w:r>
      <w:hyperlink r:id="rId8" w:tgtFrame="_new" w:history="1">
        <w:r w:rsidR="00C12574" w:rsidRPr="0059353F">
          <w:rPr>
            <w:rStyle w:val="Hyperlink"/>
          </w:rPr>
          <w:t>https://www.carbontrust.com/resources/energy-efficiency-in-hotels</w:t>
        </w:r>
      </w:hyperlink>
      <w:r w:rsidR="00C12574" w:rsidRPr="0059353F">
        <w:t xml:space="preserve"> (Accessed: 15 </w:t>
      </w:r>
      <w:r w:rsidR="00C12574">
        <w:t>Jan</w:t>
      </w:r>
      <w:r w:rsidR="00C12574" w:rsidRPr="0059353F">
        <w:t xml:space="preserve"> 2024).</w:t>
      </w:r>
    </w:p>
    <w:p w14:paraId="63AB7C0D" w14:textId="3217EB34" w:rsidR="00C12574" w:rsidRPr="006776AC" w:rsidRDefault="00A75B81" w:rsidP="006776AC">
      <w:r>
        <w:t>2.</w:t>
      </w:r>
      <w:r w:rsidR="00C12574" w:rsidRPr="006776AC">
        <w:t xml:space="preserve">Cooper, C. (2021) </w:t>
      </w:r>
      <w:r w:rsidR="00C12574" w:rsidRPr="006776AC">
        <w:rPr>
          <w:i/>
          <w:iCs/>
        </w:rPr>
        <w:t>Essentials of Tourism</w:t>
      </w:r>
      <w:r w:rsidR="00C12574" w:rsidRPr="006776AC">
        <w:t>. 3rd ed. London: SAGE.</w:t>
      </w:r>
    </w:p>
    <w:p w14:paraId="44C2E18E" w14:textId="49043709" w:rsidR="00C12574" w:rsidRPr="006776AC" w:rsidRDefault="00A75B81" w:rsidP="006776AC">
      <w:r>
        <w:t>3.</w:t>
      </w:r>
      <w:r w:rsidR="00C12574" w:rsidRPr="006776AC">
        <w:t xml:space="preserve">Costa, C. and Costa, C. (2022) </w:t>
      </w:r>
      <w:r w:rsidR="00C12574" w:rsidRPr="006776AC">
        <w:rPr>
          <w:i/>
          <w:iCs/>
        </w:rPr>
        <w:t>Sustainability and Competitiveness in the Hospitality Industry</w:t>
      </w:r>
      <w:r w:rsidR="00C12574" w:rsidRPr="006776AC">
        <w:t>. ed. by Costa, C. and Costa, C. London: Business Science Reference.</w:t>
      </w:r>
    </w:p>
    <w:p w14:paraId="0353CE78" w14:textId="2DB5CCC2" w:rsidR="00C12574" w:rsidRPr="0059353F" w:rsidRDefault="00A75B81" w:rsidP="0059353F">
      <w:r>
        <w:t>4.</w:t>
      </w:r>
      <w:r w:rsidR="00C12574" w:rsidRPr="0059353F">
        <w:t xml:space="preserve">Elkington, J. (1997) </w:t>
      </w:r>
      <w:r w:rsidR="00C12574" w:rsidRPr="0059353F">
        <w:rPr>
          <w:i/>
          <w:iCs/>
        </w:rPr>
        <w:t>Cannibals with Forks: The Triple Bottom Line of 21st Century Business</w:t>
      </w:r>
      <w:r w:rsidR="00C12574" w:rsidRPr="0059353F">
        <w:t>. Oxford: Capstone.</w:t>
      </w:r>
    </w:p>
    <w:p w14:paraId="412488D1" w14:textId="2D066CE7" w:rsidR="00C12574" w:rsidRPr="0059353F" w:rsidRDefault="00A75B81" w:rsidP="0059353F">
      <w:r>
        <w:t>5.</w:t>
      </w:r>
      <w:r w:rsidR="00C12574" w:rsidRPr="0059353F">
        <w:t xml:space="preserve">Environmental Protection Agency (EPA) (2021) </w:t>
      </w:r>
      <w:r w:rsidR="00C12574" w:rsidRPr="0059353F">
        <w:rPr>
          <w:i/>
          <w:iCs/>
        </w:rPr>
        <w:t>Methane Emissions from Landfills</w:t>
      </w:r>
      <w:r w:rsidR="00C12574" w:rsidRPr="0059353F">
        <w:t xml:space="preserve">. Available at: </w:t>
      </w:r>
      <w:hyperlink r:id="rId9" w:tgtFrame="_new" w:history="1">
        <w:r w:rsidR="00C12574" w:rsidRPr="0059353F">
          <w:rPr>
            <w:rStyle w:val="Hyperlink"/>
          </w:rPr>
          <w:t>https://www.epa.gov/ghgemissions/overview-greenhouse-gases</w:t>
        </w:r>
      </w:hyperlink>
      <w:r w:rsidR="00C12574" w:rsidRPr="0059353F">
        <w:t xml:space="preserve"> (Accessed: 15 </w:t>
      </w:r>
      <w:r w:rsidR="00C12574">
        <w:t>Jan</w:t>
      </w:r>
      <w:r w:rsidR="00C12574" w:rsidRPr="0059353F">
        <w:t xml:space="preserve"> 2024).</w:t>
      </w:r>
    </w:p>
    <w:p w14:paraId="31A18EC0" w14:textId="7B27A989" w:rsidR="00C12574" w:rsidRPr="0059353F" w:rsidRDefault="00A75B81" w:rsidP="0059353F">
      <w:r>
        <w:t>6.</w:t>
      </w:r>
      <w:r w:rsidR="00C12574" w:rsidRPr="0059353F">
        <w:t xml:space="preserve">FAO (2021) </w:t>
      </w:r>
      <w:r w:rsidR="00C12574" w:rsidRPr="0059353F">
        <w:rPr>
          <w:i/>
          <w:iCs/>
        </w:rPr>
        <w:t>Global Food Losses and Food Waste</w:t>
      </w:r>
      <w:r w:rsidR="00C12574" w:rsidRPr="0059353F">
        <w:t xml:space="preserve">. Available at: </w:t>
      </w:r>
      <w:hyperlink r:id="rId10" w:tgtFrame="_new" w:history="1">
        <w:r w:rsidR="00C12574" w:rsidRPr="0059353F">
          <w:rPr>
            <w:rStyle w:val="Hyperlink"/>
          </w:rPr>
          <w:t>http://www.fao.org/food-loss-and-food-waste</w:t>
        </w:r>
      </w:hyperlink>
      <w:r w:rsidR="00C12574" w:rsidRPr="0059353F">
        <w:t xml:space="preserve"> (Accessed: 15 </w:t>
      </w:r>
      <w:r w:rsidR="00C12574">
        <w:t>Jan</w:t>
      </w:r>
      <w:r w:rsidR="00C12574" w:rsidRPr="0059353F">
        <w:t xml:space="preserve"> 2024).</w:t>
      </w:r>
    </w:p>
    <w:p w14:paraId="1DEE178C" w14:textId="72481E1D" w:rsidR="00C12574" w:rsidRPr="0059353F" w:rsidRDefault="00A75B81" w:rsidP="0059353F">
      <w:r>
        <w:t>7.</w:t>
      </w:r>
      <w:r w:rsidR="00C12574" w:rsidRPr="0059353F">
        <w:t xml:space="preserve">Filimonau, V. et al. (2020) ‘Food waste management in the hospitality sector: A holistic analysis’, </w:t>
      </w:r>
      <w:r w:rsidR="00C12574" w:rsidRPr="0059353F">
        <w:rPr>
          <w:i/>
          <w:iCs/>
        </w:rPr>
        <w:t>International Journal of Hospitality Management</w:t>
      </w:r>
      <w:r w:rsidR="00C12574" w:rsidRPr="0059353F">
        <w:t xml:space="preserve">, 89, p. 102549. </w:t>
      </w:r>
      <w:hyperlink r:id="rId11" w:tgtFrame="_new" w:history="1">
        <w:r w:rsidR="00C12574" w:rsidRPr="0059353F">
          <w:rPr>
            <w:rStyle w:val="Hyperlink"/>
          </w:rPr>
          <w:t>https://doi.org/10.1016/j.ijhm.2020.102549</w:t>
        </w:r>
      </w:hyperlink>
    </w:p>
    <w:p w14:paraId="520A0763" w14:textId="4AFCD685" w:rsidR="00C12574" w:rsidRPr="0059353F" w:rsidRDefault="00A75B81" w:rsidP="0059353F">
      <w:r>
        <w:t>8.</w:t>
      </w:r>
      <w:r w:rsidR="00C12574" w:rsidRPr="0059353F">
        <w:t xml:space="preserve">Gössling, S. et al. (2020) ‘Technology and sustainability in tourism and hospitality’, </w:t>
      </w:r>
      <w:r w:rsidR="00C12574" w:rsidRPr="0059353F">
        <w:rPr>
          <w:i/>
          <w:iCs/>
        </w:rPr>
        <w:t>Journal of Sustainable Tourism</w:t>
      </w:r>
      <w:r w:rsidR="00C12574" w:rsidRPr="0059353F">
        <w:t xml:space="preserve">, 28(10), pp. 1607–1625. </w:t>
      </w:r>
      <w:hyperlink r:id="rId12" w:tgtFrame="_new" w:history="1">
        <w:r w:rsidR="00C12574" w:rsidRPr="0059353F">
          <w:rPr>
            <w:rStyle w:val="Hyperlink"/>
          </w:rPr>
          <w:t>https://doi.org/10.1080/09669582.2020.1765018</w:t>
        </w:r>
      </w:hyperlink>
    </w:p>
    <w:p w14:paraId="65CA3D46" w14:textId="373094F2" w:rsidR="00C12574" w:rsidRPr="0059353F" w:rsidRDefault="00A75B81" w:rsidP="0059353F">
      <w:r>
        <w:rPr>
          <w:lang w:val="da-DK"/>
        </w:rPr>
        <w:t>9.</w:t>
      </w:r>
      <w:r w:rsidR="00C12574" w:rsidRPr="0059353F">
        <w:rPr>
          <w:lang w:val="da-DK"/>
        </w:rPr>
        <w:t xml:space="preserve">Hall, K. D. et al. </w:t>
      </w:r>
      <w:r w:rsidR="00C12574" w:rsidRPr="0059353F">
        <w:t xml:space="preserve">(2009) ‘The progressive increase of food waste in modern society and its environmental impact’, </w:t>
      </w:r>
      <w:r w:rsidR="00C12574" w:rsidRPr="0059353F">
        <w:rPr>
          <w:i/>
          <w:iCs/>
        </w:rPr>
        <w:t>PLOS ONE</w:t>
      </w:r>
      <w:r w:rsidR="00C12574" w:rsidRPr="0059353F">
        <w:t xml:space="preserve">, 4(11), p. e7940. </w:t>
      </w:r>
      <w:hyperlink r:id="rId13" w:tgtFrame="_new" w:history="1">
        <w:r w:rsidR="00C12574" w:rsidRPr="0059353F">
          <w:rPr>
            <w:rStyle w:val="Hyperlink"/>
          </w:rPr>
          <w:t>https://doi.org/10.1371/journal.pone.0007940</w:t>
        </w:r>
      </w:hyperlink>
    </w:p>
    <w:p w14:paraId="1A9D9E3E" w14:textId="549E74B6" w:rsidR="00C12574" w:rsidRPr="006776AC" w:rsidRDefault="00A75B81" w:rsidP="006776AC">
      <w:r>
        <w:t>10.</w:t>
      </w:r>
      <w:r w:rsidR="00C12574" w:rsidRPr="006776AC">
        <w:t xml:space="preserve">Haski-Leventhal, D. (2018) </w:t>
      </w:r>
      <w:r w:rsidR="00C12574" w:rsidRPr="006776AC">
        <w:rPr>
          <w:i/>
          <w:iCs/>
        </w:rPr>
        <w:t>Strategic Corporate Social Responsibility: Tools &amp; Theories for Responsible Management</w:t>
      </w:r>
      <w:r w:rsidR="00C12574" w:rsidRPr="006776AC">
        <w:t>. London: SAGE.</w:t>
      </w:r>
    </w:p>
    <w:p w14:paraId="2BCC7502" w14:textId="70D5F6A6" w:rsidR="00C12574" w:rsidRPr="0059353F" w:rsidRDefault="00A75B81" w:rsidP="0059353F">
      <w:r>
        <w:t>11.</w:t>
      </w:r>
      <w:r w:rsidR="00C12574" w:rsidRPr="0059353F">
        <w:t xml:space="preserve">Hilton (2021) </w:t>
      </w:r>
      <w:r w:rsidR="00C12574" w:rsidRPr="0059353F">
        <w:rPr>
          <w:i/>
          <w:iCs/>
        </w:rPr>
        <w:t>Food Waste Reduction Program: Case Study</w:t>
      </w:r>
      <w:r w:rsidR="00C12574" w:rsidRPr="0059353F">
        <w:t xml:space="preserve">. Available at: </w:t>
      </w:r>
      <w:hyperlink r:id="rId14" w:tgtFrame="_new" w:history="1">
        <w:r w:rsidR="00C12574" w:rsidRPr="0059353F">
          <w:rPr>
            <w:rStyle w:val="Hyperlink"/>
          </w:rPr>
          <w:t>https://esg.hilton.com/environment/food-waste</w:t>
        </w:r>
      </w:hyperlink>
      <w:r w:rsidR="00C12574" w:rsidRPr="0059353F">
        <w:t xml:space="preserve"> (Accessed: 15 </w:t>
      </w:r>
      <w:r w:rsidR="00C12574">
        <w:t>Jan</w:t>
      </w:r>
      <w:r w:rsidR="00C12574" w:rsidRPr="0059353F">
        <w:t xml:space="preserve"> 2024).</w:t>
      </w:r>
    </w:p>
    <w:p w14:paraId="5DB1A850" w14:textId="0491DA1E" w:rsidR="00C12574" w:rsidRPr="0059353F" w:rsidRDefault="00A75B81" w:rsidP="0059353F">
      <w:r>
        <w:t>12.</w:t>
      </w:r>
      <w:r w:rsidR="00C12574" w:rsidRPr="0059353F">
        <w:t xml:space="preserve">IHG (2022) </w:t>
      </w:r>
      <w:r w:rsidR="00C12574" w:rsidRPr="0059353F">
        <w:rPr>
          <w:i/>
          <w:iCs/>
        </w:rPr>
        <w:t>Green Engage System: Sustainability Performance</w:t>
      </w:r>
      <w:r w:rsidR="00C12574" w:rsidRPr="0059353F">
        <w:t xml:space="preserve">. Available at: </w:t>
      </w:r>
      <w:hyperlink r:id="rId15" w:tgtFrame="_new" w:history="1">
        <w:r w:rsidR="00C12574" w:rsidRPr="0059353F">
          <w:rPr>
            <w:rStyle w:val="Hyperlink"/>
          </w:rPr>
          <w:t>https://www.ihgplc.com/en/sustainability</w:t>
        </w:r>
      </w:hyperlink>
      <w:r w:rsidR="00C12574" w:rsidRPr="0059353F">
        <w:t xml:space="preserve"> (Accessed: 15 </w:t>
      </w:r>
      <w:r w:rsidR="00C12574">
        <w:t>Jan</w:t>
      </w:r>
      <w:r w:rsidR="00C12574" w:rsidRPr="0059353F">
        <w:t xml:space="preserve"> 2024).</w:t>
      </w:r>
    </w:p>
    <w:p w14:paraId="0392F60F" w14:textId="7200BAE9" w:rsidR="00C12574" w:rsidRPr="006776AC" w:rsidRDefault="00A75B81" w:rsidP="006776AC">
      <w:r>
        <w:lastRenderedPageBreak/>
        <w:t>13.</w:t>
      </w:r>
      <w:r w:rsidR="00C12574" w:rsidRPr="006776AC">
        <w:t xml:space="preserve">Inkson, C. and </w:t>
      </w:r>
      <w:proofErr w:type="spellStart"/>
      <w:r w:rsidR="00C12574" w:rsidRPr="006776AC">
        <w:t>Minnaert</w:t>
      </w:r>
      <w:proofErr w:type="spellEnd"/>
      <w:r w:rsidR="00C12574" w:rsidRPr="006776AC">
        <w:t xml:space="preserve">, L. (2018) </w:t>
      </w:r>
      <w:r w:rsidR="00C12574" w:rsidRPr="006776AC">
        <w:rPr>
          <w:i/>
          <w:iCs/>
        </w:rPr>
        <w:t>Tourism Management: An Introduction</w:t>
      </w:r>
      <w:r w:rsidR="00C12574" w:rsidRPr="006776AC">
        <w:t>. 2nd ed. London: SAGE.</w:t>
      </w:r>
    </w:p>
    <w:p w14:paraId="37F64DA1" w14:textId="526BC7D2" w:rsidR="00C12574" w:rsidRPr="006776AC" w:rsidRDefault="00A75B81" w:rsidP="006776AC">
      <w:r>
        <w:t>14.</w:t>
      </w:r>
      <w:r w:rsidR="00C12574" w:rsidRPr="006776AC">
        <w:t xml:space="preserve">Jauhari, V. (2021) </w:t>
      </w:r>
      <w:r w:rsidR="00C12574" w:rsidRPr="006776AC">
        <w:rPr>
          <w:i/>
          <w:iCs/>
        </w:rPr>
        <w:t>Managing Sustainability in the Hospitality and Tourism Industry: Paradigms and Directions for the Future</w:t>
      </w:r>
      <w:r w:rsidR="00C12574" w:rsidRPr="006776AC">
        <w:t>. 9th ed. Oakville: Apple Academic Press, Inc.</w:t>
      </w:r>
    </w:p>
    <w:p w14:paraId="7F0CEB75" w14:textId="03E6CF4F" w:rsidR="00C12574" w:rsidRPr="0059353F" w:rsidRDefault="00A75B81" w:rsidP="0059353F">
      <w:r>
        <w:t>15.</w:t>
      </w:r>
      <w:r w:rsidR="00C12574" w:rsidRPr="0059353F">
        <w:t xml:space="preserve">Jones, P. et al. (2016) ‘Sustainability in the hospitality industry: A review of best practices’, </w:t>
      </w:r>
      <w:r w:rsidR="00C12574" w:rsidRPr="0059353F">
        <w:rPr>
          <w:i/>
          <w:iCs/>
        </w:rPr>
        <w:t>Tourism Management Perspectives</w:t>
      </w:r>
      <w:r w:rsidR="00C12574" w:rsidRPr="0059353F">
        <w:t xml:space="preserve">, 18, pp. 94–104. </w:t>
      </w:r>
      <w:hyperlink r:id="rId16" w:tgtFrame="_new" w:history="1">
        <w:r w:rsidR="00C12574" w:rsidRPr="0059353F">
          <w:rPr>
            <w:rStyle w:val="Hyperlink"/>
          </w:rPr>
          <w:t>https://doi.org/10.1016/j.tmp.2016.02.001</w:t>
        </w:r>
      </w:hyperlink>
    </w:p>
    <w:p w14:paraId="2DB1DCC5" w14:textId="57611ED5" w:rsidR="00C12574" w:rsidRPr="0059353F" w:rsidRDefault="00A75B81" w:rsidP="0059353F">
      <w:r>
        <w:t>16.</w:t>
      </w:r>
      <w:r w:rsidR="00C12574" w:rsidRPr="0059353F">
        <w:t xml:space="preserve">Kirchherr, J. et al. (2017) ‘Conceptualizing the circular economy: An analysis of 114 definitions’, </w:t>
      </w:r>
      <w:r w:rsidR="00C12574" w:rsidRPr="0059353F">
        <w:rPr>
          <w:i/>
          <w:iCs/>
        </w:rPr>
        <w:t>Resources, Conservation and Recycling</w:t>
      </w:r>
      <w:r w:rsidR="00C12574" w:rsidRPr="0059353F">
        <w:t xml:space="preserve">, 127, pp. 221–232. </w:t>
      </w:r>
      <w:hyperlink r:id="rId17" w:tgtFrame="_new" w:history="1">
        <w:r w:rsidR="00C12574" w:rsidRPr="0059353F">
          <w:rPr>
            <w:rStyle w:val="Hyperlink"/>
          </w:rPr>
          <w:t>https://doi.org/10.1016/j.resconrec.2017.09.005</w:t>
        </w:r>
      </w:hyperlink>
    </w:p>
    <w:p w14:paraId="1B6F2F63" w14:textId="60CFB444" w:rsidR="00C12574" w:rsidRPr="006776AC" w:rsidRDefault="00A75B81" w:rsidP="006776AC">
      <w:r>
        <w:t>17.</w:t>
      </w:r>
      <w:r w:rsidR="00C12574" w:rsidRPr="006776AC">
        <w:t xml:space="preserve">Korstanje, G.B. and </w:t>
      </w:r>
      <w:proofErr w:type="spellStart"/>
      <w:r w:rsidR="00C12574" w:rsidRPr="006776AC">
        <w:t>Nedelea</w:t>
      </w:r>
      <w:proofErr w:type="spellEnd"/>
      <w:r w:rsidR="00C12574" w:rsidRPr="006776AC">
        <w:t xml:space="preserve">, A. (2020) </w:t>
      </w:r>
      <w:r w:rsidR="00C12574" w:rsidRPr="006776AC">
        <w:rPr>
          <w:i/>
          <w:iCs/>
        </w:rPr>
        <w:t>Strategies for Promoting Sustainable Hospitality and Tourism Services</w:t>
      </w:r>
      <w:r w:rsidR="00C12574" w:rsidRPr="006776AC">
        <w:t>. IGI Global.</w:t>
      </w:r>
    </w:p>
    <w:p w14:paraId="137996D3" w14:textId="43AF4D3C" w:rsidR="00C12574" w:rsidRPr="0059353F" w:rsidRDefault="00A75B81" w:rsidP="0059353F">
      <w:r>
        <w:t>18.</w:t>
      </w:r>
      <w:r w:rsidR="00C12574" w:rsidRPr="0059353F">
        <w:t xml:space="preserve">Okumus, B. et al. (2018) ‘How do hotels manage food waste? Evidence from a global survey’, </w:t>
      </w:r>
      <w:r w:rsidR="00C12574" w:rsidRPr="0059353F">
        <w:rPr>
          <w:i/>
          <w:iCs/>
        </w:rPr>
        <w:t>Cornell Hospitality Quarterly</w:t>
      </w:r>
      <w:r w:rsidR="00C12574" w:rsidRPr="0059353F">
        <w:t xml:space="preserve">, 59(3), pp. 231–245. </w:t>
      </w:r>
      <w:hyperlink r:id="rId18" w:tgtFrame="_new" w:history="1">
        <w:r w:rsidR="00C12574" w:rsidRPr="0059353F">
          <w:rPr>
            <w:rStyle w:val="Hyperlink"/>
          </w:rPr>
          <w:t>https://doi.org/10.1177/1938965518779291</w:t>
        </w:r>
      </w:hyperlink>
    </w:p>
    <w:p w14:paraId="3A9BD66C" w14:textId="0B3AC10E" w:rsidR="00C12574" w:rsidRPr="0059353F" w:rsidRDefault="00A75B81" w:rsidP="0059353F">
      <w:r>
        <w:t>19.</w:t>
      </w:r>
      <w:r w:rsidR="00C12574" w:rsidRPr="0059353F">
        <w:t xml:space="preserve">Pirani, S. I. and Arafat, H. A. (2016) ‘Reduction of food waste generation in the hospitality industry’, </w:t>
      </w:r>
      <w:r w:rsidR="00C12574" w:rsidRPr="0059353F">
        <w:rPr>
          <w:i/>
          <w:iCs/>
        </w:rPr>
        <w:t>Journal of Cleaner Production</w:t>
      </w:r>
      <w:r w:rsidR="00C12574" w:rsidRPr="0059353F">
        <w:t xml:space="preserve">, 132, pp. 129–145. </w:t>
      </w:r>
      <w:hyperlink r:id="rId19" w:tgtFrame="_new" w:history="1">
        <w:r w:rsidR="00C12574" w:rsidRPr="0059353F">
          <w:rPr>
            <w:rStyle w:val="Hyperlink"/>
          </w:rPr>
          <w:t>https://doi.org/10.1016/j.jclepro.2015.07.146</w:t>
        </w:r>
      </w:hyperlink>
    </w:p>
    <w:p w14:paraId="077DC8CD" w14:textId="66B3798D" w:rsidR="00C12574" w:rsidRPr="0059353F" w:rsidRDefault="00A75B81" w:rsidP="0059353F">
      <w:r>
        <w:t>20.</w:t>
      </w:r>
      <w:r w:rsidR="00C12574" w:rsidRPr="0059353F">
        <w:t xml:space="preserve">Rogers, E. M. (2003) </w:t>
      </w:r>
      <w:r w:rsidR="00C12574" w:rsidRPr="0059353F">
        <w:rPr>
          <w:i/>
          <w:iCs/>
        </w:rPr>
        <w:t>Diffusion of Innovations</w:t>
      </w:r>
      <w:r w:rsidR="00C12574" w:rsidRPr="0059353F">
        <w:t>. 5th ed. New York: Free Press.</w:t>
      </w:r>
    </w:p>
    <w:p w14:paraId="7F8D1299" w14:textId="18A09E46" w:rsidR="00C12574" w:rsidRPr="006776AC" w:rsidRDefault="00A75B81" w:rsidP="006776AC">
      <w:r>
        <w:t>21.</w:t>
      </w:r>
      <w:r w:rsidR="00C12574" w:rsidRPr="006776AC">
        <w:t xml:space="preserve">Sloan, P., Legrand, W. and Chen, J.S. (2017) </w:t>
      </w:r>
      <w:r w:rsidR="00C12574" w:rsidRPr="006776AC">
        <w:rPr>
          <w:i/>
          <w:iCs/>
        </w:rPr>
        <w:t>Sustainability in the Hospitality Industry: Principles of Sustainable Operations</w:t>
      </w:r>
      <w:r w:rsidR="00C12574" w:rsidRPr="006776AC">
        <w:t>. 3rd ed. London: Butterworth-Heinemann.</w:t>
      </w:r>
    </w:p>
    <w:p w14:paraId="620F6546" w14:textId="44078870" w:rsidR="00C12574" w:rsidRPr="0059353F" w:rsidRDefault="00A75B81" w:rsidP="0059353F">
      <w:r>
        <w:t>22.</w:t>
      </w:r>
      <w:r w:rsidR="00C12574" w:rsidRPr="0059353F">
        <w:t xml:space="preserve">Sustainable Hospitality Alliance (2023) </w:t>
      </w:r>
      <w:r w:rsidR="00C12574" w:rsidRPr="0059353F">
        <w:rPr>
          <w:i/>
          <w:iCs/>
        </w:rPr>
        <w:t>Pathway to Net Positive Hospitality</w:t>
      </w:r>
      <w:r w:rsidR="00C12574" w:rsidRPr="0059353F">
        <w:t xml:space="preserve">. Available at: </w:t>
      </w:r>
      <w:hyperlink r:id="rId20" w:tgtFrame="_new" w:history="1">
        <w:r w:rsidR="00C12574" w:rsidRPr="0059353F">
          <w:rPr>
            <w:rStyle w:val="Hyperlink"/>
          </w:rPr>
          <w:t>https://sustainablehospitalityalliance.org/</w:t>
        </w:r>
      </w:hyperlink>
      <w:r w:rsidR="00C12574" w:rsidRPr="0059353F">
        <w:t xml:space="preserve"> (Accessed: 15 </w:t>
      </w:r>
      <w:r w:rsidR="00C12574">
        <w:t>Jan</w:t>
      </w:r>
      <w:r w:rsidR="00C12574" w:rsidRPr="0059353F">
        <w:t xml:space="preserve"> 2024).</w:t>
      </w:r>
    </w:p>
    <w:p w14:paraId="03AD2BA4" w14:textId="099CFD98" w:rsidR="00C12574" w:rsidRPr="0059353F" w:rsidRDefault="00A75B81" w:rsidP="0059353F">
      <w:r>
        <w:rPr>
          <w:lang w:val="da-DK"/>
        </w:rPr>
        <w:t>23.</w:t>
      </w:r>
      <w:r w:rsidR="00C12574" w:rsidRPr="0059353F">
        <w:rPr>
          <w:lang w:val="da-DK"/>
        </w:rPr>
        <w:t xml:space="preserve">Teng, C. C. et al. </w:t>
      </w:r>
      <w:r w:rsidR="00C12574" w:rsidRPr="0059353F">
        <w:t xml:space="preserve">(2021) ‘Behavioral change in hospitality sustainability practices: The role of staff training’, </w:t>
      </w:r>
      <w:r w:rsidR="00C12574" w:rsidRPr="0059353F">
        <w:rPr>
          <w:i/>
          <w:iCs/>
        </w:rPr>
        <w:t>Journal of Hospitality and Tourism Management</w:t>
      </w:r>
      <w:r w:rsidR="00C12574" w:rsidRPr="0059353F">
        <w:t xml:space="preserve">, 48, pp. 32–41. </w:t>
      </w:r>
      <w:hyperlink r:id="rId21" w:tgtFrame="_new" w:history="1">
        <w:r w:rsidR="00C12574" w:rsidRPr="0059353F">
          <w:rPr>
            <w:rStyle w:val="Hyperlink"/>
          </w:rPr>
          <w:t>https://doi.org/10.1016/j.jhtm.2021.05.010</w:t>
        </w:r>
      </w:hyperlink>
    </w:p>
    <w:p w14:paraId="256FD3B3" w14:textId="028A44D7" w:rsidR="00C12574" w:rsidRPr="0059353F" w:rsidRDefault="00A75B81" w:rsidP="0059353F">
      <w:r>
        <w:t>24.</w:t>
      </w:r>
      <w:r w:rsidR="00C12574" w:rsidRPr="0059353F">
        <w:t xml:space="preserve">UK Government (2021) </w:t>
      </w:r>
      <w:r w:rsidR="00C12574" w:rsidRPr="0059353F">
        <w:rPr>
          <w:i/>
          <w:iCs/>
        </w:rPr>
        <w:t>Net Zero Strategy: Build Back Greener</w:t>
      </w:r>
      <w:r w:rsidR="00C12574" w:rsidRPr="0059353F">
        <w:t xml:space="preserve">. Available at: </w:t>
      </w:r>
      <w:hyperlink r:id="rId22" w:tgtFrame="_new" w:history="1">
        <w:r w:rsidR="00C12574" w:rsidRPr="0059353F">
          <w:rPr>
            <w:rStyle w:val="Hyperlink"/>
          </w:rPr>
          <w:t>https://www.gov.uk/government/publications/net-zero-strategy</w:t>
        </w:r>
      </w:hyperlink>
      <w:r w:rsidR="00C12574" w:rsidRPr="0059353F">
        <w:t xml:space="preserve"> (Accessed: 15 </w:t>
      </w:r>
      <w:r w:rsidR="00C12574">
        <w:t>Jan</w:t>
      </w:r>
      <w:r w:rsidR="00C12574" w:rsidRPr="0059353F">
        <w:t xml:space="preserve"> 2024).</w:t>
      </w:r>
    </w:p>
    <w:p w14:paraId="4E193871" w14:textId="6015EC77" w:rsidR="00C12574" w:rsidRPr="0059353F" w:rsidRDefault="00A75B81" w:rsidP="0059353F">
      <w:r>
        <w:lastRenderedPageBreak/>
        <w:t>25.</w:t>
      </w:r>
      <w:r w:rsidR="00C12574" w:rsidRPr="0059353F">
        <w:t xml:space="preserve">United Nations (2015) </w:t>
      </w:r>
      <w:r w:rsidR="00C12574" w:rsidRPr="0059353F">
        <w:rPr>
          <w:i/>
          <w:iCs/>
        </w:rPr>
        <w:t>Sustainable Development Goal 12.3: Halve Food Waste by 2030</w:t>
      </w:r>
      <w:r w:rsidR="00C12574" w:rsidRPr="0059353F">
        <w:t xml:space="preserve">. Available at: </w:t>
      </w:r>
      <w:hyperlink r:id="rId23" w:tgtFrame="_new" w:history="1">
        <w:r w:rsidR="00C12574" w:rsidRPr="0059353F">
          <w:rPr>
            <w:rStyle w:val="Hyperlink"/>
          </w:rPr>
          <w:t>https://sdgs.un.org/goals/goal12</w:t>
        </w:r>
      </w:hyperlink>
      <w:r w:rsidR="00C12574" w:rsidRPr="0059353F">
        <w:t xml:space="preserve"> (Accessed: 15 </w:t>
      </w:r>
      <w:r w:rsidR="00C12574">
        <w:t>Jan</w:t>
      </w:r>
      <w:r w:rsidR="00C12574" w:rsidRPr="0059353F">
        <w:t xml:space="preserve"> 2024).</w:t>
      </w:r>
    </w:p>
    <w:p w14:paraId="38972CA8" w14:textId="7A3DBE04" w:rsidR="00C12574" w:rsidRPr="006776AC" w:rsidRDefault="00A75B81" w:rsidP="006776AC">
      <w:r>
        <w:t>26.</w:t>
      </w:r>
      <w:r w:rsidR="00C12574" w:rsidRPr="006776AC">
        <w:t xml:space="preserve">Wickham, Donnelly, T. and French, L. (2021) ‘Strategic Sustainability Management in the Event Sector’, </w:t>
      </w:r>
      <w:r w:rsidR="00C12574" w:rsidRPr="006776AC">
        <w:rPr>
          <w:i/>
          <w:iCs/>
        </w:rPr>
        <w:t>Event Management</w:t>
      </w:r>
      <w:r w:rsidR="00C12574" w:rsidRPr="006776AC">
        <w:t>, 25(3), pp. 279–296.</w:t>
      </w:r>
    </w:p>
    <w:p w14:paraId="1A98E833" w14:textId="33C6A122" w:rsidR="00C12574" w:rsidRPr="0059353F" w:rsidRDefault="00A75B81" w:rsidP="0059353F">
      <w:r>
        <w:t>27.</w:t>
      </w:r>
      <w:r w:rsidR="00C12574" w:rsidRPr="0059353F">
        <w:t xml:space="preserve">Winnow (2023) </w:t>
      </w:r>
      <w:r w:rsidR="00C12574" w:rsidRPr="0059353F">
        <w:rPr>
          <w:i/>
          <w:iCs/>
        </w:rPr>
        <w:t>AI-Powered Food Waste Tracking Systems</w:t>
      </w:r>
      <w:r w:rsidR="00C12574" w:rsidRPr="0059353F">
        <w:t xml:space="preserve">. Available at: </w:t>
      </w:r>
      <w:hyperlink r:id="rId24" w:tgtFrame="_new" w:history="1">
        <w:r w:rsidR="00C12574" w:rsidRPr="0059353F">
          <w:rPr>
            <w:rStyle w:val="Hyperlink"/>
          </w:rPr>
          <w:t>https://www.winnowsolutions.com/case-studies</w:t>
        </w:r>
      </w:hyperlink>
      <w:r w:rsidR="00C12574" w:rsidRPr="0059353F">
        <w:t xml:space="preserve"> (Accessed: 15 </w:t>
      </w:r>
      <w:r w:rsidR="00C12574">
        <w:t>Jan</w:t>
      </w:r>
      <w:r w:rsidR="00C12574" w:rsidRPr="0059353F">
        <w:t xml:space="preserve"> 2024).</w:t>
      </w:r>
    </w:p>
    <w:p w14:paraId="7710A4B8" w14:textId="798D8B8F" w:rsidR="00C12574" w:rsidRPr="0059353F" w:rsidRDefault="00A75B81" w:rsidP="0059353F">
      <w:r>
        <w:t>28.</w:t>
      </w:r>
      <w:r w:rsidR="00C12574" w:rsidRPr="0059353F">
        <w:t xml:space="preserve">World Resources Institute (WRI) (2019) </w:t>
      </w:r>
      <w:r w:rsidR="00C12574" w:rsidRPr="0059353F">
        <w:rPr>
          <w:i/>
          <w:iCs/>
        </w:rPr>
        <w:t>Reducing Food Waste: A Cost-Benefit Analysis</w:t>
      </w:r>
      <w:r w:rsidR="00C12574" w:rsidRPr="0059353F">
        <w:t xml:space="preserve">. Available at: </w:t>
      </w:r>
      <w:hyperlink r:id="rId25" w:tgtFrame="_new" w:history="1">
        <w:r w:rsidR="00C12574" w:rsidRPr="0059353F">
          <w:rPr>
            <w:rStyle w:val="Hyperlink"/>
          </w:rPr>
          <w:t>https://www.wri.org/research/reducing-food-loss-and-waste</w:t>
        </w:r>
      </w:hyperlink>
      <w:r w:rsidR="00C12574" w:rsidRPr="0059353F">
        <w:t xml:space="preserve"> (Accessed: 15 </w:t>
      </w:r>
      <w:r w:rsidR="00C12574">
        <w:t>Jan</w:t>
      </w:r>
      <w:r w:rsidR="00C12574" w:rsidRPr="0059353F">
        <w:t xml:space="preserve"> 2024).</w:t>
      </w:r>
    </w:p>
    <w:sectPr w:rsidR="00C12574" w:rsidRPr="0059353F">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59ACA8" w14:textId="77777777" w:rsidR="00254244" w:rsidRDefault="00254244" w:rsidP="00ED3DF3">
      <w:pPr>
        <w:spacing w:after="0" w:line="240" w:lineRule="auto"/>
      </w:pPr>
      <w:r>
        <w:separator/>
      </w:r>
    </w:p>
  </w:endnote>
  <w:endnote w:type="continuationSeparator" w:id="0">
    <w:p w14:paraId="18E8A004" w14:textId="77777777" w:rsidR="00254244" w:rsidRDefault="00254244"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0036976"/>
      <w:docPartObj>
        <w:docPartGallery w:val="Page Numbers (Bottom of Page)"/>
        <w:docPartUnique/>
      </w:docPartObj>
    </w:sdtPr>
    <w:sdtEndPr>
      <w:rPr>
        <w:color w:val="7F7F7F" w:themeColor="background1" w:themeShade="7F"/>
        <w:spacing w:val="60"/>
      </w:rPr>
    </w:sdtEndPr>
    <w:sdtContent>
      <w:p w14:paraId="2571F6E7" w14:textId="09103C89" w:rsidR="00D45B80" w:rsidRDefault="00D45B8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B6AC5" w:rsidRPr="00DB6AC5">
          <w:rPr>
            <w:b/>
            <w:bCs/>
            <w:noProof/>
          </w:rPr>
          <w:t>10</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B51662" w14:textId="77777777" w:rsidR="00254244" w:rsidRDefault="00254244" w:rsidP="00ED3DF3">
      <w:pPr>
        <w:spacing w:after="0" w:line="240" w:lineRule="auto"/>
      </w:pPr>
      <w:r>
        <w:separator/>
      </w:r>
    </w:p>
  </w:footnote>
  <w:footnote w:type="continuationSeparator" w:id="0">
    <w:p w14:paraId="3850BB3F" w14:textId="77777777" w:rsidR="00254244" w:rsidRDefault="00254244"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48E3"/>
    <w:rsid w:val="00012C0C"/>
    <w:rsid w:val="00020397"/>
    <w:rsid w:val="00021A76"/>
    <w:rsid w:val="00021EFB"/>
    <w:rsid w:val="00022653"/>
    <w:rsid w:val="00032812"/>
    <w:rsid w:val="00061ECE"/>
    <w:rsid w:val="000625C6"/>
    <w:rsid w:val="000A0AFC"/>
    <w:rsid w:val="000A4B53"/>
    <w:rsid w:val="000A7BAF"/>
    <w:rsid w:val="000B0906"/>
    <w:rsid w:val="000B4082"/>
    <w:rsid w:val="000B42F5"/>
    <w:rsid w:val="000B74AE"/>
    <w:rsid w:val="000E2D01"/>
    <w:rsid w:val="001178F0"/>
    <w:rsid w:val="001244CA"/>
    <w:rsid w:val="001341A6"/>
    <w:rsid w:val="00136F1A"/>
    <w:rsid w:val="00142FD2"/>
    <w:rsid w:val="00144674"/>
    <w:rsid w:val="0016627A"/>
    <w:rsid w:val="00174DC6"/>
    <w:rsid w:val="001778BB"/>
    <w:rsid w:val="001C1C7D"/>
    <w:rsid w:val="001E7FCE"/>
    <w:rsid w:val="001F3007"/>
    <w:rsid w:val="00212CF4"/>
    <w:rsid w:val="00250079"/>
    <w:rsid w:val="00254244"/>
    <w:rsid w:val="00257549"/>
    <w:rsid w:val="0026234D"/>
    <w:rsid w:val="00276B93"/>
    <w:rsid w:val="00280852"/>
    <w:rsid w:val="002C1293"/>
    <w:rsid w:val="002D307D"/>
    <w:rsid w:val="002D7C93"/>
    <w:rsid w:val="002E4710"/>
    <w:rsid w:val="002E56E9"/>
    <w:rsid w:val="002F246D"/>
    <w:rsid w:val="00312721"/>
    <w:rsid w:val="003154AB"/>
    <w:rsid w:val="00326D26"/>
    <w:rsid w:val="00355E5C"/>
    <w:rsid w:val="003637A6"/>
    <w:rsid w:val="00364CCE"/>
    <w:rsid w:val="003860A7"/>
    <w:rsid w:val="003B17FE"/>
    <w:rsid w:val="003C74DE"/>
    <w:rsid w:val="003E7CEB"/>
    <w:rsid w:val="003F4679"/>
    <w:rsid w:val="0040334F"/>
    <w:rsid w:val="0041613B"/>
    <w:rsid w:val="00416B1D"/>
    <w:rsid w:val="00422C50"/>
    <w:rsid w:val="004250DB"/>
    <w:rsid w:val="00444AF9"/>
    <w:rsid w:val="004478F0"/>
    <w:rsid w:val="00450A7C"/>
    <w:rsid w:val="004570B3"/>
    <w:rsid w:val="00462BF3"/>
    <w:rsid w:val="004846B2"/>
    <w:rsid w:val="00490571"/>
    <w:rsid w:val="00495550"/>
    <w:rsid w:val="0050208D"/>
    <w:rsid w:val="0050500B"/>
    <w:rsid w:val="0050649E"/>
    <w:rsid w:val="00547DD4"/>
    <w:rsid w:val="00581647"/>
    <w:rsid w:val="00581FFB"/>
    <w:rsid w:val="00590F30"/>
    <w:rsid w:val="005919C0"/>
    <w:rsid w:val="0059353F"/>
    <w:rsid w:val="005A336E"/>
    <w:rsid w:val="005B2D7C"/>
    <w:rsid w:val="005D5FEE"/>
    <w:rsid w:val="005F48E3"/>
    <w:rsid w:val="00603A69"/>
    <w:rsid w:val="0061210C"/>
    <w:rsid w:val="00622FB6"/>
    <w:rsid w:val="00625FC0"/>
    <w:rsid w:val="00635200"/>
    <w:rsid w:val="00642AB0"/>
    <w:rsid w:val="00652026"/>
    <w:rsid w:val="00667740"/>
    <w:rsid w:val="00670FF3"/>
    <w:rsid w:val="006710DC"/>
    <w:rsid w:val="00672A7B"/>
    <w:rsid w:val="006776AC"/>
    <w:rsid w:val="0068125E"/>
    <w:rsid w:val="00683E9C"/>
    <w:rsid w:val="006A094D"/>
    <w:rsid w:val="006B484C"/>
    <w:rsid w:val="006C5A87"/>
    <w:rsid w:val="006F08CB"/>
    <w:rsid w:val="007176EC"/>
    <w:rsid w:val="007207B8"/>
    <w:rsid w:val="007242AB"/>
    <w:rsid w:val="00730F54"/>
    <w:rsid w:val="007473EC"/>
    <w:rsid w:val="00767396"/>
    <w:rsid w:val="00776B6D"/>
    <w:rsid w:val="00786BBC"/>
    <w:rsid w:val="00787822"/>
    <w:rsid w:val="007A0FA9"/>
    <w:rsid w:val="007A7F4B"/>
    <w:rsid w:val="007B5B0E"/>
    <w:rsid w:val="007E25B1"/>
    <w:rsid w:val="0080096C"/>
    <w:rsid w:val="00823E6F"/>
    <w:rsid w:val="00826944"/>
    <w:rsid w:val="00826E1B"/>
    <w:rsid w:val="00830442"/>
    <w:rsid w:val="008459A0"/>
    <w:rsid w:val="0085043A"/>
    <w:rsid w:val="00853632"/>
    <w:rsid w:val="008711EF"/>
    <w:rsid w:val="0088650E"/>
    <w:rsid w:val="008B0E31"/>
    <w:rsid w:val="008B7B38"/>
    <w:rsid w:val="008E462F"/>
    <w:rsid w:val="009026EC"/>
    <w:rsid w:val="00905C64"/>
    <w:rsid w:val="0095301F"/>
    <w:rsid w:val="00956A9A"/>
    <w:rsid w:val="009A5682"/>
    <w:rsid w:val="009C2611"/>
    <w:rsid w:val="009C5290"/>
    <w:rsid w:val="009D21BB"/>
    <w:rsid w:val="009F22E1"/>
    <w:rsid w:val="009F3B77"/>
    <w:rsid w:val="00A2363F"/>
    <w:rsid w:val="00A32842"/>
    <w:rsid w:val="00A46E0C"/>
    <w:rsid w:val="00A50DB1"/>
    <w:rsid w:val="00A53ECC"/>
    <w:rsid w:val="00A65337"/>
    <w:rsid w:val="00A67858"/>
    <w:rsid w:val="00A75B81"/>
    <w:rsid w:val="00AA6D8B"/>
    <w:rsid w:val="00AA7118"/>
    <w:rsid w:val="00AB19E6"/>
    <w:rsid w:val="00AE461A"/>
    <w:rsid w:val="00AE76D0"/>
    <w:rsid w:val="00B01B39"/>
    <w:rsid w:val="00B05E61"/>
    <w:rsid w:val="00B1640F"/>
    <w:rsid w:val="00B45503"/>
    <w:rsid w:val="00B53384"/>
    <w:rsid w:val="00B76A36"/>
    <w:rsid w:val="00BC1573"/>
    <w:rsid w:val="00BD5632"/>
    <w:rsid w:val="00BE43C9"/>
    <w:rsid w:val="00BE7872"/>
    <w:rsid w:val="00BF288E"/>
    <w:rsid w:val="00BF2A5B"/>
    <w:rsid w:val="00C12574"/>
    <w:rsid w:val="00C23CA1"/>
    <w:rsid w:val="00C24E0F"/>
    <w:rsid w:val="00C35543"/>
    <w:rsid w:val="00C35EA4"/>
    <w:rsid w:val="00C3755B"/>
    <w:rsid w:val="00C52B3D"/>
    <w:rsid w:val="00C7785E"/>
    <w:rsid w:val="00CB1957"/>
    <w:rsid w:val="00CB4CD6"/>
    <w:rsid w:val="00CF43DA"/>
    <w:rsid w:val="00CF4EFD"/>
    <w:rsid w:val="00D141B7"/>
    <w:rsid w:val="00D24786"/>
    <w:rsid w:val="00D31237"/>
    <w:rsid w:val="00D35EFD"/>
    <w:rsid w:val="00D45B80"/>
    <w:rsid w:val="00D658B8"/>
    <w:rsid w:val="00D723B2"/>
    <w:rsid w:val="00D860A8"/>
    <w:rsid w:val="00D9203E"/>
    <w:rsid w:val="00DA5FED"/>
    <w:rsid w:val="00DB6AC5"/>
    <w:rsid w:val="00DE5BD1"/>
    <w:rsid w:val="00DF18AC"/>
    <w:rsid w:val="00DF2B78"/>
    <w:rsid w:val="00E03914"/>
    <w:rsid w:val="00E047BF"/>
    <w:rsid w:val="00E3297A"/>
    <w:rsid w:val="00E3574E"/>
    <w:rsid w:val="00E44DD9"/>
    <w:rsid w:val="00E57B0F"/>
    <w:rsid w:val="00E63835"/>
    <w:rsid w:val="00EB497E"/>
    <w:rsid w:val="00EC17ED"/>
    <w:rsid w:val="00EC3F7C"/>
    <w:rsid w:val="00ED3DF3"/>
    <w:rsid w:val="00ED4CB6"/>
    <w:rsid w:val="00EE6A96"/>
    <w:rsid w:val="00EF1B90"/>
    <w:rsid w:val="00EF33E8"/>
    <w:rsid w:val="00F04A16"/>
    <w:rsid w:val="00F061A1"/>
    <w:rsid w:val="00F20D15"/>
    <w:rsid w:val="00F24406"/>
    <w:rsid w:val="00F26FA4"/>
    <w:rsid w:val="00F27489"/>
    <w:rsid w:val="00F50A07"/>
    <w:rsid w:val="00F73390"/>
    <w:rsid w:val="00F9104E"/>
    <w:rsid w:val="00FA5CF2"/>
    <w:rsid w:val="00FA74D5"/>
    <w:rsid w:val="00FB4078"/>
    <w:rsid w:val="00FC61A0"/>
    <w:rsid w:val="00FD2CB6"/>
    <w:rsid w:val="00FE04AD"/>
    <w:rsid w:val="00FF1CD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37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778BB"/>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8B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778BB"/>
    <w:rPr>
      <w:rFonts w:ascii="Times New Roman" w:eastAsiaTheme="majorEastAsia" w:hAnsi="Times New Roman" w:cstheme="majorBidi"/>
      <w:b/>
      <w:color w:val="000000" w:themeColor="text1"/>
      <w:sz w:val="28"/>
      <w:szCs w:val="26"/>
    </w:rPr>
  </w:style>
  <w:style w:type="paragraph" w:styleId="NoSpacing">
    <w:name w:val="No Spacing"/>
    <w:basedOn w:val="Heading3"/>
    <w:next w:val="Heading3"/>
    <w:uiPriority w:val="1"/>
    <w:qFormat/>
    <w:rsid w:val="00CB1957"/>
    <w:rPr>
      <w:b w:val="0"/>
      <w:color w:val="auto"/>
    </w:rPr>
  </w:style>
  <w:style w:type="character" w:customStyle="1" w:styleId="Heading3Char">
    <w:name w:val="Heading 3 Char"/>
    <w:basedOn w:val="DefaultParagraphFont"/>
    <w:link w:val="Heading3"/>
    <w:uiPriority w:val="9"/>
    <w:rsid w:val="001778BB"/>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34"/>
    <w:qFormat/>
    <w:rsid w:val="000A7BAF"/>
    <w:pPr>
      <w:ind w:left="720"/>
      <w:contextualSpacing/>
    </w:pPr>
  </w:style>
  <w:style w:type="character" w:styleId="Hyperlink">
    <w:name w:val="Hyperlink"/>
    <w:basedOn w:val="DefaultParagraphFont"/>
    <w:uiPriority w:val="99"/>
    <w:unhideWhenUsed/>
    <w:rsid w:val="0095301F"/>
    <w:rPr>
      <w:color w:val="0563C1" w:themeColor="hyperlink"/>
      <w:u w:val="single"/>
    </w:rPr>
  </w:style>
  <w:style w:type="character" w:customStyle="1" w:styleId="UnresolvedMention">
    <w:name w:val="Unresolved Mention"/>
    <w:basedOn w:val="DefaultParagraphFont"/>
    <w:uiPriority w:val="99"/>
    <w:semiHidden/>
    <w:unhideWhenUsed/>
    <w:rsid w:val="0095301F"/>
    <w:rPr>
      <w:color w:val="605E5C"/>
      <w:shd w:val="clear" w:color="auto" w:fill="E1DFDD"/>
    </w:rPr>
  </w:style>
  <w:style w:type="paragraph" w:styleId="TOCHeading">
    <w:name w:val="TOC Heading"/>
    <w:basedOn w:val="Heading1"/>
    <w:next w:val="Normal"/>
    <w:uiPriority w:val="39"/>
    <w:unhideWhenUsed/>
    <w:qFormat/>
    <w:rsid w:val="004250D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250D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5794900">
      <w:bodyDiv w:val="1"/>
      <w:marLeft w:val="0"/>
      <w:marRight w:val="0"/>
      <w:marTop w:val="0"/>
      <w:marBottom w:val="0"/>
      <w:divBdr>
        <w:top w:val="none" w:sz="0" w:space="0" w:color="auto"/>
        <w:left w:val="none" w:sz="0" w:space="0" w:color="auto"/>
        <w:bottom w:val="none" w:sz="0" w:space="0" w:color="auto"/>
        <w:right w:val="none" w:sz="0" w:space="0" w:color="auto"/>
      </w:divBdr>
    </w:div>
    <w:div w:id="437722174">
      <w:bodyDiv w:val="1"/>
      <w:marLeft w:val="0"/>
      <w:marRight w:val="0"/>
      <w:marTop w:val="0"/>
      <w:marBottom w:val="0"/>
      <w:divBdr>
        <w:top w:val="none" w:sz="0" w:space="0" w:color="auto"/>
        <w:left w:val="none" w:sz="0" w:space="0" w:color="auto"/>
        <w:bottom w:val="none" w:sz="0" w:space="0" w:color="auto"/>
        <w:right w:val="none" w:sz="0" w:space="0" w:color="auto"/>
      </w:divBdr>
    </w:div>
    <w:div w:id="443186223">
      <w:bodyDiv w:val="1"/>
      <w:marLeft w:val="0"/>
      <w:marRight w:val="0"/>
      <w:marTop w:val="0"/>
      <w:marBottom w:val="0"/>
      <w:divBdr>
        <w:top w:val="none" w:sz="0" w:space="0" w:color="auto"/>
        <w:left w:val="none" w:sz="0" w:space="0" w:color="auto"/>
        <w:bottom w:val="none" w:sz="0" w:space="0" w:color="auto"/>
        <w:right w:val="none" w:sz="0" w:space="0" w:color="auto"/>
      </w:divBdr>
    </w:div>
    <w:div w:id="455374924">
      <w:bodyDiv w:val="1"/>
      <w:marLeft w:val="0"/>
      <w:marRight w:val="0"/>
      <w:marTop w:val="0"/>
      <w:marBottom w:val="0"/>
      <w:divBdr>
        <w:top w:val="none" w:sz="0" w:space="0" w:color="auto"/>
        <w:left w:val="none" w:sz="0" w:space="0" w:color="auto"/>
        <w:bottom w:val="none" w:sz="0" w:space="0" w:color="auto"/>
        <w:right w:val="none" w:sz="0" w:space="0" w:color="auto"/>
      </w:divBdr>
    </w:div>
    <w:div w:id="639268086">
      <w:bodyDiv w:val="1"/>
      <w:marLeft w:val="0"/>
      <w:marRight w:val="0"/>
      <w:marTop w:val="0"/>
      <w:marBottom w:val="0"/>
      <w:divBdr>
        <w:top w:val="none" w:sz="0" w:space="0" w:color="auto"/>
        <w:left w:val="none" w:sz="0" w:space="0" w:color="auto"/>
        <w:bottom w:val="none" w:sz="0" w:space="0" w:color="auto"/>
        <w:right w:val="none" w:sz="0" w:space="0" w:color="auto"/>
      </w:divBdr>
    </w:div>
    <w:div w:id="682823312">
      <w:bodyDiv w:val="1"/>
      <w:marLeft w:val="0"/>
      <w:marRight w:val="0"/>
      <w:marTop w:val="0"/>
      <w:marBottom w:val="0"/>
      <w:divBdr>
        <w:top w:val="none" w:sz="0" w:space="0" w:color="auto"/>
        <w:left w:val="none" w:sz="0" w:space="0" w:color="auto"/>
        <w:bottom w:val="none" w:sz="0" w:space="0" w:color="auto"/>
        <w:right w:val="none" w:sz="0" w:space="0" w:color="auto"/>
      </w:divBdr>
    </w:div>
    <w:div w:id="710106903">
      <w:bodyDiv w:val="1"/>
      <w:marLeft w:val="0"/>
      <w:marRight w:val="0"/>
      <w:marTop w:val="0"/>
      <w:marBottom w:val="0"/>
      <w:divBdr>
        <w:top w:val="none" w:sz="0" w:space="0" w:color="auto"/>
        <w:left w:val="none" w:sz="0" w:space="0" w:color="auto"/>
        <w:bottom w:val="none" w:sz="0" w:space="0" w:color="auto"/>
        <w:right w:val="none" w:sz="0" w:space="0" w:color="auto"/>
      </w:divBdr>
    </w:div>
    <w:div w:id="767697766">
      <w:bodyDiv w:val="1"/>
      <w:marLeft w:val="0"/>
      <w:marRight w:val="0"/>
      <w:marTop w:val="0"/>
      <w:marBottom w:val="0"/>
      <w:divBdr>
        <w:top w:val="none" w:sz="0" w:space="0" w:color="auto"/>
        <w:left w:val="none" w:sz="0" w:space="0" w:color="auto"/>
        <w:bottom w:val="none" w:sz="0" w:space="0" w:color="auto"/>
        <w:right w:val="none" w:sz="0" w:space="0" w:color="auto"/>
      </w:divBdr>
    </w:div>
    <w:div w:id="793064967">
      <w:bodyDiv w:val="1"/>
      <w:marLeft w:val="0"/>
      <w:marRight w:val="0"/>
      <w:marTop w:val="0"/>
      <w:marBottom w:val="0"/>
      <w:divBdr>
        <w:top w:val="none" w:sz="0" w:space="0" w:color="auto"/>
        <w:left w:val="none" w:sz="0" w:space="0" w:color="auto"/>
        <w:bottom w:val="none" w:sz="0" w:space="0" w:color="auto"/>
        <w:right w:val="none" w:sz="0" w:space="0" w:color="auto"/>
      </w:divBdr>
    </w:div>
    <w:div w:id="833448448">
      <w:bodyDiv w:val="1"/>
      <w:marLeft w:val="0"/>
      <w:marRight w:val="0"/>
      <w:marTop w:val="0"/>
      <w:marBottom w:val="0"/>
      <w:divBdr>
        <w:top w:val="none" w:sz="0" w:space="0" w:color="auto"/>
        <w:left w:val="none" w:sz="0" w:space="0" w:color="auto"/>
        <w:bottom w:val="none" w:sz="0" w:space="0" w:color="auto"/>
        <w:right w:val="none" w:sz="0" w:space="0" w:color="auto"/>
      </w:divBdr>
    </w:div>
    <w:div w:id="1068191965">
      <w:bodyDiv w:val="1"/>
      <w:marLeft w:val="0"/>
      <w:marRight w:val="0"/>
      <w:marTop w:val="0"/>
      <w:marBottom w:val="0"/>
      <w:divBdr>
        <w:top w:val="none" w:sz="0" w:space="0" w:color="auto"/>
        <w:left w:val="none" w:sz="0" w:space="0" w:color="auto"/>
        <w:bottom w:val="none" w:sz="0" w:space="0" w:color="auto"/>
        <w:right w:val="none" w:sz="0" w:space="0" w:color="auto"/>
      </w:divBdr>
    </w:div>
    <w:div w:id="1233126369">
      <w:bodyDiv w:val="1"/>
      <w:marLeft w:val="0"/>
      <w:marRight w:val="0"/>
      <w:marTop w:val="0"/>
      <w:marBottom w:val="0"/>
      <w:divBdr>
        <w:top w:val="none" w:sz="0" w:space="0" w:color="auto"/>
        <w:left w:val="none" w:sz="0" w:space="0" w:color="auto"/>
        <w:bottom w:val="none" w:sz="0" w:space="0" w:color="auto"/>
        <w:right w:val="none" w:sz="0" w:space="0" w:color="auto"/>
      </w:divBdr>
    </w:div>
    <w:div w:id="1242831722">
      <w:bodyDiv w:val="1"/>
      <w:marLeft w:val="0"/>
      <w:marRight w:val="0"/>
      <w:marTop w:val="0"/>
      <w:marBottom w:val="0"/>
      <w:divBdr>
        <w:top w:val="none" w:sz="0" w:space="0" w:color="auto"/>
        <w:left w:val="none" w:sz="0" w:space="0" w:color="auto"/>
        <w:bottom w:val="none" w:sz="0" w:space="0" w:color="auto"/>
        <w:right w:val="none" w:sz="0" w:space="0" w:color="auto"/>
      </w:divBdr>
    </w:div>
    <w:div w:id="1521549839">
      <w:bodyDiv w:val="1"/>
      <w:marLeft w:val="0"/>
      <w:marRight w:val="0"/>
      <w:marTop w:val="0"/>
      <w:marBottom w:val="0"/>
      <w:divBdr>
        <w:top w:val="none" w:sz="0" w:space="0" w:color="auto"/>
        <w:left w:val="none" w:sz="0" w:space="0" w:color="auto"/>
        <w:bottom w:val="none" w:sz="0" w:space="0" w:color="auto"/>
        <w:right w:val="none" w:sz="0" w:space="0" w:color="auto"/>
      </w:divBdr>
    </w:div>
    <w:div w:id="1582569276">
      <w:bodyDiv w:val="1"/>
      <w:marLeft w:val="0"/>
      <w:marRight w:val="0"/>
      <w:marTop w:val="0"/>
      <w:marBottom w:val="0"/>
      <w:divBdr>
        <w:top w:val="none" w:sz="0" w:space="0" w:color="auto"/>
        <w:left w:val="none" w:sz="0" w:space="0" w:color="auto"/>
        <w:bottom w:val="none" w:sz="0" w:space="0" w:color="auto"/>
        <w:right w:val="none" w:sz="0" w:space="0" w:color="auto"/>
      </w:divBdr>
    </w:div>
    <w:div w:id="1594239055">
      <w:bodyDiv w:val="1"/>
      <w:marLeft w:val="0"/>
      <w:marRight w:val="0"/>
      <w:marTop w:val="0"/>
      <w:marBottom w:val="0"/>
      <w:divBdr>
        <w:top w:val="none" w:sz="0" w:space="0" w:color="auto"/>
        <w:left w:val="none" w:sz="0" w:space="0" w:color="auto"/>
        <w:bottom w:val="none" w:sz="0" w:space="0" w:color="auto"/>
        <w:right w:val="none" w:sz="0" w:space="0" w:color="auto"/>
      </w:divBdr>
    </w:div>
    <w:div w:id="1825850519">
      <w:bodyDiv w:val="1"/>
      <w:marLeft w:val="0"/>
      <w:marRight w:val="0"/>
      <w:marTop w:val="0"/>
      <w:marBottom w:val="0"/>
      <w:divBdr>
        <w:top w:val="none" w:sz="0" w:space="0" w:color="auto"/>
        <w:left w:val="none" w:sz="0" w:space="0" w:color="auto"/>
        <w:bottom w:val="none" w:sz="0" w:space="0" w:color="auto"/>
        <w:right w:val="none" w:sz="0" w:space="0" w:color="auto"/>
      </w:divBdr>
    </w:div>
    <w:div w:id="2007827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bontrust.com/resources/energy-efficiency-in-hotels" TargetMode="External"/><Relationship Id="rId13" Type="http://schemas.openxmlformats.org/officeDocument/2006/relationships/hyperlink" Target="https://doi.org/10.1371/journal.pone.0007940" TargetMode="External"/><Relationship Id="rId18" Type="http://schemas.openxmlformats.org/officeDocument/2006/relationships/hyperlink" Target="https://doi.org/10.1177/1938965518779291"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016/j.jhtm.2021.05.010" TargetMode="External"/><Relationship Id="rId7" Type="http://schemas.openxmlformats.org/officeDocument/2006/relationships/endnotes" Target="endnotes.xml"/><Relationship Id="rId12" Type="http://schemas.openxmlformats.org/officeDocument/2006/relationships/hyperlink" Target="https://doi.org/10.1080/09669582.2020.1765018" TargetMode="External"/><Relationship Id="rId17" Type="http://schemas.openxmlformats.org/officeDocument/2006/relationships/hyperlink" Target="https://doi.org/10.1016/j.resconrec.2017.09.005" TargetMode="External"/><Relationship Id="rId25" Type="http://schemas.openxmlformats.org/officeDocument/2006/relationships/hyperlink" Target="https://www.wri.org/research/reducing-food-loss-and-waste" TargetMode="External"/><Relationship Id="rId2" Type="http://schemas.openxmlformats.org/officeDocument/2006/relationships/numbering" Target="numbering.xml"/><Relationship Id="rId16" Type="http://schemas.openxmlformats.org/officeDocument/2006/relationships/hyperlink" Target="https://doi.org/10.1016/j.tmp.2016.02.001" TargetMode="External"/><Relationship Id="rId20" Type="http://schemas.openxmlformats.org/officeDocument/2006/relationships/hyperlink" Target="https://sustainablehospitalityalliance.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jhm.2020.102549" TargetMode="External"/><Relationship Id="rId24" Type="http://schemas.openxmlformats.org/officeDocument/2006/relationships/hyperlink" Target="https://www.winnowsolutions.com/case-studies" TargetMode="External"/><Relationship Id="rId5" Type="http://schemas.openxmlformats.org/officeDocument/2006/relationships/webSettings" Target="webSettings.xml"/><Relationship Id="rId15" Type="http://schemas.openxmlformats.org/officeDocument/2006/relationships/hyperlink" Target="https://www.ihgplc.com/en/sustainability" TargetMode="External"/><Relationship Id="rId23" Type="http://schemas.openxmlformats.org/officeDocument/2006/relationships/hyperlink" Target="https://sdgs.un.org/goals/goal12" TargetMode="External"/><Relationship Id="rId28" Type="http://schemas.openxmlformats.org/officeDocument/2006/relationships/theme" Target="theme/theme1.xml"/><Relationship Id="rId10" Type="http://schemas.openxmlformats.org/officeDocument/2006/relationships/hyperlink" Target="http://www.fao.org/food-loss-and-food-waste" TargetMode="External"/><Relationship Id="rId19" Type="http://schemas.openxmlformats.org/officeDocument/2006/relationships/hyperlink" Target="https://doi.org/10.1016/j.jclepro.2015.07.146" TargetMode="External"/><Relationship Id="rId4" Type="http://schemas.openxmlformats.org/officeDocument/2006/relationships/settings" Target="settings.xml"/><Relationship Id="rId9" Type="http://schemas.openxmlformats.org/officeDocument/2006/relationships/hyperlink" Target="https://www.epa.gov/ghgemissions/overview-greenhouse-gases" TargetMode="External"/><Relationship Id="rId14" Type="http://schemas.openxmlformats.org/officeDocument/2006/relationships/hyperlink" Target="https://esg.hilton.com/environment/food-waste" TargetMode="External"/><Relationship Id="rId22" Type="http://schemas.openxmlformats.org/officeDocument/2006/relationships/hyperlink" Target="https://www.gov.uk/government/publications/net-zero-strateg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56598-6408-470A-B476-C8F570E6D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10</Pages>
  <Words>2787</Words>
  <Characters>16672</Characters>
  <Application>Microsoft Office Word</Application>
  <DocSecurity>0</DocSecurity>
  <Lines>252</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cp:lastModifiedBy>
  <cp:revision>31</cp:revision>
  <dcterms:created xsi:type="dcterms:W3CDTF">2025-02-04T20:32:00Z</dcterms:created>
  <dcterms:modified xsi:type="dcterms:W3CDTF">2025-02-07T17:25:00Z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711b4b08b8c6f9687a7d4d0da4b299f670819172e61508d99c9f4e0de65edd1f</vt:lpwstr>
  </property>
</Properties>
</file>