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7A6" w:rsidRPr="002B0D65" w:rsidRDefault="00B93C94" w:rsidP="002B0D65">
      <w:pPr>
        <w:jc w:val="center"/>
        <w:rPr>
          <w:b/>
          <w:bCs/>
          <w:sz w:val="40"/>
          <w:szCs w:val="40"/>
        </w:rPr>
      </w:pPr>
      <w:r w:rsidRPr="002B0D65">
        <w:rPr>
          <w:b/>
          <w:bCs/>
          <w:sz w:val="40"/>
          <w:szCs w:val="40"/>
        </w:rPr>
        <w:t>Financial Management for the Hotel Industry</w:t>
      </w:r>
    </w:p>
    <w:p w:rsidR="00BA0C24" w:rsidRDefault="00B93C94" w:rsidP="00BA0C24">
      <w:pPr>
        <w:jc w:val="center"/>
        <w:rPr>
          <w:b/>
          <w:bCs/>
          <w:sz w:val="40"/>
          <w:szCs w:val="40"/>
        </w:rPr>
      </w:pPr>
      <w:r w:rsidRPr="002B0D65">
        <w:rPr>
          <w:b/>
          <w:bCs/>
          <w:sz w:val="40"/>
          <w:szCs w:val="40"/>
        </w:rPr>
        <w:t>BMIH5007</w:t>
      </w:r>
    </w:p>
    <w:p w:rsidR="006A1850" w:rsidRDefault="006A1850" w:rsidP="00BA0C24">
      <w:pPr>
        <w:jc w:val="center"/>
        <w:rPr>
          <w:b/>
          <w:bCs/>
          <w:sz w:val="40"/>
          <w:szCs w:val="40"/>
        </w:rPr>
      </w:pPr>
    </w:p>
    <w:p w:rsidR="006A1850" w:rsidRDefault="006A1850" w:rsidP="006A1850">
      <w:pPr>
        <w:jc w:val="center"/>
        <w:rPr>
          <w:b/>
          <w:bCs/>
          <w:sz w:val="40"/>
          <w:szCs w:val="40"/>
        </w:rPr>
      </w:pPr>
      <w:r>
        <w:rPr>
          <w:b/>
          <w:bCs/>
          <w:sz w:val="40"/>
          <w:szCs w:val="40"/>
        </w:rPr>
        <w:t>Student Name-</w:t>
      </w:r>
      <w:r w:rsidRPr="006D7590">
        <w:rPr>
          <w:b/>
          <w:bCs/>
          <w:sz w:val="40"/>
          <w:szCs w:val="40"/>
        </w:rPr>
        <w:t xml:space="preserve">Rahima Khatun </w:t>
      </w:r>
    </w:p>
    <w:p w:rsidR="006A1850" w:rsidRDefault="006A1850" w:rsidP="006A1850">
      <w:pPr>
        <w:jc w:val="center"/>
        <w:rPr>
          <w:b/>
          <w:bCs/>
          <w:sz w:val="40"/>
          <w:szCs w:val="40"/>
        </w:rPr>
      </w:pPr>
      <w:r>
        <w:rPr>
          <w:b/>
          <w:bCs/>
          <w:sz w:val="40"/>
          <w:szCs w:val="40"/>
        </w:rPr>
        <w:t>Student ID-</w:t>
      </w:r>
      <w:r w:rsidRPr="006D7590">
        <w:rPr>
          <w:b/>
          <w:bCs/>
          <w:sz w:val="40"/>
          <w:szCs w:val="40"/>
        </w:rPr>
        <w:t>2013064</w:t>
      </w:r>
    </w:p>
    <w:p w:rsidR="00535FC0" w:rsidRDefault="00B93C94" w:rsidP="00535FC0">
      <w:r>
        <w:t xml:space="preserve">This report has been developed on the financial management of the hotel industry. Financial analysis is an important part of an organisation and every organisation needs to maintain that appropriately for keeping a good record of the organisation. As if, related parties can use the information in their need. This report has two-part. In part one, the horizontal ratio analysis of an organisation has been described and relating to the analysis of ratio, some relevant topics have been described. </w:t>
      </w:r>
      <w:r w:rsidR="00BE71DC">
        <w:t xml:space="preserve">In task two, an individual has to describe the traditional-based budget and </w:t>
      </w:r>
      <w:r w:rsidR="00B91FE9">
        <w:t xml:space="preserve">zero-based budget from the perspective of another hotel. </w:t>
      </w:r>
      <w:r>
        <w:br w:type="page"/>
      </w:r>
    </w:p>
    <w:p w:rsidR="00B91FE9" w:rsidRDefault="00B93C94" w:rsidP="00662957">
      <w:pPr>
        <w:pStyle w:val="Heading1"/>
      </w:pPr>
      <w:bookmarkStart w:id="0" w:name="_Toc117078789"/>
      <w:r>
        <w:lastRenderedPageBreak/>
        <w:t>Task One</w:t>
      </w:r>
      <w:bookmarkEnd w:id="0"/>
    </w:p>
    <w:p w:rsidR="00662957" w:rsidRDefault="00B93C94" w:rsidP="00B91FE9">
      <w:pPr>
        <w:pStyle w:val="Heading2"/>
      </w:pPr>
      <w:bookmarkStart w:id="1" w:name="_Toc117078790"/>
      <w:r w:rsidRPr="00662957">
        <w:t>Accounting for Sustainability</w:t>
      </w:r>
      <w:bookmarkEnd w:id="1"/>
    </w:p>
    <w:p w:rsidR="004A647E" w:rsidRDefault="00B93C94" w:rsidP="00662957">
      <w:r w:rsidRPr="00662957">
        <w:t xml:space="preserve">The promotion and evaluation of durability are </w:t>
      </w:r>
      <w:r>
        <w:t xml:space="preserve">in the hotel and tourism industry </w:t>
      </w:r>
      <w:r w:rsidRPr="00662957">
        <w:t>in which accountants have a fairly wide role. They may put their abilities to use by aggregating data into helpful information, they can assist with the cost analysis of environmental choices, and they can be engaged in the auditing and ensuring of corporate social reporting.</w:t>
      </w:r>
    </w:p>
    <w:p w:rsidR="00E556E6" w:rsidRDefault="00B93C94" w:rsidP="00662957">
      <w:r w:rsidRPr="004A647E">
        <w:t>To compare two competing investment projects and come to a conclusion on social and environmental efforts, it is necessary to analyze the economic profits associated with each opportunity</w:t>
      </w:r>
      <w:r w:rsidR="00407D5C">
        <w:t xml:space="preserve"> (Marr, 2012)</w:t>
      </w:r>
      <w:r w:rsidRPr="004A647E">
        <w:t xml:space="preserve">. For instance, a development may necessitate the restoration of land to its original state; a choice may need to be made regarding the tyres to purchase in light of their associated costs and potential effects on roads maintained by the company, or the costs associated with the implementation of energy-efficient devices may need to be weighed against the costs associated with energy consumption. After that, this approach might be expanded to include the gathering, analysis, and reporting of information that is not qualitative.Setting up transparent processes and procedures, which are collectively referred to as "internal control," is one way to protect the authenticity of collected financial data as well as the data itself. Because accountants are already well-versed in this subject matter, they are excellent candidates for the role of helping to offer audits and assurance on the CSR reports that are provided by </w:t>
      </w:r>
      <w:r w:rsidR="002E11E7">
        <w:t>organisation</w:t>
      </w:r>
      <w:r w:rsidRPr="004A647E">
        <w:t>s</w:t>
      </w:r>
      <w:r w:rsidR="00407D5C">
        <w:t xml:space="preserve"> (Walsh, 2008)</w:t>
      </w:r>
      <w:r w:rsidRPr="004A647E">
        <w:t>. In addition to the internal controls that are in place, the systems that are in place as well as the reports that are created may be audited by independent third parties from the outside.</w:t>
      </w:r>
    </w:p>
    <w:p w:rsidR="00E556E6" w:rsidRDefault="00B93C94" w:rsidP="00B91FE9">
      <w:pPr>
        <w:pStyle w:val="Heading2"/>
      </w:pPr>
      <w:bookmarkStart w:id="2" w:name="_Toc117078791"/>
      <w:r>
        <w:t>Cost Volume Profit Analysis</w:t>
      </w:r>
      <w:bookmarkEnd w:id="2"/>
    </w:p>
    <w:p w:rsidR="0088203F" w:rsidRDefault="00B93C94" w:rsidP="00E556E6">
      <w:r w:rsidRPr="00E556E6">
        <w:t>The primary focus of a CVP study is to investigate how the varying levels of activity inside a company influence the financial outcomes of that company. The specific attention that is being paid to sales volume is because, in the short term, sales price as well as the cost of materials and labour are often known with a certain degree of precision</w:t>
      </w:r>
      <w:r w:rsidR="00407D5C" w:rsidRPr="00407D5C">
        <w:t>(Horngren, Datar and Rajan, 2016)</w:t>
      </w:r>
      <w:r w:rsidRPr="00E556E6">
        <w:t>. However, the number of sales is often difficult to forecast, and because of this, in the short term, profitability is frequently dependent on sales volume.</w:t>
      </w:r>
    </w:p>
    <w:p w:rsidR="0088203F" w:rsidRDefault="00B93C94" w:rsidP="0088203F">
      <w:r>
        <w:t>The behaviour of costs is measured to see how modifications made inside a business process might influence those expenses. For instance,</w:t>
      </w:r>
      <w:r w:rsidR="00733C92">
        <w:rPr>
          <w:lang w:val="en-US"/>
        </w:rPr>
        <w:t>Hilton Worldwide Holdings Inc.</w:t>
      </w:r>
      <w:r>
        <w:t xml:space="preserve"> may collaborate with a </w:t>
      </w:r>
      <w:r>
        <w:lastRenderedPageBreak/>
        <w:t xml:space="preserve">project manager to determine the expenses associated with completing a job through each step of the process. If the cost of the materials ends up being higher than anticipated, </w:t>
      </w:r>
      <w:r w:rsidR="00733C92">
        <w:t xml:space="preserve">the company </w:t>
      </w:r>
      <w:r>
        <w:t xml:space="preserve">will likely need to </w:t>
      </w:r>
      <w:r w:rsidR="00733C92">
        <w:t>reevaluate</w:t>
      </w:r>
      <w:r>
        <w:t xml:space="preserve"> the cost </w:t>
      </w:r>
      <w:r w:rsidR="00733C92">
        <w:t>behaviour</w:t>
      </w:r>
      <w:r>
        <w:t xml:space="preserve"> for the project.</w:t>
      </w:r>
    </w:p>
    <w:p w:rsidR="00797299" w:rsidRDefault="00B93C94" w:rsidP="0088203F">
      <w:r>
        <w:t xml:space="preserve">In its most basic form, cost </w:t>
      </w:r>
      <w:r w:rsidR="00733C92">
        <w:t>behaviour</w:t>
      </w:r>
      <w:r>
        <w:t xml:space="preserve"> is a strategy for controlling costs that are used by project managers and many other professions. It is a technique that helps determine the most effective approach to operate within the constraints of a budget to </w:t>
      </w:r>
      <w:r w:rsidR="00733C92">
        <w:t>fulfil</w:t>
      </w:r>
      <w:r>
        <w:t xml:space="preserve"> monetary and commercial objectives. If there are any indications of volatile changes, it is better to disclose these changes in </w:t>
      </w:r>
      <w:r w:rsidR="00733C92">
        <w:t xml:space="preserve">the </w:t>
      </w:r>
      <w:r w:rsidR="002E11E7">
        <w:t>organisation</w:t>
      </w:r>
      <w:r>
        <w:t>'s financial statements on a quarterly and yearly basis</w:t>
      </w:r>
      <w:r w:rsidR="00407D5C" w:rsidRPr="00407D5C">
        <w:t>(Lanen, Anderson and Maher, 2020)</w:t>
      </w:r>
      <w:r>
        <w:t xml:space="preserve">. If there are no signals of volatile changes, it is best to report these changes every month. </w:t>
      </w:r>
      <w:r w:rsidRPr="0088203F">
        <w:t xml:space="preserve">Marginal costs </w:t>
      </w:r>
      <w:r w:rsidR="00733C92">
        <w:t xml:space="preserve">or </w:t>
      </w:r>
      <w:r w:rsidRPr="0088203F">
        <w:t xml:space="preserve">production expenditures </w:t>
      </w:r>
      <w:r w:rsidR="00733C92">
        <w:t xml:space="preserve">are more like </w:t>
      </w:r>
      <w:r w:rsidRPr="0088203F">
        <w:t>variable or direct</w:t>
      </w:r>
      <w:r w:rsidR="00733C92">
        <w:t xml:space="preserve"> costs. The cost is related to the </w:t>
      </w:r>
      <w:r w:rsidR="00733C92" w:rsidRPr="0088203F">
        <w:t>labour</w:t>
      </w:r>
      <w:r w:rsidRPr="0088203F">
        <w:t>, materials, and equipment. They do not take into account fixed costs, which the firm will continue to have regardless of whether or not it raises output. Fixed costs are expenditures that remain the same no matter how many units of a product are produced. Examples of fixed costs include administrative overhead and marketing efforts.</w:t>
      </w:r>
    </w:p>
    <w:p w:rsidR="00797299" w:rsidRDefault="00B93C94" w:rsidP="00797299">
      <w:r>
        <w:t>The relevant expenses are those that shift depending on the decisions that are made. When there are two options available, and one can choose option A rather than option B, the relevant costs are those that will be different from the expenses that are connected with option B. These are the expenses that have a direct impact on a company's cash flow, which may be defined as the money that is flowing into and leaving the company. Relevant costs include those that are preventable, differential, and opportunity costs</w:t>
      </w:r>
      <w:r w:rsidR="00E839C2" w:rsidRPr="00E839C2">
        <w:t>(Horngren, Datar and Rajan, 2016)</w:t>
      </w:r>
      <w:r>
        <w:t xml:space="preserve">. The expenses </w:t>
      </w:r>
      <w:r w:rsidR="00FA73FF">
        <w:t xml:space="preserve">are related to </w:t>
      </w:r>
      <w:r>
        <w:t>a choice</w:t>
      </w:r>
      <w:r w:rsidR="00FA73FF">
        <w:t xml:space="preserve"> which</w:t>
      </w:r>
      <w:r>
        <w:t xml:space="preserve"> is considered irrelevant</w:t>
      </w:r>
      <w:r w:rsidR="00FA73FF">
        <w:t>.I</w:t>
      </w:r>
      <w:r>
        <w:t xml:space="preserve">f they will not change in the future regardless of which option is chosen. These are recurring expenses that will never stop occurring. Concerning our lemonade stand, regardless of whether or not we decide to sell cookies, we will still be required to squeeze lemons and keep up with the upkeep of our stand. By considering the factors, one can decide which costs are better for the industry and which are not. So that, they can make a decision based on that. In an organisation, decision-making is an important part and in part of decision-making, every single thing is a great factor. Because every single factor influences the core part of the decision-making. </w:t>
      </w:r>
    </w:p>
    <w:p w:rsidR="007B5874" w:rsidRDefault="00B93C94" w:rsidP="007B5874">
      <w:pPr>
        <w:rPr>
          <w:lang w:val="en-US"/>
        </w:rPr>
      </w:pPr>
      <w:r w:rsidRPr="001A7DAB">
        <w:rPr>
          <w:lang w:val="en-US"/>
        </w:rPr>
        <w:t xml:space="preserve">The cash budget is an estimate of cash revenues and how those receipts will be paid for throughout some future period. It deals with other budgets like research and development, materials, labour, </w:t>
      </w:r>
      <w:r w:rsidRPr="001A7DAB">
        <w:rPr>
          <w:lang w:val="en-US"/>
        </w:rPr>
        <w:lastRenderedPageBreak/>
        <w:t xml:space="preserve">and overhead </w:t>
      </w:r>
      <w:r w:rsidRPr="00E00C84">
        <w:t>costs</w:t>
      </w:r>
      <w:r w:rsidR="00E00C84" w:rsidRPr="00E00C84">
        <w:t xml:space="preserve"> (Burns, and Walker, 2014)</w:t>
      </w:r>
      <w:r w:rsidRPr="00E00C84">
        <w:t>. The</w:t>
      </w:r>
      <w:r w:rsidRPr="001A7DAB">
        <w:rPr>
          <w:lang w:val="en-US"/>
        </w:rPr>
        <w:t xml:space="preserve"> cash budget acts as an indication of the likely cash inflows and cash outflows throughout the budget period. Cash management procedures shall be strictly adhered to if expenditures are more than revenue. When there is a surplus, this means that total expenditures are lower than total revenue; at this point, a choice has to be taken on how to put the surplus to use.</w:t>
      </w:r>
      <w:r w:rsidRPr="007B5874">
        <w:rPr>
          <w:lang w:val="en-US"/>
        </w:rPr>
        <w:t xml:space="preserve">The cash budget details the cash revenues and cash expenditures that are anticipated for a certain period in the future. In a cash budget, the cash inflows and cash outflows of the firm are combined to illustrate the anticipated cash flows of the business.It is important to note that the summary of expected cash flows that are shown in a cash budget enables businesses to make plans for the availability of cash in the </w:t>
      </w:r>
      <w:r w:rsidRPr="00E00C84">
        <w:t>future</w:t>
      </w:r>
      <w:r w:rsidR="00E00C84" w:rsidRPr="00E00C84">
        <w:t xml:space="preserve"> (Baker, and English, 2011)</w:t>
      </w:r>
      <w:r w:rsidRPr="00E00C84">
        <w:t>. The</w:t>
      </w:r>
      <w:r w:rsidRPr="007B5874">
        <w:rPr>
          <w:lang w:val="en-US"/>
        </w:rPr>
        <w:t xml:space="preserve"> creation of financial plans requires taking into account both times of abundant and scarce monetary resources.The fact that the company maintains a large cash balance may indicate that it has not achieved its potential rate of return. If the company does not have sufficient financial reserves, then it won't be able to pay its bills.</w:t>
      </w:r>
    </w:p>
    <w:p w:rsidR="007B5874" w:rsidRDefault="00B93C94" w:rsidP="007B5874">
      <w:pPr>
        <w:rPr>
          <w:lang w:val="en-US"/>
        </w:rPr>
      </w:pPr>
      <w:r w:rsidRPr="007B5874">
        <w:rPr>
          <w:lang w:val="en-US"/>
        </w:rPr>
        <w:t xml:space="preserve">The term "working capital" refers to the sum of money that must be available to finance the yearly operational cash flow. When developing a budget for capital expenditures, it is essential to include provisions for sufficient liquid assets to support day-to-day business </w:t>
      </w:r>
      <w:r w:rsidRPr="00407D5C">
        <w:t>activities</w:t>
      </w:r>
      <w:r w:rsidR="00E00C84" w:rsidRPr="00407D5C">
        <w:t xml:space="preserve"> (Baños</w:t>
      </w:r>
      <w:r w:rsidR="00407D5C" w:rsidRPr="00407D5C">
        <w:t xml:space="preserve">, </w:t>
      </w:r>
      <w:r w:rsidR="00E00C84" w:rsidRPr="00407D5C">
        <w:t>García and Martínez</w:t>
      </w:r>
      <w:r w:rsidR="00407D5C" w:rsidRPr="00407D5C">
        <w:t xml:space="preserve">, </w:t>
      </w:r>
      <w:r w:rsidR="00E00C84" w:rsidRPr="00407D5C">
        <w:t>2010</w:t>
      </w:r>
      <w:r w:rsidR="00407D5C" w:rsidRPr="00407D5C">
        <w:t>)</w:t>
      </w:r>
      <w:r w:rsidRPr="00407D5C">
        <w:t>. Working</w:t>
      </w:r>
      <w:r w:rsidRPr="007B5874">
        <w:rPr>
          <w:lang w:val="en-US"/>
        </w:rPr>
        <w:t xml:space="preserve"> capital is an outflow of cash at the outset of a company initiative, much as the acquisition of capital assets is. When the project is over, the working capital acts as a cash inflow in the same way as the sale of the fixed assets does. It is possible that the quantity of working capital that is still available after the project will not be the same as the amount of working capital that was initially invested in the project.</w:t>
      </w:r>
    </w:p>
    <w:p w:rsidR="00D70E4A" w:rsidRDefault="00B93C94" w:rsidP="00797299">
      <w:pPr>
        <w:rPr>
          <w:lang w:val="en-US"/>
        </w:rPr>
      </w:pPr>
      <w:r w:rsidRPr="007B5874">
        <w:rPr>
          <w:lang w:val="en-US"/>
        </w:rPr>
        <w:t xml:space="preserve">The </w:t>
      </w:r>
      <w:bookmarkStart w:id="3" w:name="_Hlk117078459"/>
      <w:r w:rsidRPr="007B5874">
        <w:rPr>
          <w:lang w:val="en-US"/>
        </w:rPr>
        <w:t xml:space="preserve">cash budget </w:t>
      </w:r>
      <w:bookmarkEnd w:id="3"/>
      <w:r w:rsidRPr="007B5874">
        <w:rPr>
          <w:lang w:val="en-US"/>
        </w:rPr>
        <w:t xml:space="preserve">is intended to cater for all of the business's needs, including the provision of money for the purchase of fixed capital, while the working capital budget is intended to establish </w:t>
      </w:r>
      <w:r w:rsidRPr="00407D5C">
        <w:t>expected norms for the seasonal fluctuations in the business's current capital requirements</w:t>
      </w:r>
      <w:r w:rsidR="00407D5C" w:rsidRPr="00407D5C">
        <w:t xml:space="preserve"> (Amoako</w:t>
      </w:r>
      <w:r w:rsidR="00407D5C">
        <w:t xml:space="preserve"> et al., </w:t>
      </w:r>
      <w:r w:rsidR="00407D5C" w:rsidRPr="00407D5C">
        <w:t>2013)</w:t>
      </w:r>
      <w:r w:rsidRPr="00407D5C">
        <w:t>. The</w:t>
      </w:r>
      <w:r w:rsidRPr="007B5874">
        <w:rPr>
          <w:lang w:val="en-US"/>
        </w:rPr>
        <w:t xml:space="preserve"> cash budget serves many primary purposes, the most important of which are the following: the forecasting of cash demand, the cash position, the regulating of cash spending, expansion programs, and the formulation of a solid dividend policy. It offers information on a variety of sources of cash earnings as well as the applications of cash. It gives information on the expected revenues and payments that will occur in the future. Ensures payments are paid on the due date. It is advised that businesses revise their cash budgets regularly at the very least. </w:t>
      </w:r>
      <w:r w:rsidRPr="007B5874">
        <w:rPr>
          <w:lang w:val="en-US"/>
        </w:rPr>
        <w:lastRenderedPageBreak/>
        <w:t>However, depending on the requirements of the company, the budget could be revised at different intervals of time during the year.</w:t>
      </w:r>
    </w:p>
    <w:p w:rsidR="00D70E4A" w:rsidRDefault="00B93C94" w:rsidP="00797299">
      <w:pPr>
        <w:rPr>
          <w:lang w:val="en-US"/>
        </w:rPr>
      </w:pPr>
      <w:r>
        <w:rPr>
          <w:lang w:val="en-US"/>
        </w:rPr>
        <w:t xml:space="preserve">Here is the horizontal ratio analysis of Hilton Worldwide Holdings Inc. </w:t>
      </w:r>
      <w:r w:rsidR="00972C71">
        <w:rPr>
          <w:lang w:val="en-US"/>
        </w:rPr>
        <w:t xml:space="preserve">based on the income statement and Balance Sheet of the company. </w:t>
      </w:r>
    </w:p>
    <w:p w:rsidR="00620535" w:rsidRDefault="00B93C94" w:rsidP="00BA0C24">
      <w:pPr>
        <w:rPr>
          <w:b/>
          <w:bCs/>
          <w:sz w:val="28"/>
          <w:szCs w:val="28"/>
          <w:lang w:val="en-US"/>
        </w:rPr>
      </w:pPr>
      <w:r w:rsidRPr="00972C71">
        <w:rPr>
          <w:b/>
          <w:bCs/>
          <w:sz w:val="28"/>
          <w:szCs w:val="28"/>
          <w:lang w:val="en-US"/>
        </w:rPr>
        <w:t>Income Statement 2020 &amp; 2019</w:t>
      </w:r>
    </w:p>
    <w:p w:rsidR="00972C71" w:rsidRPr="00972C71" w:rsidRDefault="00B93C94" w:rsidP="00972C71">
      <w:pPr>
        <w:jc w:val="center"/>
        <w:rPr>
          <w:b/>
          <w:bCs/>
          <w:sz w:val="28"/>
          <w:szCs w:val="28"/>
          <w:lang w:val="en-US"/>
        </w:rPr>
      </w:pPr>
      <w:r>
        <w:rPr>
          <w:lang w:val="en-US"/>
        </w:rPr>
        <w:t>Hilton Worldwide Holdings Inc.</w:t>
      </w:r>
    </w:p>
    <w:tbl>
      <w:tblPr>
        <w:tblStyle w:val="TableGrid"/>
        <w:tblW w:w="0" w:type="auto"/>
        <w:tblLook w:val="04A0" w:firstRow="1" w:lastRow="0" w:firstColumn="1" w:lastColumn="0" w:noHBand="0" w:noVBand="1"/>
      </w:tblPr>
      <w:tblGrid>
        <w:gridCol w:w="2196"/>
        <w:gridCol w:w="1546"/>
        <w:gridCol w:w="1876"/>
        <w:gridCol w:w="1867"/>
        <w:gridCol w:w="1865"/>
      </w:tblGrid>
      <w:tr w:rsidR="00F02DED" w:rsidTr="00875E65">
        <w:tc>
          <w:tcPr>
            <w:tcW w:w="2268" w:type="dxa"/>
          </w:tcPr>
          <w:p w:rsidR="00620535" w:rsidRPr="00665C36" w:rsidRDefault="00620535" w:rsidP="00665C36">
            <w:pPr>
              <w:jc w:val="center"/>
              <w:rPr>
                <w:rFonts w:cs="Times New Roman"/>
                <w:b/>
                <w:bCs/>
                <w:sz w:val="28"/>
                <w:szCs w:val="28"/>
              </w:rPr>
            </w:pPr>
          </w:p>
        </w:tc>
        <w:tc>
          <w:tcPr>
            <w:tcW w:w="1562" w:type="dxa"/>
            <w:vAlign w:val="bottom"/>
          </w:tcPr>
          <w:p w:rsidR="00620535" w:rsidRPr="00665C36" w:rsidRDefault="00B93C94" w:rsidP="00665C36">
            <w:pPr>
              <w:jc w:val="center"/>
              <w:rPr>
                <w:rFonts w:cs="Times New Roman"/>
                <w:b/>
                <w:bCs/>
                <w:sz w:val="28"/>
                <w:szCs w:val="28"/>
              </w:rPr>
            </w:pPr>
            <w:r w:rsidRPr="00665C36">
              <w:rPr>
                <w:rFonts w:cs="Times New Roman"/>
                <w:b/>
                <w:bCs/>
                <w:color w:val="000000"/>
                <w:sz w:val="28"/>
                <w:szCs w:val="28"/>
              </w:rPr>
              <w:t>2020</w:t>
            </w:r>
          </w:p>
        </w:tc>
        <w:tc>
          <w:tcPr>
            <w:tcW w:w="1915" w:type="dxa"/>
            <w:vAlign w:val="bottom"/>
          </w:tcPr>
          <w:p w:rsidR="00620535" w:rsidRPr="00665C36" w:rsidRDefault="00B93C94" w:rsidP="00665C36">
            <w:pPr>
              <w:jc w:val="center"/>
              <w:rPr>
                <w:rFonts w:cs="Times New Roman"/>
                <w:b/>
                <w:bCs/>
                <w:sz w:val="28"/>
                <w:szCs w:val="28"/>
              </w:rPr>
            </w:pPr>
            <w:r w:rsidRPr="00665C36">
              <w:rPr>
                <w:rFonts w:cs="Times New Roman"/>
                <w:b/>
                <w:bCs/>
                <w:color w:val="000000"/>
                <w:sz w:val="28"/>
                <w:szCs w:val="28"/>
              </w:rPr>
              <w:t>2019</w:t>
            </w:r>
          </w:p>
        </w:tc>
        <w:tc>
          <w:tcPr>
            <w:tcW w:w="1915" w:type="dxa"/>
            <w:vAlign w:val="bottom"/>
          </w:tcPr>
          <w:p w:rsidR="00620535" w:rsidRPr="00665C36" w:rsidRDefault="00B93C94" w:rsidP="00665C36">
            <w:pPr>
              <w:jc w:val="center"/>
              <w:rPr>
                <w:rFonts w:cs="Times New Roman"/>
                <w:b/>
                <w:bCs/>
                <w:sz w:val="28"/>
                <w:szCs w:val="28"/>
              </w:rPr>
            </w:pPr>
            <w:r w:rsidRPr="00665C36">
              <w:rPr>
                <w:rFonts w:cs="Times New Roman"/>
                <w:b/>
                <w:bCs/>
                <w:color w:val="000000"/>
                <w:sz w:val="28"/>
                <w:szCs w:val="28"/>
              </w:rPr>
              <w:t>Change</w:t>
            </w:r>
          </w:p>
        </w:tc>
        <w:tc>
          <w:tcPr>
            <w:tcW w:w="1916" w:type="dxa"/>
            <w:vAlign w:val="bottom"/>
          </w:tcPr>
          <w:p w:rsidR="00620535" w:rsidRPr="00665C36" w:rsidRDefault="00B93C94" w:rsidP="00665C36">
            <w:pPr>
              <w:jc w:val="center"/>
              <w:rPr>
                <w:rFonts w:cs="Times New Roman"/>
                <w:b/>
                <w:bCs/>
                <w:sz w:val="28"/>
                <w:szCs w:val="28"/>
              </w:rPr>
            </w:pPr>
            <w:r w:rsidRPr="00665C36">
              <w:rPr>
                <w:rFonts w:cs="Times New Roman"/>
                <w:b/>
                <w:bCs/>
                <w:color w:val="000000"/>
                <w:sz w:val="28"/>
                <w:szCs w:val="28"/>
              </w:rPr>
              <w:t>% Change</w:t>
            </w:r>
          </w:p>
        </w:tc>
      </w:tr>
      <w:tr w:rsidR="00F02DED" w:rsidTr="00875E65">
        <w:tc>
          <w:tcPr>
            <w:tcW w:w="2268" w:type="dxa"/>
            <w:vAlign w:val="bottom"/>
          </w:tcPr>
          <w:p w:rsidR="00BA0C24" w:rsidRPr="00BA0C24" w:rsidRDefault="00B93C94" w:rsidP="00BA0C24">
            <w:pPr>
              <w:rPr>
                <w:rFonts w:cs="Times New Roman"/>
                <w:szCs w:val="24"/>
              </w:rPr>
            </w:pPr>
            <w:r w:rsidRPr="00BA0C24">
              <w:rPr>
                <w:rFonts w:cs="Times New Roman"/>
                <w:color w:val="000000"/>
                <w:szCs w:val="24"/>
              </w:rPr>
              <w:t>Fiscal Year Ends</w:t>
            </w:r>
          </w:p>
        </w:tc>
        <w:tc>
          <w:tcPr>
            <w:tcW w:w="1562" w:type="dxa"/>
            <w:vAlign w:val="bottom"/>
          </w:tcPr>
          <w:p w:rsidR="00BA0C24" w:rsidRPr="00BA0C24" w:rsidRDefault="00B93C94" w:rsidP="00BA0C24">
            <w:pPr>
              <w:rPr>
                <w:rFonts w:cs="Times New Roman"/>
                <w:szCs w:val="24"/>
              </w:rPr>
            </w:pPr>
            <w:r w:rsidRPr="00BA0C24">
              <w:rPr>
                <w:rFonts w:cs="Times New Roman"/>
                <w:color w:val="000000"/>
                <w:szCs w:val="24"/>
              </w:rPr>
              <w:t>31/12/2021</w:t>
            </w:r>
          </w:p>
        </w:tc>
        <w:tc>
          <w:tcPr>
            <w:tcW w:w="1915" w:type="dxa"/>
            <w:vAlign w:val="bottom"/>
          </w:tcPr>
          <w:p w:rsidR="00BA0C24" w:rsidRPr="00BA0C24" w:rsidRDefault="00B93C94" w:rsidP="00BA0C24">
            <w:pPr>
              <w:rPr>
                <w:rFonts w:cs="Times New Roman"/>
                <w:szCs w:val="24"/>
              </w:rPr>
            </w:pPr>
            <w:r w:rsidRPr="00BA0C24">
              <w:rPr>
                <w:rFonts w:cs="Times New Roman"/>
                <w:color w:val="000000"/>
                <w:szCs w:val="24"/>
              </w:rPr>
              <w:t>31/12/2020</w:t>
            </w:r>
          </w:p>
        </w:tc>
        <w:tc>
          <w:tcPr>
            <w:tcW w:w="1915" w:type="dxa"/>
          </w:tcPr>
          <w:p w:rsidR="00BA0C24" w:rsidRPr="00BA0C24" w:rsidRDefault="00BA0C24" w:rsidP="00BA0C24">
            <w:pPr>
              <w:rPr>
                <w:rFonts w:cs="Times New Roman"/>
                <w:szCs w:val="24"/>
              </w:rPr>
            </w:pPr>
          </w:p>
        </w:tc>
        <w:tc>
          <w:tcPr>
            <w:tcW w:w="1916" w:type="dxa"/>
          </w:tcPr>
          <w:p w:rsidR="00BA0C24" w:rsidRPr="00BA0C24" w:rsidRDefault="00BA0C24" w:rsidP="00BA0C24">
            <w:pPr>
              <w:rPr>
                <w:rFonts w:cs="Times New Roman"/>
                <w:szCs w:val="24"/>
              </w:rPr>
            </w:pPr>
          </w:p>
        </w:tc>
      </w:tr>
      <w:tr w:rsidR="00F02DED" w:rsidTr="00875E65">
        <w:tc>
          <w:tcPr>
            <w:tcW w:w="2268" w:type="dxa"/>
            <w:vAlign w:val="bottom"/>
          </w:tcPr>
          <w:p w:rsidR="00BA0C24" w:rsidRPr="00BA0C24" w:rsidRDefault="00B93C94" w:rsidP="00BA0C24">
            <w:pPr>
              <w:rPr>
                <w:rFonts w:cs="Times New Roman"/>
                <w:szCs w:val="24"/>
              </w:rPr>
            </w:pPr>
            <w:r w:rsidRPr="00BA0C24">
              <w:rPr>
                <w:rFonts w:cs="Times New Roman"/>
                <w:color w:val="000000"/>
                <w:szCs w:val="24"/>
              </w:rPr>
              <w:t>Sales</w:t>
            </w:r>
          </w:p>
        </w:tc>
        <w:tc>
          <w:tcPr>
            <w:tcW w:w="1562" w:type="dxa"/>
            <w:vAlign w:val="bottom"/>
          </w:tcPr>
          <w:p w:rsidR="00BA0C24" w:rsidRPr="00BA0C24" w:rsidRDefault="00B93C94" w:rsidP="00875E65">
            <w:pPr>
              <w:jc w:val="right"/>
              <w:rPr>
                <w:rFonts w:cs="Times New Roman"/>
                <w:szCs w:val="24"/>
              </w:rPr>
            </w:pPr>
            <w:r w:rsidRPr="00BA0C24">
              <w:rPr>
                <w:rFonts w:cs="Times New Roman"/>
                <w:color w:val="000000"/>
                <w:szCs w:val="24"/>
              </w:rPr>
              <w:t>4,307,000</w:t>
            </w:r>
          </w:p>
        </w:tc>
        <w:tc>
          <w:tcPr>
            <w:tcW w:w="1915" w:type="dxa"/>
            <w:vAlign w:val="bottom"/>
          </w:tcPr>
          <w:p w:rsidR="00BA0C24" w:rsidRPr="00BA0C24" w:rsidRDefault="00B93C94" w:rsidP="00875E65">
            <w:pPr>
              <w:jc w:val="right"/>
              <w:rPr>
                <w:rFonts w:cs="Times New Roman"/>
                <w:szCs w:val="24"/>
              </w:rPr>
            </w:pPr>
            <w:r w:rsidRPr="00BA0C24">
              <w:rPr>
                <w:rFonts w:cs="Times New Roman"/>
                <w:color w:val="000000"/>
                <w:szCs w:val="24"/>
              </w:rPr>
              <w:t>9,452,000</w:t>
            </w:r>
          </w:p>
        </w:tc>
        <w:tc>
          <w:tcPr>
            <w:tcW w:w="1915" w:type="dxa"/>
          </w:tcPr>
          <w:p w:rsidR="00BA0C24" w:rsidRPr="00BA0C24" w:rsidRDefault="00B93C94" w:rsidP="00875E65">
            <w:pPr>
              <w:jc w:val="right"/>
              <w:rPr>
                <w:rFonts w:cs="Times New Roman"/>
                <w:szCs w:val="24"/>
              </w:rPr>
            </w:pPr>
            <w:r>
              <w:rPr>
                <w:rFonts w:cs="Times New Roman"/>
                <w:szCs w:val="24"/>
              </w:rPr>
              <w:t>-5,145,000</w:t>
            </w:r>
          </w:p>
        </w:tc>
        <w:tc>
          <w:tcPr>
            <w:tcW w:w="1916" w:type="dxa"/>
          </w:tcPr>
          <w:p w:rsidR="00BA0C24" w:rsidRPr="00BA0C24" w:rsidRDefault="00B93C94" w:rsidP="00875E65">
            <w:pPr>
              <w:jc w:val="right"/>
              <w:rPr>
                <w:rFonts w:cs="Times New Roman"/>
                <w:szCs w:val="24"/>
              </w:rPr>
            </w:pPr>
            <w:r>
              <w:rPr>
                <w:rFonts w:cs="Times New Roman"/>
                <w:szCs w:val="24"/>
              </w:rPr>
              <w:t>-54.4329</w:t>
            </w:r>
          </w:p>
        </w:tc>
      </w:tr>
      <w:tr w:rsidR="00F02DED" w:rsidTr="00875E65">
        <w:tc>
          <w:tcPr>
            <w:tcW w:w="2268" w:type="dxa"/>
            <w:vAlign w:val="bottom"/>
          </w:tcPr>
          <w:p w:rsidR="00BA0C24" w:rsidRPr="00BA0C24" w:rsidRDefault="00B93C94" w:rsidP="00BA0C24">
            <w:pPr>
              <w:rPr>
                <w:rFonts w:cs="Times New Roman"/>
                <w:szCs w:val="24"/>
              </w:rPr>
            </w:pPr>
            <w:r w:rsidRPr="00BA0C24">
              <w:rPr>
                <w:rFonts w:cs="Times New Roman"/>
                <w:color w:val="000000"/>
                <w:szCs w:val="24"/>
              </w:rPr>
              <w:t>Cost of goods sold</w:t>
            </w:r>
          </w:p>
        </w:tc>
        <w:tc>
          <w:tcPr>
            <w:tcW w:w="1562" w:type="dxa"/>
            <w:vAlign w:val="bottom"/>
          </w:tcPr>
          <w:p w:rsidR="00BA0C24" w:rsidRPr="00BA0C24" w:rsidRDefault="00B93C94" w:rsidP="00875E65">
            <w:pPr>
              <w:jc w:val="right"/>
              <w:rPr>
                <w:rFonts w:cs="Times New Roman"/>
                <w:szCs w:val="24"/>
              </w:rPr>
            </w:pPr>
            <w:r w:rsidRPr="00BA0C24">
              <w:rPr>
                <w:rFonts w:cs="Times New Roman"/>
                <w:color w:val="000000"/>
                <w:szCs w:val="24"/>
              </w:rPr>
              <w:t>3,724,000</w:t>
            </w:r>
          </w:p>
        </w:tc>
        <w:tc>
          <w:tcPr>
            <w:tcW w:w="1915" w:type="dxa"/>
            <w:vAlign w:val="bottom"/>
          </w:tcPr>
          <w:p w:rsidR="00BA0C24" w:rsidRPr="00BA0C24" w:rsidRDefault="00B93C94" w:rsidP="00875E65">
            <w:pPr>
              <w:jc w:val="right"/>
              <w:rPr>
                <w:rFonts w:cs="Times New Roman"/>
                <w:szCs w:val="24"/>
              </w:rPr>
            </w:pPr>
            <w:r w:rsidRPr="00BA0C24">
              <w:rPr>
                <w:rFonts w:cs="Times New Roman"/>
                <w:color w:val="000000"/>
                <w:szCs w:val="24"/>
              </w:rPr>
              <w:t>7,017,000</w:t>
            </w:r>
          </w:p>
        </w:tc>
        <w:tc>
          <w:tcPr>
            <w:tcW w:w="1915" w:type="dxa"/>
          </w:tcPr>
          <w:p w:rsidR="00BA0C24" w:rsidRPr="00BA0C24" w:rsidRDefault="00B93C94" w:rsidP="00875E65">
            <w:pPr>
              <w:jc w:val="right"/>
              <w:rPr>
                <w:rFonts w:cs="Times New Roman"/>
                <w:szCs w:val="24"/>
              </w:rPr>
            </w:pPr>
            <w:r>
              <w:rPr>
                <w:rFonts w:cs="Times New Roman"/>
                <w:szCs w:val="24"/>
              </w:rPr>
              <w:t>-3,293,000</w:t>
            </w:r>
          </w:p>
        </w:tc>
        <w:tc>
          <w:tcPr>
            <w:tcW w:w="1916" w:type="dxa"/>
          </w:tcPr>
          <w:p w:rsidR="00BA0C24" w:rsidRPr="00BA0C24" w:rsidRDefault="00B93C94" w:rsidP="00875E65">
            <w:pPr>
              <w:jc w:val="right"/>
              <w:rPr>
                <w:rFonts w:cs="Times New Roman"/>
                <w:szCs w:val="24"/>
              </w:rPr>
            </w:pPr>
            <w:r>
              <w:rPr>
                <w:rFonts w:cs="Times New Roman"/>
                <w:szCs w:val="24"/>
              </w:rPr>
              <w:t>-46.9288</w:t>
            </w:r>
          </w:p>
        </w:tc>
      </w:tr>
      <w:tr w:rsidR="00F02DED" w:rsidTr="00875E65">
        <w:tc>
          <w:tcPr>
            <w:tcW w:w="2268" w:type="dxa"/>
            <w:vAlign w:val="bottom"/>
          </w:tcPr>
          <w:p w:rsidR="00BA0C24" w:rsidRPr="00BA0C24" w:rsidRDefault="00B93C94" w:rsidP="00BA0C24">
            <w:pPr>
              <w:rPr>
                <w:rFonts w:cs="Times New Roman"/>
                <w:szCs w:val="24"/>
              </w:rPr>
            </w:pPr>
            <w:r w:rsidRPr="00BA0C24">
              <w:rPr>
                <w:rFonts w:cs="Times New Roman"/>
                <w:color w:val="000000"/>
                <w:szCs w:val="24"/>
              </w:rPr>
              <w:t>Gross profit</w:t>
            </w:r>
          </w:p>
        </w:tc>
        <w:tc>
          <w:tcPr>
            <w:tcW w:w="1562" w:type="dxa"/>
            <w:vAlign w:val="bottom"/>
          </w:tcPr>
          <w:p w:rsidR="00BA0C24" w:rsidRPr="00BA0C24" w:rsidRDefault="00B93C94" w:rsidP="00875E65">
            <w:pPr>
              <w:jc w:val="right"/>
              <w:rPr>
                <w:rFonts w:cs="Times New Roman"/>
                <w:szCs w:val="24"/>
              </w:rPr>
            </w:pPr>
            <w:r w:rsidRPr="00BA0C24">
              <w:rPr>
                <w:rFonts w:cs="Times New Roman"/>
                <w:color w:val="000000"/>
                <w:szCs w:val="24"/>
              </w:rPr>
              <w:t>583,000</w:t>
            </w:r>
          </w:p>
        </w:tc>
        <w:tc>
          <w:tcPr>
            <w:tcW w:w="1915" w:type="dxa"/>
            <w:vAlign w:val="bottom"/>
          </w:tcPr>
          <w:p w:rsidR="00BA0C24" w:rsidRPr="00BA0C24" w:rsidRDefault="00B93C94" w:rsidP="00875E65">
            <w:pPr>
              <w:jc w:val="right"/>
              <w:rPr>
                <w:rFonts w:cs="Times New Roman"/>
                <w:szCs w:val="24"/>
              </w:rPr>
            </w:pPr>
            <w:r w:rsidRPr="00BA0C24">
              <w:rPr>
                <w:rFonts w:cs="Times New Roman"/>
                <w:color w:val="000000"/>
                <w:szCs w:val="24"/>
              </w:rPr>
              <w:t>2,435,000</w:t>
            </w:r>
          </w:p>
        </w:tc>
        <w:tc>
          <w:tcPr>
            <w:tcW w:w="1915" w:type="dxa"/>
          </w:tcPr>
          <w:p w:rsidR="00BA0C24" w:rsidRPr="00BA0C24" w:rsidRDefault="00B93C94" w:rsidP="00875E65">
            <w:pPr>
              <w:jc w:val="right"/>
              <w:rPr>
                <w:rFonts w:cs="Times New Roman"/>
                <w:szCs w:val="24"/>
              </w:rPr>
            </w:pPr>
            <w:r>
              <w:rPr>
                <w:rFonts w:cs="Times New Roman"/>
                <w:szCs w:val="24"/>
              </w:rPr>
              <w:t>-1,852,000</w:t>
            </w:r>
          </w:p>
        </w:tc>
        <w:tc>
          <w:tcPr>
            <w:tcW w:w="1916" w:type="dxa"/>
          </w:tcPr>
          <w:p w:rsidR="00BA0C24" w:rsidRPr="00BA0C24" w:rsidRDefault="00B93C94" w:rsidP="00875E65">
            <w:pPr>
              <w:jc w:val="right"/>
              <w:rPr>
                <w:rFonts w:cs="Times New Roman"/>
                <w:szCs w:val="24"/>
              </w:rPr>
            </w:pPr>
            <w:r>
              <w:rPr>
                <w:rFonts w:cs="Times New Roman"/>
                <w:szCs w:val="24"/>
              </w:rPr>
              <w:t>-76.0574</w:t>
            </w:r>
          </w:p>
        </w:tc>
      </w:tr>
      <w:tr w:rsidR="00F02DED" w:rsidTr="00875E65">
        <w:tc>
          <w:tcPr>
            <w:tcW w:w="2268" w:type="dxa"/>
            <w:vAlign w:val="bottom"/>
          </w:tcPr>
          <w:p w:rsidR="00BA0C24" w:rsidRPr="00BA0C24" w:rsidRDefault="00B93C94" w:rsidP="00BA0C24">
            <w:pPr>
              <w:rPr>
                <w:rFonts w:cs="Times New Roman"/>
                <w:szCs w:val="24"/>
              </w:rPr>
            </w:pPr>
            <w:r w:rsidRPr="00BA0C24">
              <w:rPr>
                <w:rFonts w:cs="Times New Roman"/>
                <w:color w:val="000000"/>
                <w:szCs w:val="24"/>
              </w:rPr>
              <w:t>Operating Expenses</w:t>
            </w:r>
          </w:p>
        </w:tc>
        <w:tc>
          <w:tcPr>
            <w:tcW w:w="1562" w:type="dxa"/>
            <w:vAlign w:val="bottom"/>
          </w:tcPr>
          <w:p w:rsidR="00BA0C24" w:rsidRPr="00BA0C24" w:rsidRDefault="00B93C94" w:rsidP="00875E65">
            <w:pPr>
              <w:jc w:val="right"/>
              <w:rPr>
                <w:rFonts w:cs="Times New Roman"/>
                <w:szCs w:val="24"/>
              </w:rPr>
            </w:pPr>
            <w:r w:rsidRPr="00BA0C24">
              <w:rPr>
                <w:rFonts w:cs="Times New Roman"/>
                <w:color w:val="000000"/>
                <w:szCs w:val="24"/>
              </w:rPr>
              <w:t>702,000</w:t>
            </w:r>
          </w:p>
        </w:tc>
        <w:tc>
          <w:tcPr>
            <w:tcW w:w="1915" w:type="dxa"/>
            <w:vAlign w:val="bottom"/>
          </w:tcPr>
          <w:p w:rsidR="00BA0C24" w:rsidRPr="00BA0C24" w:rsidRDefault="00B93C94" w:rsidP="00875E65">
            <w:pPr>
              <w:jc w:val="right"/>
              <w:rPr>
                <w:rFonts w:cs="Times New Roman"/>
                <w:szCs w:val="24"/>
              </w:rPr>
            </w:pPr>
            <w:r w:rsidRPr="00BA0C24">
              <w:rPr>
                <w:rFonts w:cs="Times New Roman"/>
                <w:color w:val="000000"/>
                <w:szCs w:val="24"/>
              </w:rPr>
              <w:t>859,000</w:t>
            </w:r>
          </w:p>
        </w:tc>
        <w:tc>
          <w:tcPr>
            <w:tcW w:w="1915" w:type="dxa"/>
          </w:tcPr>
          <w:p w:rsidR="00BA0C24" w:rsidRPr="00BA0C24" w:rsidRDefault="00B93C94" w:rsidP="00875E65">
            <w:pPr>
              <w:jc w:val="right"/>
              <w:rPr>
                <w:rFonts w:cs="Times New Roman"/>
                <w:szCs w:val="24"/>
              </w:rPr>
            </w:pPr>
            <w:r>
              <w:rPr>
                <w:rFonts w:cs="Times New Roman"/>
                <w:szCs w:val="24"/>
              </w:rPr>
              <w:t>-157,000</w:t>
            </w:r>
          </w:p>
        </w:tc>
        <w:tc>
          <w:tcPr>
            <w:tcW w:w="1916" w:type="dxa"/>
          </w:tcPr>
          <w:p w:rsidR="00BA0C24" w:rsidRPr="00BA0C24" w:rsidRDefault="00B93C94" w:rsidP="00875E65">
            <w:pPr>
              <w:jc w:val="right"/>
              <w:rPr>
                <w:rFonts w:cs="Times New Roman"/>
                <w:szCs w:val="24"/>
              </w:rPr>
            </w:pPr>
            <w:r>
              <w:rPr>
                <w:rFonts w:cs="Times New Roman"/>
                <w:szCs w:val="24"/>
              </w:rPr>
              <w:t>-18.2770</w:t>
            </w:r>
          </w:p>
        </w:tc>
      </w:tr>
      <w:tr w:rsidR="00F02DED" w:rsidTr="00875E65">
        <w:tc>
          <w:tcPr>
            <w:tcW w:w="2268" w:type="dxa"/>
            <w:vAlign w:val="bottom"/>
          </w:tcPr>
          <w:p w:rsidR="00BA0C24" w:rsidRPr="00BA0C24" w:rsidRDefault="00B93C94" w:rsidP="00BA0C24">
            <w:pPr>
              <w:rPr>
                <w:rFonts w:cs="Times New Roman"/>
                <w:szCs w:val="24"/>
              </w:rPr>
            </w:pPr>
            <w:r w:rsidRPr="00BA0C24">
              <w:rPr>
                <w:rFonts w:cs="Times New Roman"/>
                <w:color w:val="000000"/>
                <w:szCs w:val="24"/>
              </w:rPr>
              <w:t>Operating income</w:t>
            </w:r>
          </w:p>
        </w:tc>
        <w:tc>
          <w:tcPr>
            <w:tcW w:w="1562" w:type="dxa"/>
            <w:vAlign w:val="bottom"/>
          </w:tcPr>
          <w:p w:rsidR="00BA0C24" w:rsidRPr="00BA0C24" w:rsidRDefault="00B93C94" w:rsidP="00875E65">
            <w:pPr>
              <w:jc w:val="right"/>
              <w:rPr>
                <w:rFonts w:cs="Times New Roman"/>
                <w:szCs w:val="24"/>
              </w:rPr>
            </w:pPr>
            <w:r w:rsidRPr="00BA0C24">
              <w:rPr>
                <w:rFonts w:cs="Times New Roman"/>
                <w:color w:val="000000"/>
                <w:szCs w:val="24"/>
              </w:rPr>
              <w:t>-119,000</w:t>
            </w:r>
          </w:p>
        </w:tc>
        <w:tc>
          <w:tcPr>
            <w:tcW w:w="1915" w:type="dxa"/>
            <w:vAlign w:val="bottom"/>
          </w:tcPr>
          <w:p w:rsidR="00BA0C24" w:rsidRPr="00BA0C24" w:rsidRDefault="00B93C94" w:rsidP="00875E65">
            <w:pPr>
              <w:jc w:val="right"/>
              <w:rPr>
                <w:rFonts w:cs="Times New Roman"/>
                <w:szCs w:val="24"/>
              </w:rPr>
            </w:pPr>
            <w:r w:rsidRPr="00BA0C24">
              <w:rPr>
                <w:rFonts w:cs="Times New Roman"/>
                <w:color w:val="000000"/>
                <w:szCs w:val="24"/>
              </w:rPr>
              <w:t>1,576,000</w:t>
            </w:r>
          </w:p>
        </w:tc>
        <w:tc>
          <w:tcPr>
            <w:tcW w:w="1915" w:type="dxa"/>
          </w:tcPr>
          <w:p w:rsidR="00BA0C24" w:rsidRPr="00BA0C24" w:rsidRDefault="00B93C94" w:rsidP="00875E65">
            <w:pPr>
              <w:jc w:val="right"/>
              <w:rPr>
                <w:rFonts w:cs="Times New Roman"/>
                <w:szCs w:val="24"/>
              </w:rPr>
            </w:pPr>
            <w:r>
              <w:rPr>
                <w:rFonts w:cs="Times New Roman"/>
                <w:szCs w:val="24"/>
              </w:rPr>
              <w:t>-1,695,000</w:t>
            </w:r>
          </w:p>
        </w:tc>
        <w:tc>
          <w:tcPr>
            <w:tcW w:w="1916" w:type="dxa"/>
          </w:tcPr>
          <w:p w:rsidR="00BA0C24" w:rsidRPr="00BA0C24" w:rsidRDefault="00B93C94" w:rsidP="00875E65">
            <w:pPr>
              <w:jc w:val="right"/>
              <w:rPr>
                <w:rFonts w:cs="Times New Roman"/>
                <w:szCs w:val="24"/>
              </w:rPr>
            </w:pPr>
            <w:r>
              <w:rPr>
                <w:rFonts w:cs="Times New Roman"/>
                <w:szCs w:val="24"/>
              </w:rPr>
              <w:t>-107.5508</w:t>
            </w:r>
          </w:p>
        </w:tc>
      </w:tr>
      <w:tr w:rsidR="00F02DED" w:rsidTr="00875E65">
        <w:tc>
          <w:tcPr>
            <w:tcW w:w="2268" w:type="dxa"/>
            <w:vAlign w:val="bottom"/>
          </w:tcPr>
          <w:p w:rsidR="00BA0C24" w:rsidRPr="00BA0C24" w:rsidRDefault="00B93C94" w:rsidP="00BA0C24">
            <w:pPr>
              <w:rPr>
                <w:rFonts w:cs="Times New Roman"/>
                <w:szCs w:val="24"/>
              </w:rPr>
            </w:pPr>
            <w:r w:rsidRPr="00BA0C24">
              <w:rPr>
                <w:rFonts w:cs="Times New Roman"/>
                <w:color w:val="000000"/>
                <w:szCs w:val="24"/>
              </w:rPr>
              <w:t>Interest Expense</w:t>
            </w:r>
          </w:p>
        </w:tc>
        <w:tc>
          <w:tcPr>
            <w:tcW w:w="1562" w:type="dxa"/>
            <w:vAlign w:val="bottom"/>
          </w:tcPr>
          <w:p w:rsidR="00BA0C24" w:rsidRPr="00BA0C24" w:rsidRDefault="00B93C94" w:rsidP="00875E65">
            <w:pPr>
              <w:jc w:val="right"/>
              <w:rPr>
                <w:rFonts w:cs="Times New Roman"/>
                <w:szCs w:val="24"/>
              </w:rPr>
            </w:pPr>
            <w:r w:rsidRPr="00BA0C24">
              <w:rPr>
                <w:rFonts w:cs="Times New Roman"/>
                <w:color w:val="000000"/>
                <w:szCs w:val="24"/>
              </w:rPr>
              <w:t>429,000</w:t>
            </w:r>
          </w:p>
        </w:tc>
        <w:tc>
          <w:tcPr>
            <w:tcW w:w="1915" w:type="dxa"/>
            <w:vAlign w:val="bottom"/>
          </w:tcPr>
          <w:p w:rsidR="00BA0C24" w:rsidRPr="00BA0C24" w:rsidRDefault="00B93C94" w:rsidP="00875E65">
            <w:pPr>
              <w:jc w:val="right"/>
              <w:rPr>
                <w:rFonts w:cs="Times New Roman"/>
                <w:szCs w:val="24"/>
              </w:rPr>
            </w:pPr>
            <w:r w:rsidRPr="00BA0C24">
              <w:rPr>
                <w:rFonts w:cs="Times New Roman"/>
                <w:color w:val="000000"/>
                <w:szCs w:val="24"/>
              </w:rPr>
              <w:t>414,000</w:t>
            </w:r>
          </w:p>
        </w:tc>
        <w:tc>
          <w:tcPr>
            <w:tcW w:w="1915" w:type="dxa"/>
          </w:tcPr>
          <w:p w:rsidR="00BA0C24" w:rsidRPr="00BA0C24" w:rsidRDefault="00B93C94" w:rsidP="00875E65">
            <w:pPr>
              <w:jc w:val="right"/>
              <w:rPr>
                <w:rFonts w:cs="Times New Roman"/>
                <w:szCs w:val="24"/>
              </w:rPr>
            </w:pPr>
            <w:r>
              <w:rPr>
                <w:rFonts w:cs="Times New Roman"/>
                <w:szCs w:val="24"/>
              </w:rPr>
              <w:t>15,000</w:t>
            </w:r>
          </w:p>
        </w:tc>
        <w:tc>
          <w:tcPr>
            <w:tcW w:w="1916" w:type="dxa"/>
          </w:tcPr>
          <w:p w:rsidR="00BA0C24" w:rsidRPr="00BA0C24" w:rsidRDefault="00B93C94" w:rsidP="00875E65">
            <w:pPr>
              <w:jc w:val="right"/>
              <w:rPr>
                <w:rFonts w:cs="Times New Roman"/>
                <w:szCs w:val="24"/>
              </w:rPr>
            </w:pPr>
            <w:r>
              <w:rPr>
                <w:rFonts w:cs="Times New Roman"/>
                <w:szCs w:val="24"/>
              </w:rPr>
              <w:t>3.6232</w:t>
            </w:r>
          </w:p>
        </w:tc>
      </w:tr>
      <w:tr w:rsidR="00F02DED" w:rsidTr="00875E65">
        <w:tc>
          <w:tcPr>
            <w:tcW w:w="2268" w:type="dxa"/>
            <w:vAlign w:val="bottom"/>
          </w:tcPr>
          <w:p w:rsidR="00BA0C24" w:rsidRPr="00BA0C24" w:rsidRDefault="00B93C94" w:rsidP="00BA0C24">
            <w:pPr>
              <w:rPr>
                <w:rFonts w:cs="Times New Roman"/>
                <w:color w:val="000000"/>
                <w:szCs w:val="24"/>
              </w:rPr>
            </w:pPr>
            <w:r w:rsidRPr="00BA0C24">
              <w:rPr>
                <w:rFonts w:cs="Times New Roman"/>
                <w:color w:val="000000"/>
                <w:szCs w:val="24"/>
              </w:rPr>
              <w:t xml:space="preserve">Total Other income/ expenses net </w:t>
            </w:r>
          </w:p>
        </w:tc>
        <w:tc>
          <w:tcPr>
            <w:tcW w:w="1562" w:type="dxa"/>
            <w:vAlign w:val="bottom"/>
          </w:tcPr>
          <w:p w:rsidR="00BA0C24" w:rsidRPr="00BA0C24" w:rsidRDefault="00B93C94" w:rsidP="00875E65">
            <w:pPr>
              <w:jc w:val="right"/>
              <w:rPr>
                <w:rFonts w:cs="Times New Roman"/>
                <w:color w:val="000000"/>
                <w:szCs w:val="24"/>
              </w:rPr>
            </w:pPr>
            <w:r w:rsidRPr="00BA0C24">
              <w:rPr>
                <w:rFonts w:cs="Times New Roman"/>
                <w:color w:val="000000"/>
                <w:szCs w:val="24"/>
              </w:rPr>
              <w:t>-376,000</w:t>
            </w:r>
          </w:p>
        </w:tc>
        <w:tc>
          <w:tcPr>
            <w:tcW w:w="1915" w:type="dxa"/>
            <w:vAlign w:val="bottom"/>
          </w:tcPr>
          <w:p w:rsidR="00BA0C24" w:rsidRPr="00BA0C24" w:rsidRDefault="00B93C94" w:rsidP="00875E65">
            <w:pPr>
              <w:jc w:val="right"/>
              <w:rPr>
                <w:rFonts w:cs="Times New Roman"/>
                <w:color w:val="000000"/>
                <w:szCs w:val="24"/>
              </w:rPr>
            </w:pPr>
            <w:r w:rsidRPr="00BA0C24">
              <w:rPr>
                <w:rFonts w:cs="Times New Roman"/>
                <w:color w:val="000000"/>
                <w:szCs w:val="24"/>
              </w:rPr>
              <w:t>82,000</w:t>
            </w:r>
          </w:p>
        </w:tc>
        <w:tc>
          <w:tcPr>
            <w:tcW w:w="1915" w:type="dxa"/>
          </w:tcPr>
          <w:p w:rsidR="00712BC2" w:rsidRDefault="00712BC2" w:rsidP="00875E65">
            <w:pPr>
              <w:jc w:val="right"/>
              <w:rPr>
                <w:rFonts w:cs="Times New Roman"/>
                <w:szCs w:val="24"/>
              </w:rPr>
            </w:pPr>
          </w:p>
          <w:p w:rsidR="00BA0C24" w:rsidRPr="00BA0C24" w:rsidRDefault="00B93C94" w:rsidP="00875E65">
            <w:pPr>
              <w:jc w:val="right"/>
              <w:rPr>
                <w:rFonts w:cs="Times New Roman"/>
                <w:szCs w:val="24"/>
              </w:rPr>
            </w:pPr>
            <w:r>
              <w:rPr>
                <w:rFonts w:cs="Times New Roman"/>
                <w:szCs w:val="24"/>
              </w:rPr>
              <w:t>-458,000</w:t>
            </w:r>
          </w:p>
        </w:tc>
        <w:tc>
          <w:tcPr>
            <w:tcW w:w="1916" w:type="dxa"/>
          </w:tcPr>
          <w:p w:rsidR="00712BC2" w:rsidRDefault="00712BC2" w:rsidP="00875E65">
            <w:pPr>
              <w:jc w:val="right"/>
              <w:rPr>
                <w:rFonts w:cs="Times New Roman"/>
                <w:szCs w:val="24"/>
              </w:rPr>
            </w:pPr>
          </w:p>
          <w:p w:rsidR="00BA0C24" w:rsidRPr="00BA0C24" w:rsidRDefault="00B93C94" w:rsidP="00875E65">
            <w:pPr>
              <w:jc w:val="right"/>
              <w:rPr>
                <w:rFonts w:cs="Times New Roman"/>
                <w:szCs w:val="24"/>
              </w:rPr>
            </w:pPr>
            <w:r>
              <w:rPr>
                <w:rFonts w:cs="Times New Roman"/>
                <w:szCs w:val="24"/>
              </w:rPr>
              <w:t>-558</w:t>
            </w:r>
            <w:r w:rsidR="006F3B46">
              <w:rPr>
                <w:rFonts w:cs="Times New Roman"/>
                <w:szCs w:val="24"/>
              </w:rPr>
              <w:t>.</w:t>
            </w:r>
            <w:r>
              <w:rPr>
                <w:rFonts w:cs="Times New Roman"/>
                <w:szCs w:val="24"/>
              </w:rPr>
              <w:t>53</w:t>
            </w:r>
          </w:p>
        </w:tc>
      </w:tr>
      <w:tr w:rsidR="00F02DED" w:rsidTr="00875E65">
        <w:tc>
          <w:tcPr>
            <w:tcW w:w="2268" w:type="dxa"/>
            <w:vAlign w:val="bottom"/>
          </w:tcPr>
          <w:p w:rsidR="00BA0C24" w:rsidRPr="00BA0C24" w:rsidRDefault="00B93C94" w:rsidP="00BA0C24">
            <w:pPr>
              <w:rPr>
                <w:rFonts w:cs="Times New Roman"/>
                <w:color w:val="000000"/>
                <w:szCs w:val="24"/>
              </w:rPr>
            </w:pPr>
            <w:r w:rsidRPr="00BA0C24">
              <w:rPr>
                <w:rFonts w:cs="Times New Roman"/>
                <w:color w:val="000000"/>
                <w:szCs w:val="24"/>
              </w:rPr>
              <w:t>Income before taxes</w:t>
            </w:r>
          </w:p>
        </w:tc>
        <w:tc>
          <w:tcPr>
            <w:tcW w:w="1562" w:type="dxa"/>
            <w:vAlign w:val="bottom"/>
          </w:tcPr>
          <w:p w:rsidR="00BA0C24" w:rsidRPr="00BA0C24" w:rsidRDefault="00B93C94" w:rsidP="00875E65">
            <w:pPr>
              <w:jc w:val="right"/>
              <w:rPr>
                <w:rFonts w:cs="Times New Roman"/>
                <w:color w:val="000000"/>
                <w:szCs w:val="24"/>
              </w:rPr>
            </w:pPr>
            <w:r w:rsidRPr="00BA0C24">
              <w:rPr>
                <w:rFonts w:cs="Times New Roman"/>
                <w:color w:val="000000"/>
                <w:szCs w:val="24"/>
              </w:rPr>
              <w:t>-924,000</w:t>
            </w:r>
          </w:p>
        </w:tc>
        <w:tc>
          <w:tcPr>
            <w:tcW w:w="1915" w:type="dxa"/>
            <w:vAlign w:val="bottom"/>
          </w:tcPr>
          <w:p w:rsidR="00BA0C24" w:rsidRPr="00BA0C24" w:rsidRDefault="00B93C94" w:rsidP="00875E65">
            <w:pPr>
              <w:jc w:val="right"/>
              <w:rPr>
                <w:rFonts w:cs="Times New Roman"/>
                <w:color w:val="000000"/>
                <w:szCs w:val="24"/>
              </w:rPr>
            </w:pPr>
            <w:r w:rsidRPr="00BA0C24">
              <w:rPr>
                <w:rFonts w:cs="Times New Roman"/>
                <w:color w:val="000000"/>
                <w:szCs w:val="24"/>
              </w:rPr>
              <w:t>1,244,000</w:t>
            </w:r>
          </w:p>
        </w:tc>
        <w:tc>
          <w:tcPr>
            <w:tcW w:w="1915" w:type="dxa"/>
          </w:tcPr>
          <w:p w:rsidR="00BA0C24" w:rsidRPr="00BA0C24" w:rsidRDefault="00B93C94" w:rsidP="00875E65">
            <w:pPr>
              <w:jc w:val="right"/>
              <w:rPr>
                <w:rFonts w:cs="Times New Roman"/>
                <w:szCs w:val="24"/>
              </w:rPr>
            </w:pPr>
            <w:r>
              <w:rPr>
                <w:rFonts w:cs="Times New Roman"/>
                <w:szCs w:val="24"/>
              </w:rPr>
              <w:t>-2,168,000</w:t>
            </w:r>
          </w:p>
        </w:tc>
        <w:tc>
          <w:tcPr>
            <w:tcW w:w="1916" w:type="dxa"/>
          </w:tcPr>
          <w:p w:rsidR="00BA0C24" w:rsidRPr="00BA0C24" w:rsidRDefault="00B93C94" w:rsidP="00875E65">
            <w:pPr>
              <w:jc w:val="right"/>
              <w:rPr>
                <w:rFonts w:cs="Times New Roman"/>
                <w:szCs w:val="24"/>
              </w:rPr>
            </w:pPr>
            <w:r>
              <w:rPr>
                <w:rFonts w:cs="Times New Roman"/>
                <w:szCs w:val="24"/>
              </w:rPr>
              <w:t>-174.2765</w:t>
            </w:r>
          </w:p>
        </w:tc>
      </w:tr>
      <w:tr w:rsidR="00F02DED" w:rsidTr="00875E65">
        <w:tc>
          <w:tcPr>
            <w:tcW w:w="2268" w:type="dxa"/>
            <w:vAlign w:val="bottom"/>
          </w:tcPr>
          <w:p w:rsidR="00BA0C24" w:rsidRPr="00BA0C24" w:rsidRDefault="00B93C94" w:rsidP="00BA0C24">
            <w:pPr>
              <w:rPr>
                <w:rFonts w:cs="Times New Roman"/>
                <w:color w:val="000000"/>
                <w:szCs w:val="24"/>
              </w:rPr>
            </w:pPr>
            <w:r w:rsidRPr="00BA0C24">
              <w:rPr>
                <w:rFonts w:cs="Times New Roman"/>
                <w:color w:val="000000"/>
                <w:szCs w:val="24"/>
              </w:rPr>
              <w:t>Net income</w:t>
            </w:r>
          </w:p>
        </w:tc>
        <w:tc>
          <w:tcPr>
            <w:tcW w:w="1562" w:type="dxa"/>
            <w:vAlign w:val="bottom"/>
          </w:tcPr>
          <w:p w:rsidR="00BA0C24" w:rsidRPr="00BA0C24" w:rsidRDefault="00B93C94" w:rsidP="00875E65">
            <w:pPr>
              <w:jc w:val="right"/>
              <w:rPr>
                <w:rFonts w:cs="Times New Roman"/>
                <w:color w:val="000000"/>
                <w:szCs w:val="24"/>
              </w:rPr>
            </w:pPr>
            <w:r w:rsidRPr="00BA0C24">
              <w:rPr>
                <w:rFonts w:cs="Times New Roman"/>
                <w:color w:val="000000"/>
                <w:szCs w:val="24"/>
              </w:rPr>
              <w:t>-715,000</w:t>
            </w:r>
          </w:p>
        </w:tc>
        <w:tc>
          <w:tcPr>
            <w:tcW w:w="1915" w:type="dxa"/>
            <w:vAlign w:val="bottom"/>
          </w:tcPr>
          <w:p w:rsidR="00BA0C24" w:rsidRPr="00BA0C24" w:rsidRDefault="00B93C94" w:rsidP="00875E65">
            <w:pPr>
              <w:jc w:val="right"/>
              <w:rPr>
                <w:rFonts w:cs="Times New Roman"/>
                <w:color w:val="000000"/>
                <w:szCs w:val="24"/>
              </w:rPr>
            </w:pPr>
            <w:r w:rsidRPr="00BA0C24">
              <w:rPr>
                <w:rFonts w:cs="Times New Roman"/>
                <w:color w:val="000000"/>
                <w:szCs w:val="24"/>
              </w:rPr>
              <w:t>881,000</w:t>
            </w:r>
          </w:p>
        </w:tc>
        <w:tc>
          <w:tcPr>
            <w:tcW w:w="1915" w:type="dxa"/>
          </w:tcPr>
          <w:p w:rsidR="00BA0C24" w:rsidRPr="00BA0C24" w:rsidRDefault="00B93C94" w:rsidP="00875E65">
            <w:pPr>
              <w:jc w:val="right"/>
              <w:rPr>
                <w:rFonts w:cs="Times New Roman"/>
                <w:szCs w:val="24"/>
              </w:rPr>
            </w:pPr>
            <w:r>
              <w:rPr>
                <w:rFonts w:cs="Times New Roman"/>
                <w:szCs w:val="24"/>
              </w:rPr>
              <w:t>-1,596,000</w:t>
            </w:r>
          </w:p>
        </w:tc>
        <w:tc>
          <w:tcPr>
            <w:tcW w:w="1916" w:type="dxa"/>
          </w:tcPr>
          <w:p w:rsidR="00BA0C24" w:rsidRPr="00BA0C24" w:rsidRDefault="00B93C94" w:rsidP="00875E65">
            <w:pPr>
              <w:jc w:val="right"/>
              <w:rPr>
                <w:rFonts w:cs="Times New Roman"/>
                <w:szCs w:val="24"/>
              </w:rPr>
            </w:pPr>
            <w:r>
              <w:rPr>
                <w:rFonts w:cs="Times New Roman"/>
                <w:szCs w:val="24"/>
              </w:rPr>
              <w:t>-181.1577</w:t>
            </w:r>
          </w:p>
        </w:tc>
      </w:tr>
    </w:tbl>
    <w:p w:rsidR="006F3B46" w:rsidRDefault="006F3B46" w:rsidP="00620535">
      <w:pPr>
        <w:rPr>
          <w:rFonts w:ascii="Arial" w:hAnsi="Arial" w:cs="Arial"/>
          <w:b/>
          <w:bCs/>
          <w:color w:val="232A31"/>
          <w:sz w:val="22"/>
        </w:rPr>
      </w:pPr>
    </w:p>
    <w:p w:rsidR="006F3B46" w:rsidRDefault="00B93C94">
      <w:pPr>
        <w:spacing w:line="259" w:lineRule="auto"/>
        <w:jc w:val="left"/>
        <w:rPr>
          <w:rFonts w:ascii="Arial" w:hAnsi="Arial" w:cs="Arial"/>
          <w:b/>
          <w:bCs/>
          <w:color w:val="232A31"/>
          <w:sz w:val="22"/>
        </w:rPr>
      </w:pPr>
      <w:r>
        <w:rPr>
          <w:rFonts w:ascii="Arial" w:hAnsi="Arial" w:cs="Arial"/>
          <w:b/>
          <w:bCs/>
          <w:color w:val="232A31"/>
          <w:sz w:val="22"/>
        </w:rPr>
        <w:br w:type="page"/>
      </w:r>
    </w:p>
    <w:p w:rsidR="006F3B46" w:rsidRPr="00972C71" w:rsidRDefault="00B93C94" w:rsidP="00972C71">
      <w:pPr>
        <w:rPr>
          <w:b/>
          <w:bCs/>
          <w:sz w:val="28"/>
          <w:szCs w:val="28"/>
        </w:rPr>
      </w:pPr>
      <w:r w:rsidRPr="00972C71">
        <w:rPr>
          <w:b/>
          <w:bCs/>
          <w:sz w:val="28"/>
          <w:szCs w:val="28"/>
        </w:rPr>
        <w:lastRenderedPageBreak/>
        <w:t>Balance Sheet 2019 &amp; 2020</w:t>
      </w:r>
      <w:r w:rsidRPr="00972C71">
        <w:rPr>
          <w:b/>
          <w:bCs/>
          <w:sz w:val="28"/>
          <w:szCs w:val="28"/>
        </w:rPr>
        <w:tab/>
      </w:r>
      <w:r w:rsidRPr="00972C71">
        <w:rPr>
          <w:b/>
          <w:bCs/>
          <w:sz w:val="28"/>
          <w:szCs w:val="28"/>
        </w:rPr>
        <w:tab/>
      </w:r>
    </w:p>
    <w:p w:rsidR="006F3B46" w:rsidRDefault="00B93C94" w:rsidP="00972C71">
      <w:pPr>
        <w:jc w:val="center"/>
      </w:pPr>
      <w:r w:rsidRPr="006424EB">
        <w:t>Hilton Worldwide Holdings Inc. (HLT)</w:t>
      </w:r>
    </w:p>
    <w:tbl>
      <w:tblPr>
        <w:tblStyle w:val="TableGrid"/>
        <w:tblW w:w="0" w:type="auto"/>
        <w:tblLook w:val="04A0" w:firstRow="1" w:lastRow="0" w:firstColumn="1" w:lastColumn="0" w:noHBand="0" w:noVBand="1"/>
      </w:tblPr>
      <w:tblGrid>
        <w:gridCol w:w="2298"/>
        <w:gridCol w:w="1680"/>
        <w:gridCol w:w="1650"/>
        <w:gridCol w:w="1862"/>
        <w:gridCol w:w="1860"/>
      </w:tblGrid>
      <w:tr w:rsidR="00F02DED" w:rsidTr="00665C36">
        <w:tc>
          <w:tcPr>
            <w:tcW w:w="2358" w:type="dxa"/>
          </w:tcPr>
          <w:p w:rsidR="006F3B46" w:rsidRPr="00665C36" w:rsidRDefault="006F3B46" w:rsidP="00665C36">
            <w:pPr>
              <w:jc w:val="center"/>
              <w:rPr>
                <w:rFonts w:cs="Times New Roman"/>
                <w:b/>
                <w:bCs/>
                <w:color w:val="232A31"/>
                <w:sz w:val="28"/>
                <w:szCs w:val="28"/>
              </w:rPr>
            </w:pPr>
          </w:p>
        </w:tc>
        <w:tc>
          <w:tcPr>
            <w:tcW w:w="1710" w:type="dxa"/>
            <w:vAlign w:val="bottom"/>
          </w:tcPr>
          <w:p w:rsidR="006F3B46" w:rsidRPr="00665C36" w:rsidRDefault="00B93C94" w:rsidP="00665C36">
            <w:pPr>
              <w:jc w:val="center"/>
              <w:rPr>
                <w:rFonts w:cs="Times New Roman"/>
                <w:b/>
                <w:bCs/>
                <w:color w:val="232A31"/>
                <w:sz w:val="28"/>
                <w:szCs w:val="28"/>
              </w:rPr>
            </w:pPr>
            <w:r w:rsidRPr="00665C36">
              <w:rPr>
                <w:rFonts w:cs="Times New Roman"/>
                <w:b/>
                <w:bCs/>
                <w:color w:val="000000"/>
                <w:sz w:val="28"/>
                <w:szCs w:val="28"/>
              </w:rPr>
              <w:t>2020</w:t>
            </w:r>
          </w:p>
        </w:tc>
        <w:tc>
          <w:tcPr>
            <w:tcW w:w="1677" w:type="dxa"/>
            <w:vAlign w:val="bottom"/>
          </w:tcPr>
          <w:p w:rsidR="006F3B46" w:rsidRPr="00665C36" w:rsidRDefault="00B93C94" w:rsidP="00665C36">
            <w:pPr>
              <w:jc w:val="center"/>
              <w:rPr>
                <w:rFonts w:cs="Times New Roman"/>
                <w:b/>
                <w:bCs/>
                <w:color w:val="232A31"/>
                <w:sz w:val="28"/>
                <w:szCs w:val="28"/>
              </w:rPr>
            </w:pPr>
            <w:r w:rsidRPr="00665C36">
              <w:rPr>
                <w:rFonts w:cs="Times New Roman"/>
                <w:b/>
                <w:bCs/>
                <w:color w:val="000000"/>
                <w:sz w:val="28"/>
                <w:szCs w:val="28"/>
              </w:rPr>
              <w:t>2019</w:t>
            </w:r>
          </w:p>
        </w:tc>
        <w:tc>
          <w:tcPr>
            <w:tcW w:w="1915" w:type="dxa"/>
            <w:vAlign w:val="bottom"/>
          </w:tcPr>
          <w:p w:rsidR="006F3B46" w:rsidRPr="00665C36" w:rsidRDefault="00B93C94" w:rsidP="00665C36">
            <w:pPr>
              <w:jc w:val="center"/>
              <w:rPr>
                <w:rFonts w:cs="Times New Roman"/>
                <w:b/>
                <w:bCs/>
                <w:color w:val="232A31"/>
                <w:sz w:val="28"/>
                <w:szCs w:val="28"/>
              </w:rPr>
            </w:pPr>
            <w:r w:rsidRPr="00665C36">
              <w:rPr>
                <w:rFonts w:cs="Times New Roman"/>
                <w:b/>
                <w:bCs/>
                <w:color w:val="000000"/>
                <w:sz w:val="28"/>
                <w:szCs w:val="28"/>
              </w:rPr>
              <w:t>Change</w:t>
            </w:r>
          </w:p>
        </w:tc>
        <w:tc>
          <w:tcPr>
            <w:tcW w:w="1916" w:type="dxa"/>
            <w:vAlign w:val="bottom"/>
          </w:tcPr>
          <w:p w:rsidR="006F3B46" w:rsidRPr="00665C36" w:rsidRDefault="00B93C94" w:rsidP="00665C36">
            <w:pPr>
              <w:jc w:val="center"/>
              <w:rPr>
                <w:rFonts w:cs="Times New Roman"/>
                <w:b/>
                <w:bCs/>
                <w:color w:val="232A31"/>
                <w:sz w:val="28"/>
                <w:szCs w:val="28"/>
              </w:rPr>
            </w:pPr>
            <w:r w:rsidRPr="00665C36">
              <w:rPr>
                <w:rFonts w:cs="Times New Roman"/>
                <w:b/>
                <w:bCs/>
                <w:color w:val="000000"/>
                <w:sz w:val="28"/>
                <w:szCs w:val="28"/>
              </w:rPr>
              <w:t>%    Change</w:t>
            </w:r>
          </w:p>
        </w:tc>
      </w:tr>
      <w:tr w:rsidR="00F02DED" w:rsidTr="00665C36">
        <w:tc>
          <w:tcPr>
            <w:tcW w:w="2358" w:type="dxa"/>
            <w:vAlign w:val="bottom"/>
          </w:tcPr>
          <w:p w:rsidR="006F3B46" w:rsidRPr="006F3B46" w:rsidRDefault="00B93C94" w:rsidP="006F3B46">
            <w:pPr>
              <w:rPr>
                <w:rFonts w:cs="Times New Roman"/>
                <w:b/>
                <w:bCs/>
                <w:color w:val="232A31"/>
                <w:szCs w:val="24"/>
              </w:rPr>
            </w:pPr>
            <w:r w:rsidRPr="006F3B46">
              <w:rPr>
                <w:rFonts w:cs="Times New Roman"/>
                <w:color w:val="000000"/>
                <w:szCs w:val="24"/>
              </w:rPr>
              <w:t>Current Asset</w:t>
            </w:r>
          </w:p>
        </w:tc>
        <w:tc>
          <w:tcPr>
            <w:tcW w:w="1710"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4,202,000</w:t>
            </w:r>
          </w:p>
        </w:tc>
        <w:tc>
          <w:tcPr>
            <w:tcW w:w="1677" w:type="dxa"/>
            <w:vAlign w:val="bottom"/>
          </w:tcPr>
          <w:p w:rsidR="006F3B46" w:rsidRPr="006F3B46" w:rsidRDefault="00B93C94" w:rsidP="00665C36">
            <w:pPr>
              <w:jc w:val="right"/>
              <w:rPr>
                <w:b/>
                <w:bCs/>
                <w:color w:val="232A31"/>
                <w:szCs w:val="24"/>
              </w:rPr>
            </w:pPr>
            <w:r w:rsidRPr="006F3B46">
              <w:rPr>
                <w:szCs w:val="24"/>
              </w:rPr>
              <w:t>2,093,000</w:t>
            </w:r>
          </w:p>
        </w:tc>
        <w:tc>
          <w:tcPr>
            <w:tcW w:w="1915" w:type="dxa"/>
          </w:tcPr>
          <w:p w:rsidR="006F3B46" w:rsidRPr="00665C36" w:rsidRDefault="00B93C94" w:rsidP="00665C36">
            <w:pPr>
              <w:jc w:val="right"/>
              <w:rPr>
                <w:color w:val="232A31"/>
                <w:szCs w:val="24"/>
              </w:rPr>
            </w:pPr>
            <w:r w:rsidRPr="00665C36">
              <w:rPr>
                <w:color w:val="232A31"/>
                <w:szCs w:val="24"/>
              </w:rPr>
              <w:t>2,109,000</w:t>
            </w:r>
          </w:p>
        </w:tc>
        <w:tc>
          <w:tcPr>
            <w:tcW w:w="1916" w:type="dxa"/>
          </w:tcPr>
          <w:p w:rsidR="006F3B46" w:rsidRPr="00665C36" w:rsidRDefault="00B93C94" w:rsidP="00665C36">
            <w:pPr>
              <w:jc w:val="right"/>
              <w:rPr>
                <w:color w:val="232A31"/>
                <w:szCs w:val="24"/>
              </w:rPr>
            </w:pPr>
            <w:r w:rsidRPr="00665C36">
              <w:rPr>
                <w:color w:val="232A31"/>
                <w:szCs w:val="24"/>
              </w:rPr>
              <w:t>100.7644</w:t>
            </w:r>
          </w:p>
        </w:tc>
      </w:tr>
      <w:tr w:rsidR="00F02DED" w:rsidTr="00665C36">
        <w:tc>
          <w:tcPr>
            <w:tcW w:w="2358" w:type="dxa"/>
            <w:vAlign w:val="bottom"/>
          </w:tcPr>
          <w:p w:rsidR="006F3B46" w:rsidRPr="006F3B46" w:rsidRDefault="00B93C94" w:rsidP="006F3B46">
            <w:pPr>
              <w:rPr>
                <w:rFonts w:cs="Times New Roman"/>
                <w:b/>
                <w:bCs/>
                <w:color w:val="232A31"/>
                <w:szCs w:val="24"/>
              </w:rPr>
            </w:pPr>
            <w:r w:rsidRPr="006F3B46">
              <w:rPr>
                <w:rFonts w:cs="Times New Roman"/>
                <w:color w:val="000000"/>
                <w:szCs w:val="24"/>
              </w:rPr>
              <w:t>Non-Current Asset</w:t>
            </w:r>
          </w:p>
        </w:tc>
        <w:tc>
          <w:tcPr>
            <w:tcW w:w="1710"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15,810,000</w:t>
            </w:r>
          </w:p>
        </w:tc>
        <w:tc>
          <w:tcPr>
            <w:tcW w:w="1677" w:type="dxa"/>
            <w:vAlign w:val="bottom"/>
          </w:tcPr>
          <w:p w:rsidR="006F3B46" w:rsidRPr="006F3B46" w:rsidRDefault="00B93C94" w:rsidP="00665C36">
            <w:pPr>
              <w:jc w:val="right"/>
              <w:rPr>
                <w:b/>
                <w:bCs/>
                <w:color w:val="232A31"/>
                <w:szCs w:val="24"/>
              </w:rPr>
            </w:pPr>
            <w:r w:rsidRPr="006F3B46">
              <w:rPr>
                <w:szCs w:val="24"/>
              </w:rPr>
              <w:t>12,558,000</w:t>
            </w:r>
          </w:p>
        </w:tc>
        <w:tc>
          <w:tcPr>
            <w:tcW w:w="1915" w:type="dxa"/>
          </w:tcPr>
          <w:p w:rsidR="006F3B46" w:rsidRPr="00665C36" w:rsidRDefault="006F3B46" w:rsidP="00665C36">
            <w:pPr>
              <w:jc w:val="right"/>
              <w:rPr>
                <w:color w:val="232A31"/>
                <w:szCs w:val="24"/>
              </w:rPr>
            </w:pPr>
          </w:p>
          <w:p w:rsidR="006F3B46" w:rsidRPr="00665C36" w:rsidRDefault="00B93C94" w:rsidP="00665C36">
            <w:pPr>
              <w:jc w:val="right"/>
              <w:rPr>
                <w:color w:val="232A31"/>
                <w:szCs w:val="24"/>
              </w:rPr>
            </w:pPr>
            <w:r w:rsidRPr="00665C36">
              <w:rPr>
                <w:color w:val="232A31"/>
                <w:szCs w:val="24"/>
              </w:rPr>
              <w:t>3,252,000</w:t>
            </w:r>
          </w:p>
        </w:tc>
        <w:tc>
          <w:tcPr>
            <w:tcW w:w="1916" w:type="dxa"/>
          </w:tcPr>
          <w:p w:rsidR="00542489" w:rsidRPr="00665C36" w:rsidRDefault="00542489" w:rsidP="00665C36">
            <w:pPr>
              <w:jc w:val="right"/>
              <w:rPr>
                <w:color w:val="232A31"/>
                <w:szCs w:val="24"/>
              </w:rPr>
            </w:pPr>
          </w:p>
          <w:p w:rsidR="006F3B46" w:rsidRPr="00665C36" w:rsidRDefault="00B93C94" w:rsidP="00665C36">
            <w:pPr>
              <w:jc w:val="right"/>
              <w:rPr>
                <w:color w:val="232A31"/>
                <w:szCs w:val="24"/>
              </w:rPr>
            </w:pPr>
            <w:r w:rsidRPr="00665C36">
              <w:rPr>
                <w:color w:val="232A31"/>
                <w:szCs w:val="24"/>
              </w:rPr>
              <w:t>25.8958</w:t>
            </w:r>
          </w:p>
        </w:tc>
      </w:tr>
      <w:tr w:rsidR="00F02DED" w:rsidTr="00665C36">
        <w:tc>
          <w:tcPr>
            <w:tcW w:w="2358" w:type="dxa"/>
            <w:vAlign w:val="bottom"/>
          </w:tcPr>
          <w:p w:rsidR="006F3B46" w:rsidRPr="006F3B46" w:rsidRDefault="00B93C94" w:rsidP="006F3B46">
            <w:pPr>
              <w:rPr>
                <w:rFonts w:cs="Times New Roman"/>
                <w:b/>
                <w:bCs/>
                <w:color w:val="232A31"/>
                <w:szCs w:val="24"/>
              </w:rPr>
            </w:pPr>
            <w:r w:rsidRPr="006F3B46">
              <w:rPr>
                <w:rFonts w:cs="Times New Roman"/>
                <w:color w:val="000000"/>
                <w:szCs w:val="24"/>
              </w:rPr>
              <w:t>Total Asset</w:t>
            </w:r>
          </w:p>
        </w:tc>
        <w:tc>
          <w:tcPr>
            <w:tcW w:w="1710"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16,755,000</w:t>
            </w:r>
          </w:p>
        </w:tc>
        <w:tc>
          <w:tcPr>
            <w:tcW w:w="1677"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14,957,000</w:t>
            </w:r>
          </w:p>
        </w:tc>
        <w:tc>
          <w:tcPr>
            <w:tcW w:w="1915" w:type="dxa"/>
          </w:tcPr>
          <w:p w:rsidR="006F3B46" w:rsidRPr="00665C36" w:rsidRDefault="00B93C94" w:rsidP="00665C36">
            <w:pPr>
              <w:jc w:val="right"/>
              <w:rPr>
                <w:rFonts w:cs="Times New Roman"/>
                <w:color w:val="232A31"/>
                <w:szCs w:val="24"/>
              </w:rPr>
            </w:pPr>
            <w:r w:rsidRPr="00665C36">
              <w:rPr>
                <w:rFonts w:cs="Times New Roman"/>
                <w:color w:val="232A31"/>
                <w:szCs w:val="24"/>
              </w:rPr>
              <w:t>1,798,000</w:t>
            </w:r>
          </w:p>
        </w:tc>
        <w:tc>
          <w:tcPr>
            <w:tcW w:w="1916" w:type="dxa"/>
          </w:tcPr>
          <w:p w:rsidR="006F3B46" w:rsidRPr="00665C36" w:rsidRDefault="00B93C94" w:rsidP="00665C36">
            <w:pPr>
              <w:jc w:val="right"/>
              <w:rPr>
                <w:rFonts w:cs="Times New Roman"/>
                <w:color w:val="232A31"/>
                <w:szCs w:val="24"/>
              </w:rPr>
            </w:pPr>
            <w:r w:rsidRPr="00665C36">
              <w:rPr>
                <w:rFonts w:cs="Times New Roman"/>
                <w:color w:val="232A31"/>
                <w:szCs w:val="24"/>
              </w:rPr>
              <w:t>12.0211</w:t>
            </w:r>
          </w:p>
        </w:tc>
      </w:tr>
      <w:tr w:rsidR="00F02DED" w:rsidTr="00665C36">
        <w:tc>
          <w:tcPr>
            <w:tcW w:w="2358" w:type="dxa"/>
            <w:vAlign w:val="bottom"/>
          </w:tcPr>
          <w:p w:rsidR="006F3B46" w:rsidRPr="006F3B46" w:rsidRDefault="00B93C94" w:rsidP="006F3B46">
            <w:pPr>
              <w:rPr>
                <w:rFonts w:cs="Times New Roman"/>
                <w:b/>
                <w:bCs/>
                <w:color w:val="232A31"/>
                <w:szCs w:val="24"/>
              </w:rPr>
            </w:pPr>
            <w:r w:rsidRPr="006F3B46">
              <w:rPr>
                <w:rFonts w:cs="Times New Roman"/>
                <w:color w:val="000000"/>
                <w:szCs w:val="24"/>
              </w:rPr>
              <w:t>Current Liabilities</w:t>
            </w:r>
          </w:p>
        </w:tc>
        <w:tc>
          <w:tcPr>
            <w:tcW w:w="1710"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2,431,000</w:t>
            </w:r>
          </w:p>
        </w:tc>
        <w:tc>
          <w:tcPr>
            <w:tcW w:w="1677"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2,871,000</w:t>
            </w:r>
          </w:p>
        </w:tc>
        <w:tc>
          <w:tcPr>
            <w:tcW w:w="1915" w:type="dxa"/>
          </w:tcPr>
          <w:p w:rsidR="006F3B46" w:rsidRPr="00665C36" w:rsidRDefault="006F3B46" w:rsidP="00665C36">
            <w:pPr>
              <w:jc w:val="right"/>
              <w:rPr>
                <w:rFonts w:cs="Times New Roman"/>
                <w:color w:val="232A31"/>
                <w:szCs w:val="24"/>
              </w:rPr>
            </w:pPr>
          </w:p>
          <w:p w:rsidR="00542489" w:rsidRPr="00665C36" w:rsidRDefault="00B93C94" w:rsidP="00665C36">
            <w:pPr>
              <w:jc w:val="right"/>
              <w:rPr>
                <w:rFonts w:cs="Times New Roman"/>
                <w:color w:val="232A31"/>
                <w:szCs w:val="24"/>
              </w:rPr>
            </w:pPr>
            <w:r w:rsidRPr="00665C36">
              <w:rPr>
                <w:rFonts w:cs="Times New Roman"/>
                <w:color w:val="232A31"/>
                <w:szCs w:val="24"/>
              </w:rPr>
              <w:t>-440,000</w:t>
            </w:r>
          </w:p>
        </w:tc>
        <w:tc>
          <w:tcPr>
            <w:tcW w:w="1916" w:type="dxa"/>
          </w:tcPr>
          <w:p w:rsidR="006F3B46" w:rsidRPr="00665C36" w:rsidRDefault="006F3B46" w:rsidP="00665C36">
            <w:pPr>
              <w:jc w:val="right"/>
              <w:rPr>
                <w:rFonts w:cs="Times New Roman"/>
                <w:color w:val="232A31"/>
                <w:szCs w:val="24"/>
              </w:rPr>
            </w:pPr>
          </w:p>
          <w:p w:rsidR="00542489" w:rsidRPr="00665C36" w:rsidRDefault="00B93C94" w:rsidP="00665C36">
            <w:pPr>
              <w:jc w:val="right"/>
              <w:rPr>
                <w:rFonts w:cs="Times New Roman"/>
                <w:color w:val="232A31"/>
                <w:szCs w:val="24"/>
              </w:rPr>
            </w:pPr>
            <w:r w:rsidRPr="00665C36">
              <w:rPr>
                <w:rFonts w:cs="Times New Roman"/>
                <w:color w:val="232A31"/>
                <w:szCs w:val="24"/>
              </w:rPr>
              <w:t>-15.3256</w:t>
            </w:r>
          </w:p>
        </w:tc>
      </w:tr>
      <w:tr w:rsidR="00F02DED" w:rsidTr="00665C36">
        <w:tc>
          <w:tcPr>
            <w:tcW w:w="2358" w:type="dxa"/>
            <w:vAlign w:val="bottom"/>
          </w:tcPr>
          <w:p w:rsidR="006F3B46" w:rsidRPr="006F3B46" w:rsidRDefault="00B93C94" w:rsidP="006F3B46">
            <w:pPr>
              <w:rPr>
                <w:rFonts w:cs="Times New Roman"/>
                <w:color w:val="000000"/>
                <w:szCs w:val="24"/>
              </w:rPr>
            </w:pPr>
            <w:r w:rsidRPr="006F3B46">
              <w:rPr>
                <w:rFonts w:cs="Times New Roman"/>
                <w:color w:val="000000"/>
                <w:szCs w:val="24"/>
              </w:rPr>
              <w:t>Non-current Liabilities</w:t>
            </w:r>
          </w:p>
        </w:tc>
        <w:tc>
          <w:tcPr>
            <w:tcW w:w="1710"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15,810,000</w:t>
            </w:r>
          </w:p>
        </w:tc>
        <w:tc>
          <w:tcPr>
            <w:tcW w:w="1677"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12,558,000</w:t>
            </w:r>
          </w:p>
        </w:tc>
        <w:tc>
          <w:tcPr>
            <w:tcW w:w="1915" w:type="dxa"/>
          </w:tcPr>
          <w:p w:rsidR="006F3B46" w:rsidRPr="00665C36" w:rsidRDefault="006F3B46" w:rsidP="00665C36">
            <w:pPr>
              <w:jc w:val="right"/>
              <w:rPr>
                <w:rFonts w:cs="Times New Roman"/>
                <w:color w:val="232A31"/>
                <w:szCs w:val="24"/>
              </w:rPr>
            </w:pPr>
          </w:p>
          <w:p w:rsidR="00542489" w:rsidRPr="00665C36" w:rsidRDefault="00B93C94" w:rsidP="00665C36">
            <w:pPr>
              <w:jc w:val="right"/>
              <w:rPr>
                <w:rFonts w:cs="Times New Roman"/>
                <w:color w:val="232A31"/>
                <w:szCs w:val="24"/>
              </w:rPr>
            </w:pPr>
            <w:r w:rsidRPr="00665C36">
              <w:rPr>
                <w:rFonts w:cs="Times New Roman"/>
                <w:color w:val="232A31"/>
                <w:szCs w:val="24"/>
              </w:rPr>
              <w:t>3,252,000</w:t>
            </w:r>
          </w:p>
        </w:tc>
        <w:tc>
          <w:tcPr>
            <w:tcW w:w="1916" w:type="dxa"/>
          </w:tcPr>
          <w:p w:rsidR="00542489" w:rsidRPr="00665C36" w:rsidRDefault="00542489" w:rsidP="00665C36">
            <w:pPr>
              <w:jc w:val="right"/>
              <w:rPr>
                <w:rFonts w:cs="Times New Roman"/>
                <w:color w:val="232A31"/>
                <w:szCs w:val="24"/>
              </w:rPr>
            </w:pPr>
          </w:p>
          <w:p w:rsidR="006F3B46" w:rsidRPr="00665C36" w:rsidRDefault="00B93C94" w:rsidP="00665C36">
            <w:pPr>
              <w:jc w:val="right"/>
              <w:rPr>
                <w:rFonts w:cs="Times New Roman"/>
                <w:color w:val="232A31"/>
                <w:szCs w:val="24"/>
              </w:rPr>
            </w:pPr>
            <w:r w:rsidRPr="00665C36">
              <w:rPr>
                <w:rFonts w:cs="Times New Roman"/>
                <w:color w:val="232A31"/>
                <w:szCs w:val="24"/>
              </w:rPr>
              <w:t>25.8958</w:t>
            </w:r>
          </w:p>
        </w:tc>
      </w:tr>
      <w:tr w:rsidR="00F02DED" w:rsidTr="00665C36">
        <w:tc>
          <w:tcPr>
            <w:tcW w:w="2358" w:type="dxa"/>
            <w:vAlign w:val="bottom"/>
          </w:tcPr>
          <w:p w:rsidR="006F3B46" w:rsidRPr="006F3B46" w:rsidRDefault="00B93C94" w:rsidP="006F3B46">
            <w:pPr>
              <w:rPr>
                <w:rFonts w:cs="Times New Roman"/>
                <w:b/>
                <w:bCs/>
                <w:color w:val="232A31"/>
                <w:szCs w:val="24"/>
              </w:rPr>
            </w:pPr>
            <w:r w:rsidRPr="006F3B46">
              <w:rPr>
                <w:rFonts w:cs="Times New Roman"/>
                <w:color w:val="000000"/>
                <w:szCs w:val="24"/>
              </w:rPr>
              <w:t>Total Liabilities</w:t>
            </w:r>
          </w:p>
        </w:tc>
        <w:tc>
          <w:tcPr>
            <w:tcW w:w="1710"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18,241,000</w:t>
            </w:r>
          </w:p>
        </w:tc>
        <w:tc>
          <w:tcPr>
            <w:tcW w:w="1677"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15,429,000</w:t>
            </w:r>
          </w:p>
        </w:tc>
        <w:tc>
          <w:tcPr>
            <w:tcW w:w="1915" w:type="dxa"/>
          </w:tcPr>
          <w:p w:rsidR="006F3B46" w:rsidRPr="00665C36" w:rsidRDefault="00B93C94" w:rsidP="00665C36">
            <w:pPr>
              <w:jc w:val="right"/>
              <w:rPr>
                <w:rFonts w:cs="Times New Roman"/>
                <w:color w:val="232A31"/>
                <w:szCs w:val="24"/>
              </w:rPr>
            </w:pPr>
            <w:r w:rsidRPr="00665C36">
              <w:rPr>
                <w:rFonts w:cs="Times New Roman"/>
                <w:color w:val="232A31"/>
                <w:szCs w:val="24"/>
              </w:rPr>
              <w:t>2,812,000</w:t>
            </w:r>
          </w:p>
        </w:tc>
        <w:tc>
          <w:tcPr>
            <w:tcW w:w="1916" w:type="dxa"/>
          </w:tcPr>
          <w:p w:rsidR="006F3B46" w:rsidRPr="00665C36" w:rsidRDefault="00B93C94" w:rsidP="00665C36">
            <w:pPr>
              <w:jc w:val="right"/>
              <w:rPr>
                <w:rFonts w:cs="Times New Roman"/>
                <w:color w:val="232A31"/>
                <w:szCs w:val="24"/>
              </w:rPr>
            </w:pPr>
            <w:r w:rsidRPr="00665C36">
              <w:rPr>
                <w:rFonts w:cs="Times New Roman"/>
                <w:color w:val="232A31"/>
                <w:szCs w:val="24"/>
              </w:rPr>
              <w:t>18.2254</w:t>
            </w:r>
          </w:p>
        </w:tc>
      </w:tr>
      <w:tr w:rsidR="00F02DED" w:rsidTr="00665C36">
        <w:tc>
          <w:tcPr>
            <w:tcW w:w="2358" w:type="dxa"/>
            <w:vAlign w:val="bottom"/>
          </w:tcPr>
          <w:p w:rsidR="006F3B46" w:rsidRPr="006F3B46" w:rsidRDefault="00B93C94" w:rsidP="006F3B46">
            <w:pPr>
              <w:rPr>
                <w:rFonts w:cs="Times New Roman"/>
                <w:b/>
                <w:bCs/>
                <w:color w:val="232A31"/>
                <w:szCs w:val="24"/>
              </w:rPr>
            </w:pPr>
            <w:r w:rsidRPr="006F3B46">
              <w:rPr>
                <w:rFonts w:cs="Times New Roman"/>
                <w:color w:val="000000"/>
                <w:szCs w:val="24"/>
              </w:rPr>
              <w:t>Common Stock</w:t>
            </w:r>
          </w:p>
        </w:tc>
        <w:tc>
          <w:tcPr>
            <w:tcW w:w="1710"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3,000</w:t>
            </w:r>
          </w:p>
        </w:tc>
        <w:tc>
          <w:tcPr>
            <w:tcW w:w="1677" w:type="dxa"/>
            <w:vAlign w:val="bottom"/>
          </w:tcPr>
          <w:p w:rsidR="006F3B46" w:rsidRPr="006F3B46" w:rsidRDefault="00B93C94" w:rsidP="00665C36">
            <w:pPr>
              <w:jc w:val="right"/>
              <w:rPr>
                <w:rFonts w:cs="Times New Roman"/>
                <w:b/>
                <w:bCs/>
                <w:color w:val="232A31"/>
                <w:szCs w:val="24"/>
              </w:rPr>
            </w:pPr>
            <w:r w:rsidRPr="006F3B46">
              <w:rPr>
                <w:rFonts w:cs="Times New Roman"/>
                <w:color w:val="000000"/>
                <w:szCs w:val="24"/>
              </w:rPr>
              <w:t>3,000</w:t>
            </w:r>
          </w:p>
        </w:tc>
        <w:tc>
          <w:tcPr>
            <w:tcW w:w="1915" w:type="dxa"/>
          </w:tcPr>
          <w:p w:rsidR="006F3B46" w:rsidRPr="00665C36" w:rsidRDefault="00B93C94" w:rsidP="00665C36">
            <w:pPr>
              <w:jc w:val="right"/>
              <w:rPr>
                <w:rFonts w:cs="Times New Roman"/>
                <w:color w:val="232A31"/>
                <w:szCs w:val="24"/>
              </w:rPr>
            </w:pPr>
            <w:r w:rsidRPr="00665C36">
              <w:rPr>
                <w:rFonts w:cs="Times New Roman"/>
                <w:color w:val="232A31"/>
                <w:szCs w:val="24"/>
              </w:rPr>
              <w:t>0</w:t>
            </w:r>
          </w:p>
        </w:tc>
        <w:tc>
          <w:tcPr>
            <w:tcW w:w="1916" w:type="dxa"/>
          </w:tcPr>
          <w:p w:rsidR="006F3B46" w:rsidRPr="00665C36" w:rsidRDefault="00B93C94" w:rsidP="00665C36">
            <w:pPr>
              <w:jc w:val="right"/>
              <w:rPr>
                <w:rFonts w:cs="Times New Roman"/>
                <w:color w:val="232A31"/>
                <w:szCs w:val="24"/>
              </w:rPr>
            </w:pPr>
            <w:r w:rsidRPr="00665C36">
              <w:rPr>
                <w:rFonts w:cs="Times New Roman"/>
                <w:color w:val="232A31"/>
                <w:szCs w:val="24"/>
              </w:rPr>
              <w:t>0</w:t>
            </w:r>
          </w:p>
        </w:tc>
      </w:tr>
      <w:tr w:rsidR="00F02DED" w:rsidTr="00665C36">
        <w:tc>
          <w:tcPr>
            <w:tcW w:w="2358" w:type="dxa"/>
            <w:vAlign w:val="bottom"/>
          </w:tcPr>
          <w:p w:rsidR="006F3B46" w:rsidRPr="006F3B46" w:rsidRDefault="00B93C94" w:rsidP="006F3B46">
            <w:pPr>
              <w:rPr>
                <w:rFonts w:cs="Times New Roman"/>
                <w:color w:val="000000"/>
                <w:szCs w:val="24"/>
              </w:rPr>
            </w:pPr>
            <w:r w:rsidRPr="006F3B46">
              <w:rPr>
                <w:rFonts w:cs="Times New Roman"/>
                <w:color w:val="000000"/>
                <w:szCs w:val="24"/>
              </w:rPr>
              <w:t>Retained Earnings</w:t>
            </w:r>
          </w:p>
        </w:tc>
        <w:tc>
          <w:tcPr>
            <w:tcW w:w="1710" w:type="dxa"/>
            <w:vAlign w:val="bottom"/>
          </w:tcPr>
          <w:p w:rsidR="006F3B46" w:rsidRPr="006F3B46" w:rsidRDefault="00B93C94" w:rsidP="00665C36">
            <w:pPr>
              <w:jc w:val="right"/>
              <w:rPr>
                <w:rFonts w:cs="Times New Roman"/>
                <w:color w:val="000000"/>
                <w:szCs w:val="24"/>
              </w:rPr>
            </w:pPr>
            <w:r w:rsidRPr="006F3B46">
              <w:rPr>
                <w:rFonts w:cs="Times New Roman"/>
                <w:color w:val="000000"/>
                <w:szCs w:val="24"/>
              </w:rPr>
              <w:t>-6,732,000</w:t>
            </w:r>
          </w:p>
        </w:tc>
        <w:tc>
          <w:tcPr>
            <w:tcW w:w="1677" w:type="dxa"/>
            <w:vAlign w:val="bottom"/>
          </w:tcPr>
          <w:p w:rsidR="006F3B46" w:rsidRPr="006F3B46" w:rsidRDefault="00B93C94" w:rsidP="00665C36">
            <w:pPr>
              <w:jc w:val="right"/>
              <w:rPr>
                <w:rFonts w:cs="Times New Roman"/>
                <w:color w:val="000000"/>
                <w:szCs w:val="24"/>
              </w:rPr>
            </w:pPr>
            <w:r w:rsidRPr="006F3B46">
              <w:rPr>
                <w:rFonts w:cs="Times New Roman"/>
                <w:color w:val="000000"/>
                <w:szCs w:val="24"/>
              </w:rPr>
              <w:t>-5,965,000</w:t>
            </w:r>
          </w:p>
        </w:tc>
        <w:tc>
          <w:tcPr>
            <w:tcW w:w="1915" w:type="dxa"/>
          </w:tcPr>
          <w:p w:rsidR="006F3B46" w:rsidRPr="00665C36" w:rsidRDefault="006F3B46" w:rsidP="00665C36">
            <w:pPr>
              <w:jc w:val="right"/>
              <w:rPr>
                <w:rFonts w:cs="Times New Roman"/>
                <w:color w:val="232A31"/>
                <w:szCs w:val="24"/>
              </w:rPr>
            </w:pPr>
          </w:p>
          <w:p w:rsidR="00542489" w:rsidRPr="00665C36" w:rsidRDefault="00B93C94" w:rsidP="00665C36">
            <w:pPr>
              <w:jc w:val="right"/>
              <w:rPr>
                <w:rFonts w:cs="Times New Roman"/>
                <w:color w:val="232A31"/>
                <w:szCs w:val="24"/>
              </w:rPr>
            </w:pPr>
            <w:r w:rsidRPr="00665C36">
              <w:rPr>
                <w:rFonts w:cs="Times New Roman"/>
                <w:color w:val="232A31"/>
                <w:szCs w:val="24"/>
              </w:rPr>
              <w:t>-767,000</w:t>
            </w:r>
          </w:p>
        </w:tc>
        <w:tc>
          <w:tcPr>
            <w:tcW w:w="1916" w:type="dxa"/>
          </w:tcPr>
          <w:p w:rsidR="006F3B46" w:rsidRPr="00665C36" w:rsidRDefault="006F3B46" w:rsidP="00665C36">
            <w:pPr>
              <w:jc w:val="right"/>
              <w:rPr>
                <w:rFonts w:cs="Times New Roman"/>
                <w:color w:val="232A31"/>
                <w:szCs w:val="24"/>
              </w:rPr>
            </w:pPr>
          </w:p>
          <w:p w:rsidR="00542489" w:rsidRPr="00665C36" w:rsidRDefault="00B93C94" w:rsidP="00665C36">
            <w:pPr>
              <w:jc w:val="right"/>
              <w:rPr>
                <w:rFonts w:cs="Times New Roman"/>
                <w:color w:val="232A31"/>
                <w:szCs w:val="24"/>
              </w:rPr>
            </w:pPr>
            <w:r w:rsidRPr="00665C36">
              <w:rPr>
                <w:rFonts w:cs="Times New Roman"/>
                <w:color w:val="232A31"/>
                <w:szCs w:val="24"/>
              </w:rPr>
              <w:t>-12.8583</w:t>
            </w:r>
          </w:p>
        </w:tc>
      </w:tr>
      <w:tr w:rsidR="00F02DED" w:rsidTr="00665C36">
        <w:tc>
          <w:tcPr>
            <w:tcW w:w="2358" w:type="dxa"/>
            <w:vAlign w:val="bottom"/>
          </w:tcPr>
          <w:p w:rsidR="006F3B46" w:rsidRPr="006F3B46" w:rsidRDefault="00B93C94" w:rsidP="006F3B46">
            <w:pPr>
              <w:rPr>
                <w:rFonts w:cs="Times New Roman"/>
                <w:color w:val="000000"/>
                <w:szCs w:val="24"/>
              </w:rPr>
            </w:pPr>
            <w:r w:rsidRPr="006F3B46">
              <w:rPr>
                <w:rFonts w:cs="Times New Roman"/>
                <w:color w:val="000000"/>
                <w:szCs w:val="24"/>
              </w:rPr>
              <w:t>Total Stockholders' Equity</w:t>
            </w:r>
          </w:p>
        </w:tc>
        <w:tc>
          <w:tcPr>
            <w:tcW w:w="1710" w:type="dxa"/>
            <w:vAlign w:val="bottom"/>
          </w:tcPr>
          <w:p w:rsidR="006F3B46" w:rsidRPr="006F3B46" w:rsidRDefault="00B93C94" w:rsidP="00665C36">
            <w:pPr>
              <w:jc w:val="right"/>
              <w:rPr>
                <w:rFonts w:cs="Times New Roman"/>
                <w:color w:val="000000"/>
                <w:szCs w:val="24"/>
              </w:rPr>
            </w:pPr>
            <w:r w:rsidRPr="006F3B46">
              <w:rPr>
                <w:rFonts w:cs="Times New Roman"/>
                <w:color w:val="000000"/>
                <w:szCs w:val="24"/>
              </w:rPr>
              <w:t>-1,490,000</w:t>
            </w:r>
          </w:p>
        </w:tc>
        <w:tc>
          <w:tcPr>
            <w:tcW w:w="1677" w:type="dxa"/>
            <w:vAlign w:val="bottom"/>
          </w:tcPr>
          <w:p w:rsidR="006F3B46" w:rsidRPr="006F3B46" w:rsidRDefault="00B93C94" w:rsidP="00665C36">
            <w:pPr>
              <w:jc w:val="right"/>
              <w:rPr>
                <w:rFonts w:cs="Times New Roman"/>
                <w:color w:val="000000"/>
                <w:szCs w:val="24"/>
              </w:rPr>
            </w:pPr>
            <w:r w:rsidRPr="006F3B46">
              <w:rPr>
                <w:rFonts w:cs="Times New Roman"/>
                <w:color w:val="000000"/>
                <w:szCs w:val="24"/>
              </w:rPr>
              <w:t>-482,000</w:t>
            </w:r>
          </w:p>
        </w:tc>
        <w:tc>
          <w:tcPr>
            <w:tcW w:w="1915" w:type="dxa"/>
          </w:tcPr>
          <w:p w:rsidR="006F3B46" w:rsidRPr="00665C36" w:rsidRDefault="006F3B46" w:rsidP="00665C36">
            <w:pPr>
              <w:jc w:val="right"/>
              <w:rPr>
                <w:rFonts w:cs="Times New Roman"/>
                <w:color w:val="232A31"/>
                <w:szCs w:val="24"/>
              </w:rPr>
            </w:pPr>
          </w:p>
          <w:p w:rsidR="00542489" w:rsidRPr="00665C36" w:rsidRDefault="00542489" w:rsidP="00665C36">
            <w:pPr>
              <w:jc w:val="right"/>
              <w:rPr>
                <w:rFonts w:cs="Times New Roman"/>
                <w:color w:val="232A31"/>
                <w:szCs w:val="24"/>
              </w:rPr>
            </w:pPr>
          </w:p>
          <w:p w:rsidR="00542489" w:rsidRPr="00665C36" w:rsidRDefault="00B93C94" w:rsidP="00665C36">
            <w:pPr>
              <w:jc w:val="right"/>
              <w:rPr>
                <w:rFonts w:cs="Times New Roman"/>
                <w:color w:val="232A31"/>
                <w:szCs w:val="24"/>
              </w:rPr>
            </w:pPr>
            <w:r w:rsidRPr="00665C36">
              <w:rPr>
                <w:rFonts w:cs="Times New Roman"/>
                <w:color w:val="232A31"/>
                <w:szCs w:val="24"/>
              </w:rPr>
              <w:t>-1,008,000</w:t>
            </w:r>
          </w:p>
        </w:tc>
        <w:tc>
          <w:tcPr>
            <w:tcW w:w="1916" w:type="dxa"/>
          </w:tcPr>
          <w:p w:rsidR="006F3B46" w:rsidRPr="00665C36" w:rsidRDefault="006F3B46" w:rsidP="00665C36">
            <w:pPr>
              <w:jc w:val="right"/>
              <w:rPr>
                <w:rFonts w:cs="Times New Roman"/>
                <w:color w:val="232A31"/>
                <w:szCs w:val="24"/>
              </w:rPr>
            </w:pPr>
          </w:p>
          <w:p w:rsidR="00542489" w:rsidRPr="00665C36" w:rsidRDefault="00542489" w:rsidP="00665C36">
            <w:pPr>
              <w:jc w:val="right"/>
              <w:rPr>
                <w:rFonts w:cs="Times New Roman"/>
                <w:color w:val="232A31"/>
                <w:szCs w:val="24"/>
              </w:rPr>
            </w:pPr>
          </w:p>
          <w:p w:rsidR="00542489" w:rsidRPr="00665C36" w:rsidRDefault="00B93C94" w:rsidP="00665C36">
            <w:pPr>
              <w:jc w:val="right"/>
              <w:rPr>
                <w:rFonts w:cs="Times New Roman"/>
                <w:color w:val="232A31"/>
                <w:szCs w:val="24"/>
              </w:rPr>
            </w:pPr>
            <w:r w:rsidRPr="00665C36">
              <w:rPr>
                <w:rFonts w:cs="Times New Roman"/>
                <w:color w:val="232A31"/>
                <w:szCs w:val="24"/>
              </w:rPr>
              <w:t>-209.1286</w:t>
            </w:r>
          </w:p>
        </w:tc>
      </w:tr>
      <w:tr w:rsidR="00F02DED" w:rsidTr="00665C36">
        <w:tc>
          <w:tcPr>
            <w:tcW w:w="2358" w:type="dxa"/>
            <w:vAlign w:val="bottom"/>
          </w:tcPr>
          <w:p w:rsidR="006F3B46" w:rsidRPr="006F3B46" w:rsidRDefault="00B93C94" w:rsidP="006F3B46">
            <w:pPr>
              <w:rPr>
                <w:rFonts w:cs="Times New Roman"/>
                <w:color w:val="000000"/>
                <w:szCs w:val="24"/>
              </w:rPr>
            </w:pPr>
            <w:r w:rsidRPr="006F3B46">
              <w:rPr>
                <w:rFonts w:cs="Times New Roman"/>
                <w:color w:val="000000"/>
                <w:szCs w:val="24"/>
              </w:rPr>
              <w:t>Total Liabilities and Stockholder</w:t>
            </w:r>
          </w:p>
        </w:tc>
        <w:tc>
          <w:tcPr>
            <w:tcW w:w="1710" w:type="dxa"/>
            <w:vAlign w:val="bottom"/>
          </w:tcPr>
          <w:p w:rsidR="006F3B46" w:rsidRPr="006F3B46" w:rsidRDefault="00B93C94" w:rsidP="00665C36">
            <w:pPr>
              <w:jc w:val="right"/>
              <w:rPr>
                <w:rFonts w:cs="Times New Roman"/>
                <w:color w:val="000000"/>
                <w:szCs w:val="24"/>
              </w:rPr>
            </w:pPr>
            <w:r w:rsidRPr="006F3B46">
              <w:rPr>
                <w:rFonts w:cs="Times New Roman"/>
                <w:color w:val="000000"/>
                <w:szCs w:val="24"/>
              </w:rPr>
              <w:t>16,755,000</w:t>
            </w:r>
          </w:p>
        </w:tc>
        <w:tc>
          <w:tcPr>
            <w:tcW w:w="1677" w:type="dxa"/>
            <w:vAlign w:val="bottom"/>
          </w:tcPr>
          <w:p w:rsidR="006F3B46" w:rsidRPr="006F3B46" w:rsidRDefault="00B93C94" w:rsidP="00665C36">
            <w:pPr>
              <w:jc w:val="right"/>
              <w:rPr>
                <w:rFonts w:cs="Times New Roman"/>
                <w:color w:val="000000"/>
                <w:szCs w:val="24"/>
              </w:rPr>
            </w:pPr>
            <w:r w:rsidRPr="006F3B46">
              <w:rPr>
                <w:rFonts w:cs="Times New Roman"/>
                <w:color w:val="000000"/>
                <w:szCs w:val="24"/>
              </w:rPr>
              <w:t>14,957,000</w:t>
            </w:r>
          </w:p>
        </w:tc>
        <w:tc>
          <w:tcPr>
            <w:tcW w:w="1915" w:type="dxa"/>
          </w:tcPr>
          <w:p w:rsidR="006F3B46" w:rsidRPr="00665C36" w:rsidRDefault="006F3B46" w:rsidP="00665C36">
            <w:pPr>
              <w:jc w:val="right"/>
              <w:rPr>
                <w:rFonts w:cs="Times New Roman"/>
                <w:color w:val="232A31"/>
                <w:szCs w:val="24"/>
              </w:rPr>
            </w:pPr>
          </w:p>
          <w:p w:rsidR="00665C36" w:rsidRPr="00665C36" w:rsidRDefault="00B93C94" w:rsidP="00665C36">
            <w:pPr>
              <w:jc w:val="right"/>
              <w:rPr>
                <w:rFonts w:cs="Times New Roman"/>
                <w:color w:val="232A31"/>
                <w:szCs w:val="24"/>
              </w:rPr>
            </w:pPr>
            <w:r w:rsidRPr="00665C36">
              <w:rPr>
                <w:rFonts w:cs="Times New Roman"/>
                <w:color w:val="232A31"/>
                <w:szCs w:val="24"/>
              </w:rPr>
              <w:t>1,798,000</w:t>
            </w:r>
          </w:p>
        </w:tc>
        <w:tc>
          <w:tcPr>
            <w:tcW w:w="1916" w:type="dxa"/>
          </w:tcPr>
          <w:p w:rsidR="006F3B46" w:rsidRPr="00665C36" w:rsidRDefault="006F3B46" w:rsidP="00665C36">
            <w:pPr>
              <w:jc w:val="right"/>
              <w:rPr>
                <w:rFonts w:cs="Times New Roman"/>
                <w:color w:val="232A31"/>
                <w:szCs w:val="24"/>
              </w:rPr>
            </w:pPr>
          </w:p>
          <w:p w:rsidR="00665C36" w:rsidRPr="00665C36" w:rsidRDefault="00B93C94" w:rsidP="00665C36">
            <w:pPr>
              <w:jc w:val="right"/>
              <w:rPr>
                <w:rFonts w:cs="Times New Roman"/>
                <w:color w:val="232A31"/>
                <w:szCs w:val="24"/>
              </w:rPr>
            </w:pPr>
            <w:r w:rsidRPr="00665C36">
              <w:rPr>
                <w:rFonts w:cs="Times New Roman"/>
                <w:color w:val="232A31"/>
                <w:szCs w:val="24"/>
              </w:rPr>
              <w:t>12.0211</w:t>
            </w:r>
          </w:p>
        </w:tc>
      </w:tr>
    </w:tbl>
    <w:p w:rsidR="006F3B46" w:rsidRDefault="00B93C94" w:rsidP="00C6673B">
      <w:r>
        <w:t xml:space="preserve">From the evaluation of the horizontal analysis of the income statement and balance sheet, it can say that the financial condition of the company </w:t>
      </w:r>
      <w:r w:rsidR="00194CE6">
        <w:t xml:space="preserve">was the downfall. In the change column, it is very clear. Because it represents the actual data of the company.  </w:t>
      </w:r>
    </w:p>
    <w:p w:rsidR="00194CE6" w:rsidRDefault="00B93C94" w:rsidP="00B91FE9">
      <w:pPr>
        <w:pStyle w:val="Heading2"/>
      </w:pPr>
      <w:bookmarkStart w:id="4" w:name="_Toc117078793"/>
      <w:r>
        <w:t>The practice of Sustainable Accounting</w:t>
      </w:r>
      <w:bookmarkEnd w:id="4"/>
    </w:p>
    <w:p w:rsidR="00194CE6" w:rsidRDefault="00B93C94" w:rsidP="00194CE6">
      <w:pPr>
        <w:rPr>
          <w:lang w:val="en-US"/>
        </w:rPr>
      </w:pPr>
      <w:r w:rsidRPr="00194CE6">
        <w:rPr>
          <w:lang w:val="en-US"/>
        </w:rPr>
        <w:t xml:space="preserve">The process of monitoring, assessing, and reporting a company's social and environmental implications is referred to as sustainability accounting.A variety of stakeholders each have their unique </w:t>
      </w:r>
      <w:r w:rsidRPr="00E00C84">
        <w:t>interests</w:t>
      </w:r>
      <w:r w:rsidR="00E00C84" w:rsidRPr="00E00C84">
        <w:t xml:space="preserve"> (Makarenko, and Plastun, 2017)</w:t>
      </w:r>
      <w:r w:rsidRPr="00E00C84">
        <w:t xml:space="preserve">. </w:t>
      </w:r>
      <w:r w:rsidRPr="00194CE6">
        <w:rPr>
          <w:lang w:val="en-US"/>
        </w:rPr>
        <w:t xml:space="preserve">Workers may be curious about pay disparity, such as the gap between what the CEO earns and what the ordinary worker makes. In the 1970s, CEOs earned 20 to 30 times as much money as ordinary workers; now, they make 300 times as </w:t>
      </w:r>
      <w:r w:rsidRPr="00194CE6">
        <w:rPr>
          <w:lang w:val="en-US"/>
        </w:rPr>
        <w:lastRenderedPageBreak/>
        <w:t>much money as CEOs did back then.</w:t>
      </w:r>
      <w:r w:rsidR="00D27BEF">
        <w:rPr>
          <w:lang w:val="en-US"/>
        </w:rPr>
        <w:t>In the hotel business, c</w:t>
      </w:r>
      <w:r w:rsidRPr="00194CE6">
        <w:rPr>
          <w:lang w:val="en-US"/>
        </w:rPr>
        <w:t>ommunities could be interested in the amount of pollution or greenhouse gases a companyproduces</w:t>
      </w:r>
      <w:r w:rsidR="00D27BEF">
        <w:rPr>
          <w:lang w:val="en-US"/>
        </w:rPr>
        <w:t xml:space="preserve">. </w:t>
      </w:r>
      <w:r w:rsidR="00D27BEF" w:rsidRPr="00194CE6">
        <w:rPr>
          <w:lang w:val="en-US"/>
        </w:rPr>
        <w:t>T</w:t>
      </w:r>
      <w:r w:rsidRPr="00194CE6">
        <w:rPr>
          <w:lang w:val="en-US"/>
        </w:rPr>
        <w:t>he</w:t>
      </w:r>
      <w:r w:rsidR="00D27BEF">
        <w:rPr>
          <w:lang w:val="en-US"/>
        </w:rPr>
        <w:t xml:space="preserve"> companyor hotel organisation </w:t>
      </w:r>
      <w:r w:rsidRPr="00194CE6">
        <w:rPr>
          <w:lang w:val="en-US"/>
        </w:rPr>
        <w:t>want</w:t>
      </w:r>
      <w:r w:rsidR="00D27BEF">
        <w:rPr>
          <w:lang w:val="en-US"/>
        </w:rPr>
        <w:t>s</w:t>
      </w:r>
      <w:r w:rsidRPr="00194CE6">
        <w:rPr>
          <w:lang w:val="en-US"/>
        </w:rPr>
        <w:t xml:space="preserve"> their neighbourhoods to continue to be pristine and risk-free places to live. Investors are often interested in the financial success of a company, which includes ESG factors.The measurement of sustainability is where much of the difficulty lies. The information that is used to determine how sustainable a business it comes, for the most part, directly from the company itself, and it is not always audited. Because of this, it is considerably </w:t>
      </w:r>
      <w:r w:rsidRPr="00E00C84">
        <w:t>different from information about finances, which is subject to comprehensive audits</w:t>
      </w:r>
      <w:r w:rsidR="00E00C84" w:rsidRPr="00E00C84">
        <w:t xml:space="preserve"> (Bebbington, and Larrinaga,2014)</w:t>
      </w:r>
      <w:r w:rsidRPr="00E00C84">
        <w:t>. This</w:t>
      </w:r>
      <w:r w:rsidRPr="00194CE6">
        <w:rPr>
          <w:lang w:val="en-US"/>
        </w:rPr>
        <w:t xml:space="preserve"> information given by the corporation is used as the foundation for the creation of various evaluations and assessments by third-party </w:t>
      </w:r>
      <w:r w:rsidR="002E11E7">
        <w:rPr>
          <w:lang w:val="en-US"/>
        </w:rPr>
        <w:t>organisation</w:t>
      </w:r>
      <w:r w:rsidRPr="00194CE6">
        <w:rPr>
          <w:lang w:val="en-US"/>
        </w:rPr>
        <w:t>s, which indicates that there are severe difficulties with their analysis. Many businesses do disclose this information freely; however, many of these businesses say one thing but do another, for example, polishing their image while continuing to harm the environment.</w:t>
      </w:r>
    </w:p>
    <w:p w:rsidR="00B91FE9" w:rsidRDefault="00B93C94">
      <w:pPr>
        <w:spacing w:line="259" w:lineRule="auto"/>
        <w:jc w:val="left"/>
        <w:rPr>
          <w:lang w:val="en-US"/>
        </w:rPr>
      </w:pPr>
      <w:r>
        <w:rPr>
          <w:lang w:val="en-US"/>
        </w:rPr>
        <w:br w:type="page"/>
      </w:r>
    </w:p>
    <w:p w:rsidR="00B91FE9" w:rsidRDefault="00B93C94" w:rsidP="00816D2C">
      <w:pPr>
        <w:pStyle w:val="Heading1"/>
      </w:pPr>
      <w:bookmarkStart w:id="5" w:name="_Toc117078794"/>
      <w:r>
        <w:lastRenderedPageBreak/>
        <w:t>Task Two</w:t>
      </w:r>
      <w:bookmarkEnd w:id="5"/>
    </w:p>
    <w:p w:rsidR="00FB4D79" w:rsidRDefault="00B93C94" w:rsidP="00FB4D79">
      <w:pPr>
        <w:rPr>
          <w:lang w:val="en-US"/>
        </w:rPr>
      </w:pPr>
      <w:r>
        <w:rPr>
          <w:lang w:val="en-US"/>
        </w:rPr>
        <w:t xml:space="preserve">Budgeting is preparing the financial planning of an organisation. Financial planning or budgeting of a specific hotel has been prepared in this report. </w:t>
      </w:r>
      <w:r w:rsidRPr="00FB4D79">
        <w:rPr>
          <w:lang w:val="en-US"/>
        </w:rPr>
        <w:t>By developing this spending plan, one can assess in advance whether or not they will have sufficient funds to carry out the activities that they are required to carry out or those that they would want to carry out</w:t>
      </w:r>
      <w:r w:rsidR="002E11E7" w:rsidRPr="002E11E7">
        <w:rPr>
          <w:lang w:val="en-US"/>
        </w:rPr>
        <w:t>(Penning, 2012)</w:t>
      </w:r>
      <w:r w:rsidRPr="00FB4D79">
        <w:rPr>
          <w:lang w:val="en-US"/>
        </w:rPr>
        <w:t>. To better manage one's financial situation by striking a healthy balance between one's income and expenditures, proper financial planning and forecasting are essential.Creating a budget is as easy as bringing income and spending into balance. If they do not balance, and a person spends more than he or she makes, then there will be a problem caused by this. A lot of individuals aren't even aware that they're spending more money than they bring in, which is why they continue to rack up debt year after year.If a person does not have enough money to accomplish all that they would want to do, then they may utili</w:t>
      </w:r>
      <w:r w:rsidR="0054658F">
        <w:rPr>
          <w:lang w:val="en-US"/>
        </w:rPr>
        <w:t>s</w:t>
      </w:r>
      <w:r w:rsidRPr="00FB4D79">
        <w:rPr>
          <w:lang w:val="en-US"/>
        </w:rPr>
        <w:t xml:space="preserve">e this planning method to prioritize their spending and concentrate their money on the things that are the most essential to that person.As a result of the fact that budgeting makes it possible for any </w:t>
      </w:r>
      <w:r w:rsidR="002E11E7">
        <w:rPr>
          <w:lang w:val="en-US"/>
        </w:rPr>
        <w:t xml:space="preserve">organisation </w:t>
      </w:r>
      <w:r w:rsidRPr="00FB4D79">
        <w:rPr>
          <w:lang w:val="en-US"/>
        </w:rPr>
        <w:t xml:space="preserve">or person to develop a spending strategy for the money, it guarantees that an </w:t>
      </w:r>
      <w:r w:rsidR="002E11E7">
        <w:rPr>
          <w:lang w:val="en-US"/>
        </w:rPr>
        <w:t xml:space="preserve">organisation </w:t>
      </w:r>
      <w:r w:rsidRPr="00FB4D79">
        <w:rPr>
          <w:lang w:val="en-US"/>
        </w:rPr>
        <w:t>will always have sufficient funds for the things that they need and the things that are essential to them</w:t>
      </w:r>
      <w:r w:rsidR="00E93825" w:rsidRPr="00E93825">
        <w:rPr>
          <w:lang w:val="en-US"/>
        </w:rPr>
        <w:t>(Dugdale and Lyne, 2017)</w:t>
      </w:r>
      <w:r w:rsidRPr="00FB4D79">
        <w:rPr>
          <w:lang w:val="en-US"/>
        </w:rPr>
        <w:t xml:space="preserve">. In addition to preventing the </w:t>
      </w:r>
      <w:r w:rsidR="002E11E7">
        <w:rPr>
          <w:lang w:val="en-US"/>
        </w:rPr>
        <w:t>organisation f</w:t>
      </w:r>
      <w:r w:rsidRPr="00FB4D79">
        <w:rPr>
          <w:lang w:val="en-US"/>
        </w:rPr>
        <w:t xml:space="preserve">rom falling into debt, sticking to a spending plan or budget will assist in getting the </w:t>
      </w:r>
      <w:r w:rsidR="002E11E7">
        <w:rPr>
          <w:lang w:val="en-US"/>
        </w:rPr>
        <w:t xml:space="preserve">organisation </w:t>
      </w:r>
      <w:r w:rsidRPr="00FB4D79">
        <w:rPr>
          <w:lang w:val="en-US"/>
        </w:rPr>
        <w:t>out of debt or helping it work its way out of debt if it is already in debt.</w:t>
      </w:r>
    </w:p>
    <w:p w:rsidR="0054658F" w:rsidRDefault="00B93C94" w:rsidP="00F47F5D">
      <w:pPr>
        <w:rPr>
          <w:lang w:val="en-US"/>
        </w:rPr>
      </w:pPr>
      <w:r>
        <w:rPr>
          <w:lang w:val="en-US"/>
        </w:rPr>
        <w:t xml:space="preserve">According to the traditional techniques of budgeting, a budget has been prepared from the </w:t>
      </w:r>
      <w:r w:rsidR="00FB4D79" w:rsidRPr="00FB4D79">
        <w:rPr>
          <w:lang w:val="en-US"/>
        </w:rPr>
        <w:t>budget from the previous year</w:t>
      </w:r>
      <w:r>
        <w:rPr>
          <w:lang w:val="en-US"/>
        </w:rPr>
        <w:t>.</w:t>
      </w:r>
      <w:r w:rsidRPr="0054658F">
        <w:rPr>
          <w:lang w:val="en-US"/>
        </w:rPr>
        <w:t xml:space="preserve">The process of management control begins with budgeting, which is regarded to be the cornerstone of practically any </w:t>
      </w:r>
      <w:r w:rsidRPr="00E93825">
        <w:rPr>
          <w:lang w:val="en-US"/>
        </w:rPr>
        <w:t>corporation</w:t>
      </w:r>
      <w:r w:rsidR="00E93825" w:rsidRPr="00E93825">
        <w:t xml:space="preserve"> (Cardoș, 2014)</w:t>
      </w:r>
      <w:r w:rsidRPr="00E93825">
        <w:rPr>
          <w:lang w:val="en-US"/>
        </w:rPr>
        <w:t>. It</w:t>
      </w:r>
      <w:r w:rsidRPr="0054658F">
        <w:rPr>
          <w:lang w:val="en-US"/>
        </w:rPr>
        <w:t xml:space="preserve"> is traditionally understood to refer to a typical accounting instrument that is used by businesses in the process of putting their strategy into action. The primary function of a budget is to assign a monetary value to various goals and objectives to facilitate the process of tracking and analyzing progress. The conventional method of budgeting has come under fire on multiple occasions for being unable to satisfy the requirements of today's highly competitive corporate climate. Despite this, there are still certain reasons that are made in support of the conventional method of budgeting, including its benefits, limits, and practicality.</w:t>
      </w:r>
      <w:r w:rsidR="00F47F5D" w:rsidRPr="00F47F5D">
        <w:rPr>
          <w:lang w:val="en-US"/>
        </w:rPr>
        <w:t xml:space="preserve">A conventional budget is a quantitative statement that is used as a supplementary tool for an action plan. This statement may be characterized as follows: Typically, it will contain targets for the company's cash flows, expenditures, revenues, assets, and </w:t>
      </w:r>
      <w:r w:rsidR="00F47F5D" w:rsidRPr="00F47F5D">
        <w:rPr>
          <w:lang w:val="en-US"/>
        </w:rPr>
        <w:lastRenderedPageBreak/>
        <w:t xml:space="preserve">liabilities for a certain period. When preparing a typical budget, additional sums, such as those resulting from inflation or projected increases in sales prices and expenses, are added to the yearly budget that is already in </w:t>
      </w:r>
      <w:r w:rsidR="00F47F5D" w:rsidRPr="00E93825">
        <w:rPr>
          <w:lang w:val="en-US"/>
        </w:rPr>
        <w:t>place</w:t>
      </w:r>
      <w:r w:rsidR="00E93825" w:rsidRPr="00E93825">
        <w:t xml:space="preserve"> (Baker, Dutta, and Saadi, 2010)</w:t>
      </w:r>
      <w:r w:rsidR="00F47F5D" w:rsidRPr="00E93825">
        <w:rPr>
          <w:lang w:val="en-US"/>
        </w:rPr>
        <w:t xml:space="preserve">.As a consequence </w:t>
      </w:r>
      <w:r w:rsidR="00F47F5D" w:rsidRPr="00F47F5D">
        <w:rPr>
          <w:lang w:val="en-US"/>
        </w:rPr>
        <w:t>of having a hierarchical frame of mind, traditional budgeting is almost always carried out using a top-down methodology. This implies that the central management develops an initial budget for all departments by the company's plan, and then the sub-departments elaborate budgets according to their specific requirements.</w:t>
      </w:r>
    </w:p>
    <w:p w:rsidR="00530826" w:rsidRDefault="00B93C94" w:rsidP="00816D2C">
      <w:pPr>
        <w:rPr>
          <w:lang w:val="en-US"/>
        </w:rPr>
      </w:pPr>
      <w:r w:rsidRPr="00530826">
        <w:rPr>
          <w:lang w:val="en-US"/>
        </w:rPr>
        <w:t xml:space="preserve">The approach of budgeting known as zero-based budgeting requires that every spending be rationalized before moving on to the next month. The procedure of zero-based budgeting begins with the establishment of a "zero base," after which each activity inside an </w:t>
      </w:r>
      <w:r w:rsidR="002E11E7">
        <w:rPr>
          <w:lang w:val="en-US"/>
        </w:rPr>
        <w:t xml:space="preserve">organisation </w:t>
      </w:r>
      <w:r w:rsidRPr="00530826">
        <w:rPr>
          <w:lang w:val="en-US"/>
        </w:rPr>
        <w:t>is scrutinized about the requirements and expenses associated with it</w:t>
      </w:r>
      <w:r w:rsidR="00E93825">
        <w:rPr>
          <w:lang w:val="en-US"/>
        </w:rPr>
        <w:t xml:space="preserve"> (</w:t>
      </w:r>
      <w:r w:rsidR="00E93825">
        <w:t>Jagels, 2007)</w:t>
      </w:r>
      <w:r w:rsidRPr="00530826">
        <w:rPr>
          <w:lang w:val="en-US"/>
        </w:rPr>
        <w:t xml:space="preserve">. After then, the budgets are constructed based on the requirements for the subsequent period, and this occurs regardless of whether one budget is larger or less than the one that came before it.When it comes to conducting business, ZBB enables the incorporation of high-level strategic goals into the budgeting process by linking these goals to particular functional areas of the </w:t>
      </w:r>
      <w:r w:rsidR="002E11E7">
        <w:rPr>
          <w:lang w:val="en-US"/>
        </w:rPr>
        <w:t>organisation</w:t>
      </w:r>
      <w:r w:rsidRPr="00530826">
        <w:rPr>
          <w:lang w:val="en-US"/>
        </w:rPr>
        <w:t>. Within these functional areas, costs can first be grouped, and then they can be evaluated in comparison to both previous results and current expectations.Because of the emphasis, it places on specifics, zero-based budgeting may be an ongoing process that is carried out over many years, with managers or group leaders focusing on a limited number of functional areas at any one time. By eliminating generalized additions or reductions to a budget from a previous period, zero-based budgeting may assist in the reduction of expenses. On the other hand, it is a time-consuming procedure that requires much more time than conventional cost-based budgeting.</w:t>
      </w:r>
    </w:p>
    <w:p w:rsidR="00FB4D79" w:rsidRDefault="00B93C94" w:rsidP="00530826">
      <w:pPr>
        <w:rPr>
          <w:lang w:val="en-US"/>
        </w:rPr>
      </w:pPr>
      <w:r w:rsidRPr="00530826">
        <w:rPr>
          <w:lang w:val="en-US"/>
        </w:rPr>
        <w:t>At the risk of simplifying things too much, conventional budgeting is based on looking at previous years' expenditures to determine how much money will be needed in the future. Instead, it takes a different approach, which is what the zero-based budgeting method does. It is required that department heads base their budgets on the needs of the company as well as the accomplishment of the firm's overall strategy and objectives</w:t>
      </w:r>
      <w:r w:rsidR="008071A9">
        <w:rPr>
          <w:lang w:val="en-US"/>
        </w:rPr>
        <w:t xml:space="preserve"> (</w:t>
      </w:r>
      <w:r w:rsidR="008071A9">
        <w:t>Bhimani, 2006)</w:t>
      </w:r>
      <w:r w:rsidRPr="00530826">
        <w:rPr>
          <w:lang w:val="en-US"/>
        </w:rPr>
        <w:t xml:space="preserve">. This "start from scratch" premise gives a more disciplined and strategic approach to allocating resources, which may be of tremendous benefit in markets where margins are low and increasingly important.Even though the notion of zero-based budgeting has been around for a while, the pace at which it has been adopted </w:t>
      </w:r>
      <w:r w:rsidRPr="00530826">
        <w:rPr>
          <w:lang w:val="en-US"/>
        </w:rPr>
        <w:lastRenderedPageBreak/>
        <w:t>has been somewhat slower than you may have anticipated. The more stringent ZBB technique seems to be too intimidating for many businesses, which is one of the reasons why many of these businesses continue to depend on conventional budgeting methods. This may be the case for businesses that continue to depend exclusively on Excel, but before we accept it as a given, let's investigate the reasons why it's important to do an assessment.</w:t>
      </w:r>
    </w:p>
    <w:p w:rsidR="00530826" w:rsidRPr="00FB4D79" w:rsidRDefault="00B93C94" w:rsidP="00530826">
      <w:pPr>
        <w:rPr>
          <w:lang w:val="en-US"/>
        </w:rPr>
      </w:pPr>
      <w:r w:rsidRPr="000F6909">
        <w:rPr>
          <w:lang w:val="en-US"/>
        </w:rPr>
        <w:t xml:space="preserve">Because the potential benefits might be as great as those that have been outlined above, it is imperative that ensure that the zero-based budgeting technique is implemented successfully. This suggests that the process itself has been thoughtfully planned and that the </w:t>
      </w:r>
      <w:r w:rsidR="002E11E7">
        <w:rPr>
          <w:lang w:val="en-US"/>
        </w:rPr>
        <w:t xml:space="preserve">organisation </w:t>
      </w:r>
      <w:r w:rsidRPr="000F6909">
        <w:rPr>
          <w:lang w:val="en-US"/>
        </w:rPr>
        <w:t xml:space="preserve">is equipped with the appropriate technological enablers to support the </w:t>
      </w:r>
      <w:r w:rsidRPr="008071A9">
        <w:t>process</w:t>
      </w:r>
      <w:r w:rsidR="008071A9" w:rsidRPr="008071A9">
        <w:t xml:space="preserve"> (Kazar, Mutlu, and Tokdemir, 2022)</w:t>
      </w:r>
      <w:r w:rsidRPr="008071A9">
        <w:t>. The appr</w:t>
      </w:r>
      <w:r w:rsidRPr="000F6909">
        <w:rPr>
          <w:lang w:val="en-US"/>
        </w:rPr>
        <w:t xml:space="preserve">opriate solution provides support for the process and assists with overcoming the primary problems connected with putting ZBB into action. Without the appropriate technology, the process itself becomes unmanageable and has the potential to collapse under its weight. This is particularly true if an individual attempts to carry out ZBB using nothing more than a series of connected spreadsheets. It is common practice for those in charge of the budget to acquire a minimal amount of training in ZBB. In this particular scenario, providing just an empty template would be a prescription for catastrophe. The amount of time and effort necessary to establish a zero-based budget might be substantial from the viewpoint of the person who holds the budget, therefore taking shortcuts during the process, although appealing, will most likely result in inferior outcomes </w:t>
      </w:r>
      <w:r w:rsidR="002E11E7" w:rsidRPr="002E11E7">
        <w:t>(Pyhrr, 2012)</w:t>
      </w:r>
      <w:r w:rsidRPr="002E11E7">
        <w:t>. There</w:t>
      </w:r>
      <w:r w:rsidRPr="000F6909">
        <w:rPr>
          <w:lang w:val="en-US"/>
        </w:rPr>
        <w:t xml:space="preserve"> is the potential for a significant amount of pushback from those in charge of budgets who do not want to see anything altered, and this opposition has the potential to reduce ZBB's overall efficiency.</w:t>
      </w:r>
    </w:p>
    <w:p w:rsidR="000F6909" w:rsidRDefault="00B93C94" w:rsidP="00816D2C">
      <w:r w:rsidRPr="000F6909">
        <w:t xml:space="preserve">ZBB is about more than simply reducing expenses, however. It is an essential action that must be taken to liberate the assets and capital that are required for the revitalization and expansion of the firm. </w:t>
      </w:r>
      <w:r w:rsidR="002E11E7">
        <w:t xml:space="preserve">The hotel organisation </w:t>
      </w:r>
      <w:r w:rsidRPr="000F6909">
        <w:t>may utili</w:t>
      </w:r>
      <w:r w:rsidR="002E11E7">
        <w:t>s</w:t>
      </w:r>
      <w:r w:rsidRPr="000F6909">
        <w:t xml:space="preserve">e internal and external benchmarking, in conjunction with the executives of the company, to highlight profitability gaps that need to be addressed and explain precisely what will happen to the savings that are generated. In the beginning, </w:t>
      </w:r>
      <w:r w:rsidR="002E11E7">
        <w:t>the company</w:t>
      </w:r>
      <w:r w:rsidRPr="000F6909">
        <w:t xml:space="preserve"> should concentrate </w:t>
      </w:r>
      <w:r w:rsidR="002E11E7">
        <w:t xml:space="preserve">on </w:t>
      </w:r>
      <w:r w:rsidRPr="000F6909">
        <w:t xml:space="preserve">the ZBB initiative on either the larger and more stable business units that are having trouble generating a profit or on specific areas of overhead where there are significant indirect costs that are not well </w:t>
      </w:r>
      <w:r w:rsidRPr="002E11E7">
        <w:t>understood</w:t>
      </w:r>
      <w:r w:rsidR="002E11E7" w:rsidRPr="002E11E7">
        <w:t xml:space="preserve"> (Ibrahim, 2019)</w:t>
      </w:r>
      <w:r w:rsidRPr="002E11E7">
        <w:t>. These</w:t>
      </w:r>
      <w:r w:rsidRPr="000F6909">
        <w:t xml:space="preserve"> kinds of decisions will not only bolster the justification for implementing ZBB, but they will also result in the greatest cost reductions </w:t>
      </w:r>
      <w:r w:rsidRPr="000F6909">
        <w:lastRenderedPageBreak/>
        <w:t>while causing the least amount of disturbance to the other parts of the company.Build a cross-functional project team with representatives from finance, information technology, and any other relevant business divisions. If possible, have a C-level executive serve as the team's chairperson. The challenge and review process is at the heart of ZBB. This process involves analy</w:t>
      </w:r>
      <w:r>
        <w:t>s</w:t>
      </w:r>
      <w:r w:rsidRPr="000F6909">
        <w:t>ing every activity that a department participates in to see whether or not it can be eliminated or performed at a lower cost. It might be beneficial to pay an experienced third party who is also impartial to assist negotiate the unavoidable concessions.</w:t>
      </w:r>
    </w:p>
    <w:p w:rsidR="00116DE8" w:rsidRPr="00816D2C" w:rsidRDefault="00B93C94" w:rsidP="00816D2C">
      <w:r w:rsidRPr="000F6909">
        <w:t xml:space="preserve">Once an </w:t>
      </w:r>
      <w:r w:rsidR="002E11E7">
        <w:t xml:space="preserve">organisation </w:t>
      </w:r>
      <w:r w:rsidRPr="000F6909">
        <w:t>has successfully implemented a ZBB project, it should keep the skills fresh by moving on to new business units or expenditure categories and reviewing past initiatives to guarantee that cost reduction will be maintained</w:t>
      </w:r>
      <w:r w:rsidR="008071A9">
        <w:t xml:space="preserve"> (Drury, 2008)</w:t>
      </w:r>
      <w:r w:rsidRPr="000F6909">
        <w:t>. The ZBB model can easily be developed into a driver-based planning and budgeting model that could advantageously supplement or replace existing FP&amp;A procedures because it contains the causal relationships between various activities, the resulting resource needs, and the expenses of those needs. This is because it contains the causal relationships between various activities. A heightened awareness of cost management should be the consequence of ZBB initiatives that are completed successfully. It is important to keep in mind that awareness will not occur if the business goes back to using the conventional incremental technique for yearly planning and budgeting after the implementation has been completed.Traditional planning and budgeting software do not include any of the operational drivers of costs, such as activity volumes, productivity ratios, or input costs; ZBB, on the other hand, does. These older systems only store highly aggregated financial data, and as a result, they need to be updated with significant volumes of data from other sources such as spreadsheets</w:t>
      </w:r>
      <w:r w:rsidR="008071A9">
        <w:t xml:space="preserve"> (Atrill, and McLaney, 2009)</w:t>
      </w:r>
      <w:r w:rsidRPr="000F6909">
        <w:t>. The process of manipulating this data in supplementary spreadsheets adds to the complexity of any ZBB project as well as the amount of work that must be done. The storage of all of the comprehensive operational and financial data on a single platform that is used for financial planning and analysis, such as Anaplan, is a superior option. See how one consumer packaged goods firm accomplished this goal. A platform like this makes it simple to simulate the causal connection between the levels of activity and the resource demands that are produced as a consequence. In addition, the patented in-memory calculation engine that Anaplan utili</w:t>
      </w:r>
      <w:r>
        <w:t>s</w:t>
      </w:r>
      <w:r w:rsidRPr="000F6909">
        <w:t>es offers the required ability to analy</w:t>
      </w:r>
      <w:r>
        <w:t>s</w:t>
      </w:r>
      <w:r w:rsidRPr="000F6909">
        <w:t>e the substantial amounts of data that are involved.</w:t>
      </w:r>
      <w:bookmarkStart w:id="6" w:name="_GoBack"/>
      <w:bookmarkEnd w:id="6"/>
    </w:p>
    <w:p w:rsidR="00116DE8" w:rsidRDefault="00B93C94" w:rsidP="00116DE8">
      <w:r>
        <w:rPr>
          <w:lang w:val="en-US"/>
        </w:rPr>
        <w:lastRenderedPageBreak/>
        <w:t xml:space="preserve">This report has two parts and every part has a separate task to complete. For completing the tasks, two </w:t>
      </w:r>
      <w:r w:rsidR="00BD5D58">
        <w:rPr>
          <w:lang w:val="en-US"/>
        </w:rPr>
        <w:t>scenarios</w:t>
      </w:r>
      <w:r>
        <w:rPr>
          <w:lang w:val="en-US"/>
        </w:rPr>
        <w:t xml:space="preserve"> ha</w:t>
      </w:r>
      <w:r w:rsidR="00BD5D58">
        <w:rPr>
          <w:lang w:val="en-US"/>
        </w:rPr>
        <w:t>ve</w:t>
      </w:r>
      <w:r>
        <w:rPr>
          <w:lang w:val="en-US"/>
        </w:rPr>
        <w:t xml:space="preserve"> been provided and an individual has to complete the task by considering the scenario of the study. </w:t>
      </w:r>
      <w:r w:rsidR="00BD5D58">
        <w:rPr>
          <w:lang w:val="en-US"/>
        </w:rPr>
        <w:t xml:space="preserve">In the first scenario, some information has been provided on </w:t>
      </w:r>
      <w:r w:rsidR="00BD5D58" w:rsidRPr="006424EB">
        <w:t>Hilton Worldwide Holdings Inc.</w:t>
      </w:r>
      <w:r w:rsidR="00BD5D58">
        <w:t xml:space="preserve"> and has to prepare a horizontal ratio for developing the change in the information. In the second scenario, some information has been provided on Continental hotel and has to provide advice on their budget planning. Budget planning is an important part of an organisation because the profit of the organisation depends on budget planning of the organisation. </w:t>
      </w:r>
    </w:p>
    <w:p w:rsidR="00E839C2" w:rsidRDefault="00B93C94">
      <w:pPr>
        <w:spacing w:line="259" w:lineRule="auto"/>
        <w:jc w:val="left"/>
      </w:pPr>
      <w:r>
        <w:br w:type="page"/>
      </w:r>
    </w:p>
    <w:p w:rsidR="00E839C2" w:rsidRDefault="00B93C94" w:rsidP="00E839C2">
      <w:pPr>
        <w:pStyle w:val="Heading1"/>
      </w:pPr>
      <w:bookmarkStart w:id="7" w:name="_Toc117078799"/>
      <w:r>
        <w:lastRenderedPageBreak/>
        <w:t>References</w:t>
      </w:r>
      <w:bookmarkEnd w:id="7"/>
    </w:p>
    <w:p w:rsidR="00E839C2" w:rsidRPr="00B358B7" w:rsidRDefault="00B93C94" w:rsidP="00E839C2">
      <w:pPr>
        <w:rPr>
          <w:rFonts w:cs="Times New Roman"/>
          <w:szCs w:val="24"/>
          <w:shd w:val="clear" w:color="auto" w:fill="FFFFFF"/>
        </w:rPr>
      </w:pPr>
      <w:bookmarkStart w:id="8" w:name="_Hlk117078484"/>
      <w:r w:rsidRPr="00B358B7">
        <w:rPr>
          <w:rFonts w:cs="Times New Roman"/>
          <w:szCs w:val="24"/>
          <w:shd w:val="clear" w:color="auto" w:fill="FFFFFF"/>
        </w:rPr>
        <w:t xml:space="preserve">Amoako, K.O., Marfo, E.O., Gyau, K.E. and Asamoah, F.O., 2013. </w:t>
      </w:r>
      <w:bookmarkEnd w:id="8"/>
      <w:r w:rsidRPr="00B358B7">
        <w:rPr>
          <w:rFonts w:cs="Times New Roman"/>
          <w:szCs w:val="24"/>
          <w:shd w:val="clear" w:color="auto" w:fill="FFFFFF"/>
        </w:rPr>
        <w:t>Cash budget imperative element of effective financial management. </w:t>
      </w:r>
      <w:r w:rsidRPr="00B358B7">
        <w:rPr>
          <w:rFonts w:cs="Times New Roman"/>
          <w:i/>
          <w:iCs/>
          <w:szCs w:val="24"/>
          <w:shd w:val="clear" w:color="auto" w:fill="FFFFFF"/>
        </w:rPr>
        <w:t>Canadian social science</w:t>
      </w:r>
      <w:r w:rsidRPr="00B358B7">
        <w:rPr>
          <w:rFonts w:cs="Times New Roman"/>
          <w:szCs w:val="24"/>
          <w:shd w:val="clear" w:color="auto" w:fill="FFFFFF"/>
        </w:rPr>
        <w:t>, </w:t>
      </w:r>
      <w:r w:rsidRPr="00B358B7">
        <w:rPr>
          <w:rFonts w:cs="Times New Roman"/>
          <w:i/>
          <w:iCs/>
          <w:szCs w:val="24"/>
          <w:shd w:val="clear" w:color="auto" w:fill="FFFFFF"/>
        </w:rPr>
        <w:t>9</w:t>
      </w:r>
      <w:r w:rsidRPr="00B358B7">
        <w:rPr>
          <w:rFonts w:cs="Times New Roman"/>
          <w:szCs w:val="24"/>
          <w:shd w:val="clear" w:color="auto" w:fill="FFFFFF"/>
        </w:rPr>
        <w:t>(5), pp.188-191.</w:t>
      </w:r>
    </w:p>
    <w:p w:rsidR="00E839C2" w:rsidRPr="00B358B7" w:rsidRDefault="00B93C94" w:rsidP="00E839C2">
      <w:pPr>
        <w:rPr>
          <w:rFonts w:cs="Times New Roman"/>
          <w:szCs w:val="24"/>
        </w:rPr>
      </w:pPr>
      <w:r w:rsidRPr="00B358B7">
        <w:rPr>
          <w:rFonts w:cs="Times New Roman"/>
          <w:szCs w:val="24"/>
        </w:rPr>
        <w:t xml:space="preserve">Atrill, P. and McLaney, E. (2009), Management Accounting for Decision Makers, UK: FT Prentice Hall Page 9 of 10 </w:t>
      </w:r>
    </w:p>
    <w:p w:rsidR="00E839C2" w:rsidRPr="00B358B7" w:rsidRDefault="00B93C94" w:rsidP="00E839C2">
      <w:pPr>
        <w:rPr>
          <w:rFonts w:cs="Times New Roman"/>
          <w:szCs w:val="24"/>
          <w:shd w:val="clear" w:color="auto" w:fill="FFFFFF"/>
        </w:rPr>
      </w:pPr>
      <w:bookmarkStart w:id="9" w:name="_Hlk117078326"/>
      <w:r w:rsidRPr="00B358B7">
        <w:rPr>
          <w:rFonts w:cs="Times New Roman"/>
          <w:szCs w:val="24"/>
          <w:shd w:val="clear" w:color="auto" w:fill="FFFFFF"/>
        </w:rPr>
        <w:t>Baker, H.K. and English, P. eds., 2011. </w:t>
      </w:r>
      <w:bookmarkEnd w:id="9"/>
      <w:r w:rsidRPr="00B358B7">
        <w:rPr>
          <w:rFonts w:cs="Times New Roman"/>
          <w:i/>
          <w:iCs/>
          <w:szCs w:val="24"/>
          <w:shd w:val="clear" w:color="auto" w:fill="FFFFFF"/>
        </w:rPr>
        <w:t>Capital budgeting valuation: financial analysis for today's investment projects</w:t>
      </w:r>
      <w:r w:rsidRPr="00B358B7">
        <w:rPr>
          <w:rFonts w:cs="Times New Roman"/>
          <w:szCs w:val="24"/>
          <w:shd w:val="clear" w:color="auto" w:fill="FFFFFF"/>
        </w:rPr>
        <w:t> (Vol. 13). John Wiley &amp;Sons.</w:t>
      </w:r>
    </w:p>
    <w:p w:rsidR="00E839C2" w:rsidRPr="00B358B7" w:rsidRDefault="00B93C94" w:rsidP="00E839C2">
      <w:pPr>
        <w:rPr>
          <w:rFonts w:cs="Times New Roman"/>
          <w:szCs w:val="24"/>
          <w:shd w:val="clear" w:color="auto" w:fill="FFFFFF"/>
        </w:rPr>
      </w:pPr>
      <w:bookmarkStart w:id="10" w:name="_Hlk117077964"/>
      <w:r w:rsidRPr="00B358B7">
        <w:rPr>
          <w:rFonts w:cs="Times New Roman"/>
          <w:szCs w:val="24"/>
          <w:shd w:val="clear" w:color="auto" w:fill="FFFFFF"/>
        </w:rPr>
        <w:t xml:space="preserve">Baker, H.K., Dutta, S. and Saadi, S., 2010. </w:t>
      </w:r>
      <w:bookmarkEnd w:id="10"/>
      <w:r w:rsidRPr="00B358B7">
        <w:rPr>
          <w:rFonts w:cs="Times New Roman"/>
          <w:szCs w:val="24"/>
          <w:shd w:val="clear" w:color="auto" w:fill="FFFFFF"/>
        </w:rPr>
        <w:t>Management views on real options in capital budgeting. </w:t>
      </w:r>
      <w:r w:rsidRPr="00B358B7">
        <w:rPr>
          <w:rFonts w:cs="Times New Roman"/>
          <w:i/>
          <w:iCs/>
          <w:szCs w:val="24"/>
          <w:shd w:val="clear" w:color="auto" w:fill="FFFFFF"/>
        </w:rPr>
        <w:t>Journal of Applied Finance, Forthcoming</w:t>
      </w:r>
      <w:r w:rsidRPr="00B358B7">
        <w:rPr>
          <w:rFonts w:cs="Times New Roman"/>
          <w:szCs w:val="24"/>
          <w:shd w:val="clear" w:color="auto" w:fill="FFFFFF"/>
        </w:rPr>
        <w:t>.</w:t>
      </w:r>
    </w:p>
    <w:p w:rsidR="00E839C2" w:rsidRPr="00B358B7" w:rsidRDefault="00B93C94" w:rsidP="00E839C2">
      <w:pPr>
        <w:rPr>
          <w:rFonts w:cs="Times New Roman"/>
          <w:szCs w:val="24"/>
          <w:shd w:val="clear" w:color="auto" w:fill="FFFFFF"/>
        </w:rPr>
      </w:pPr>
      <w:bookmarkStart w:id="11" w:name="_Hlk117078401"/>
      <w:r w:rsidRPr="00B358B7">
        <w:rPr>
          <w:rFonts w:cs="Times New Roman"/>
          <w:szCs w:val="24"/>
          <w:shd w:val="clear" w:color="auto" w:fill="FFFFFF"/>
        </w:rPr>
        <w:t xml:space="preserve">Baños‐Caballero, S., García‐Teruel, P.J. and Martínez‐Solano, P., 2010. </w:t>
      </w:r>
      <w:bookmarkEnd w:id="11"/>
      <w:r w:rsidRPr="00B358B7">
        <w:rPr>
          <w:rFonts w:cs="Times New Roman"/>
          <w:szCs w:val="24"/>
          <w:shd w:val="clear" w:color="auto" w:fill="FFFFFF"/>
        </w:rPr>
        <w:t>Working capital management in SMEs. </w:t>
      </w:r>
      <w:r w:rsidRPr="00B358B7">
        <w:rPr>
          <w:rFonts w:cs="Times New Roman"/>
          <w:i/>
          <w:iCs/>
          <w:szCs w:val="24"/>
          <w:shd w:val="clear" w:color="auto" w:fill="FFFFFF"/>
        </w:rPr>
        <w:t>Accounting &amp; Finance</w:t>
      </w:r>
      <w:r w:rsidRPr="00B358B7">
        <w:rPr>
          <w:rFonts w:cs="Times New Roman"/>
          <w:szCs w:val="24"/>
          <w:shd w:val="clear" w:color="auto" w:fill="FFFFFF"/>
        </w:rPr>
        <w:t>, </w:t>
      </w:r>
      <w:r w:rsidRPr="00B358B7">
        <w:rPr>
          <w:rFonts w:cs="Times New Roman"/>
          <w:i/>
          <w:iCs/>
          <w:szCs w:val="24"/>
          <w:shd w:val="clear" w:color="auto" w:fill="FFFFFF"/>
        </w:rPr>
        <w:t>50</w:t>
      </w:r>
      <w:r w:rsidRPr="00B358B7">
        <w:rPr>
          <w:rFonts w:cs="Times New Roman"/>
          <w:szCs w:val="24"/>
          <w:shd w:val="clear" w:color="auto" w:fill="FFFFFF"/>
        </w:rPr>
        <w:t>(3), pp.511-527.</w:t>
      </w:r>
    </w:p>
    <w:p w:rsidR="00E839C2" w:rsidRPr="00B358B7" w:rsidRDefault="00B93C94" w:rsidP="00E839C2">
      <w:pPr>
        <w:rPr>
          <w:rFonts w:cs="Times New Roman"/>
          <w:szCs w:val="24"/>
          <w:shd w:val="clear" w:color="auto" w:fill="FFFFFF"/>
        </w:rPr>
      </w:pPr>
      <w:bookmarkStart w:id="12" w:name="_Hlk117078159"/>
      <w:r w:rsidRPr="00B358B7">
        <w:rPr>
          <w:rFonts w:cs="Times New Roman"/>
          <w:szCs w:val="24"/>
          <w:shd w:val="clear" w:color="auto" w:fill="FFFFFF"/>
        </w:rPr>
        <w:t xml:space="preserve">Bebbington, J. and Larrinaga, C., 2014. </w:t>
      </w:r>
      <w:bookmarkEnd w:id="12"/>
      <w:r w:rsidRPr="00B358B7">
        <w:rPr>
          <w:rFonts w:cs="Times New Roman"/>
          <w:szCs w:val="24"/>
          <w:shd w:val="clear" w:color="auto" w:fill="FFFFFF"/>
        </w:rPr>
        <w:t>Accounting and sustainable development: An exploration. </w:t>
      </w:r>
      <w:r w:rsidRPr="00B358B7">
        <w:rPr>
          <w:rFonts w:cs="Times New Roman"/>
          <w:i/>
          <w:iCs/>
          <w:szCs w:val="24"/>
          <w:shd w:val="clear" w:color="auto" w:fill="FFFFFF"/>
        </w:rPr>
        <w:t>Accounting, organizations and society</w:t>
      </w:r>
      <w:r w:rsidRPr="00B358B7">
        <w:rPr>
          <w:rFonts w:cs="Times New Roman"/>
          <w:szCs w:val="24"/>
          <w:shd w:val="clear" w:color="auto" w:fill="FFFFFF"/>
        </w:rPr>
        <w:t>, </w:t>
      </w:r>
      <w:r w:rsidRPr="00B358B7">
        <w:rPr>
          <w:rFonts w:cs="Times New Roman"/>
          <w:i/>
          <w:iCs/>
          <w:szCs w:val="24"/>
          <w:shd w:val="clear" w:color="auto" w:fill="FFFFFF"/>
        </w:rPr>
        <w:t>39</w:t>
      </w:r>
      <w:r w:rsidRPr="00B358B7">
        <w:rPr>
          <w:rFonts w:cs="Times New Roman"/>
          <w:szCs w:val="24"/>
          <w:shd w:val="clear" w:color="auto" w:fill="FFFFFF"/>
        </w:rPr>
        <w:t>(6), pp.395-413.</w:t>
      </w:r>
    </w:p>
    <w:p w:rsidR="00E839C2" w:rsidRPr="00B358B7" w:rsidRDefault="00B93C94" w:rsidP="00E839C2">
      <w:pPr>
        <w:rPr>
          <w:rFonts w:cs="Times New Roman"/>
          <w:szCs w:val="24"/>
        </w:rPr>
      </w:pPr>
      <w:r w:rsidRPr="00B358B7">
        <w:rPr>
          <w:rFonts w:cs="Times New Roman"/>
          <w:szCs w:val="24"/>
        </w:rPr>
        <w:t>Bhimani, A (Ed) (2006), Contemporary Issues in Management Accounting, Oxford: Oxford Press</w:t>
      </w:r>
    </w:p>
    <w:p w:rsidR="00E839C2" w:rsidRPr="00B358B7" w:rsidRDefault="00B93C94" w:rsidP="00E839C2">
      <w:pPr>
        <w:rPr>
          <w:rFonts w:cs="Times New Roman"/>
          <w:szCs w:val="24"/>
          <w:shd w:val="clear" w:color="auto" w:fill="FFFFFF"/>
        </w:rPr>
      </w:pPr>
      <w:bookmarkStart w:id="13" w:name="_Hlk117078281"/>
      <w:r w:rsidRPr="00B358B7">
        <w:rPr>
          <w:rFonts w:cs="Times New Roman"/>
          <w:szCs w:val="24"/>
          <w:shd w:val="clear" w:color="auto" w:fill="FFFFFF"/>
        </w:rPr>
        <w:t xml:space="preserve">Burns, R. and Walker, J., 2014. </w:t>
      </w:r>
      <w:bookmarkEnd w:id="13"/>
      <w:r w:rsidRPr="00B358B7">
        <w:rPr>
          <w:rFonts w:cs="Times New Roman"/>
          <w:szCs w:val="24"/>
          <w:shd w:val="clear" w:color="auto" w:fill="FFFFFF"/>
        </w:rPr>
        <w:t>Capital budgeting surveys: the future is now. </w:t>
      </w:r>
      <w:r w:rsidRPr="00B358B7">
        <w:rPr>
          <w:rFonts w:cs="Times New Roman"/>
          <w:i/>
          <w:iCs/>
          <w:szCs w:val="24"/>
          <w:shd w:val="clear" w:color="auto" w:fill="FFFFFF"/>
        </w:rPr>
        <w:t>Journal of Applied Finance (Formerly Financial Practice and Education)</w:t>
      </w:r>
      <w:r w:rsidRPr="00B358B7">
        <w:rPr>
          <w:rFonts w:cs="Times New Roman"/>
          <w:szCs w:val="24"/>
          <w:shd w:val="clear" w:color="auto" w:fill="FFFFFF"/>
        </w:rPr>
        <w:t>, </w:t>
      </w:r>
      <w:r w:rsidRPr="00B358B7">
        <w:rPr>
          <w:rFonts w:cs="Times New Roman"/>
          <w:i/>
          <w:iCs/>
          <w:szCs w:val="24"/>
          <w:shd w:val="clear" w:color="auto" w:fill="FFFFFF"/>
        </w:rPr>
        <w:t>19</w:t>
      </w:r>
      <w:r w:rsidRPr="00B358B7">
        <w:rPr>
          <w:rFonts w:cs="Times New Roman"/>
          <w:szCs w:val="24"/>
          <w:shd w:val="clear" w:color="auto" w:fill="FFFFFF"/>
        </w:rPr>
        <w:t>(1&amp;2).</w:t>
      </w:r>
    </w:p>
    <w:p w:rsidR="00E839C2" w:rsidRPr="00B358B7" w:rsidRDefault="00B93C94" w:rsidP="00E839C2">
      <w:pPr>
        <w:rPr>
          <w:rFonts w:cs="Times New Roman"/>
          <w:szCs w:val="24"/>
          <w:shd w:val="clear" w:color="auto" w:fill="FFFFFF"/>
        </w:rPr>
      </w:pPr>
      <w:bookmarkStart w:id="14" w:name="_Hlk117077869"/>
      <w:r w:rsidRPr="00B358B7">
        <w:rPr>
          <w:rFonts w:cs="Times New Roman"/>
          <w:szCs w:val="24"/>
          <w:shd w:val="clear" w:color="auto" w:fill="FFFFFF"/>
        </w:rPr>
        <w:t xml:space="preserve">Cardoș, I.R., 2014. </w:t>
      </w:r>
      <w:bookmarkEnd w:id="14"/>
      <w:r w:rsidRPr="00B358B7">
        <w:rPr>
          <w:rFonts w:cs="Times New Roman"/>
          <w:szCs w:val="24"/>
          <w:shd w:val="clear" w:color="auto" w:fill="FFFFFF"/>
        </w:rPr>
        <w:t>NEW TRENDS IN BUDGETING-A LITERATURE REVIEW. </w:t>
      </w:r>
      <w:r w:rsidRPr="00B358B7">
        <w:rPr>
          <w:rFonts w:cs="Times New Roman"/>
          <w:i/>
          <w:iCs/>
          <w:szCs w:val="24"/>
          <w:shd w:val="clear" w:color="auto" w:fill="FFFFFF"/>
        </w:rPr>
        <w:t>SEA: Practical Application of Science</w:t>
      </w:r>
      <w:r w:rsidRPr="00B358B7">
        <w:rPr>
          <w:rFonts w:cs="Times New Roman"/>
          <w:szCs w:val="24"/>
          <w:shd w:val="clear" w:color="auto" w:fill="FFFFFF"/>
        </w:rPr>
        <w:t>, </w:t>
      </w:r>
      <w:r w:rsidRPr="00B358B7">
        <w:rPr>
          <w:rFonts w:cs="Times New Roman"/>
          <w:i/>
          <w:iCs/>
          <w:szCs w:val="24"/>
          <w:shd w:val="clear" w:color="auto" w:fill="FFFFFF"/>
        </w:rPr>
        <w:t>2</w:t>
      </w:r>
      <w:r w:rsidRPr="00B358B7">
        <w:rPr>
          <w:rFonts w:cs="Times New Roman"/>
          <w:szCs w:val="24"/>
          <w:shd w:val="clear" w:color="auto" w:fill="FFFFFF"/>
        </w:rPr>
        <w:t>(2).</w:t>
      </w:r>
    </w:p>
    <w:p w:rsidR="00E839C2" w:rsidRPr="00B358B7" w:rsidRDefault="00B93C94" w:rsidP="00E839C2">
      <w:pPr>
        <w:rPr>
          <w:rFonts w:cs="Times New Roman"/>
          <w:szCs w:val="24"/>
        </w:rPr>
      </w:pPr>
      <w:r w:rsidRPr="00B358B7">
        <w:rPr>
          <w:rFonts w:cs="Times New Roman"/>
          <w:szCs w:val="24"/>
        </w:rPr>
        <w:t>Drury, C. (2008). Management and Cost Accounting, (7th Ed), London: Prentice Hall</w:t>
      </w:r>
    </w:p>
    <w:p w:rsidR="00E839C2" w:rsidRDefault="00B93C94" w:rsidP="00E839C2">
      <w:pPr>
        <w:pStyle w:val="NormalWeb"/>
        <w:spacing w:before="0" w:beforeAutospacing="0" w:after="240" w:afterAutospacing="0" w:line="360" w:lineRule="auto"/>
      </w:pPr>
      <w:r>
        <w:t xml:space="preserve">Drury, C. (2015). </w:t>
      </w:r>
      <w:r>
        <w:rPr>
          <w:i/>
          <w:iCs/>
        </w:rPr>
        <w:t>Management and cost accounting, eighth edition, Student’s manual</w:t>
      </w:r>
      <w:r>
        <w:t>. Andover: Cengage Learning.</w:t>
      </w:r>
    </w:p>
    <w:p w:rsidR="00E839C2" w:rsidRDefault="00B93C94" w:rsidP="00E839C2">
      <w:pPr>
        <w:pStyle w:val="NormalWeb"/>
        <w:spacing w:before="0" w:beforeAutospacing="0" w:after="240" w:afterAutospacing="0" w:line="360" w:lineRule="auto"/>
      </w:pPr>
      <w:r>
        <w:t xml:space="preserve">Dugdale, D. and Lyne, S. (2017). </w:t>
      </w:r>
      <w:r>
        <w:rPr>
          <w:i/>
          <w:iCs/>
        </w:rPr>
        <w:t>Budgeting Practice and Organisational Structure</w:t>
      </w:r>
      <w:r>
        <w:t>. Elsevier.</w:t>
      </w:r>
    </w:p>
    <w:p w:rsidR="00E839C2" w:rsidRDefault="00B93C94" w:rsidP="00E839C2">
      <w:pPr>
        <w:pStyle w:val="NormalWeb"/>
        <w:spacing w:before="0" w:beforeAutospacing="0" w:after="240" w:afterAutospacing="0" w:line="360" w:lineRule="auto"/>
      </w:pPr>
      <w:r>
        <w:t xml:space="preserve">Horngren, C.T., Datar, S.M. and Rajan, M.V. (2016). </w:t>
      </w:r>
      <w:r>
        <w:rPr>
          <w:i/>
          <w:iCs/>
        </w:rPr>
        <w:t>Cost accounting: a managerial emphasis</w:t>
      </w:r>
      <w:r>
        <w:t>. Boston; Amsterdam: Pearson.</w:t>
      </w:r>
    </w:p>
    <w:p w:rsidR="00E839C2" w:rsidRPr="00B358B7" w:rsidRDefault="00B93C94" w:rsidP="00E839C2">
      <w:pPr>
        <w:rPr>
          <w:rFonts w:cs="Times New Roman"/>
          <w:szCs w:val="24"/>
          <w:shd w:val="clear" w:color="auto" w:fill="FFFFFF"/>
        </w:rPr>
      </w:pPr>
      <w:bookmarkStart w:id="15" w:name="_Hlk117077558"/>
      <w:r w:rsidRPr="00B358B7">
        <w:rPr>
          <w:rFonts w:cs="Times New Roman"/>
          <w:szCs w:val="24"/>
          <w:shd w:val="clear" w:color="auto" w:fill="FFFFFF"/>
        </w:rPr>
        <w:lastRenderedPageBreak/>
        <w:t xml:space="preserve">Ibrahim, M.M., 2019. </w:t>
      </w:r>
      <w:bookmarkEnd w:id="15"/>
      <w:r w:rsidRPr="00B358B7">
        <w:rPr>
          <w:rFonts w:cs="Times New Roman"/>
          <w:szCs w:val="24"/>
          <w:shd w:val="clear" w:color="auto" w:fill="FFFFFF"/>
        </w:rPr>
        <w:t>Designing zero-based budgeting for public organizations. </w:t>
      </w:r>
      <w:r w:rsidRPr="00B358B7">
        <w:rPr>
          <w:rFonts w:cs="Times New Roman"/>
          <w:i/>
          <w:iCs/>
          <w:szCs w:val="24"/>
          <w:shd w:val="clear" w:color="auto" w:fill="FFFFFF"/>
        </w:rPr>
        <w:t>Problems and Perspectives in Management</w:t>
      </w:r>
      <w:r w:rsidRPr="00B358B7">
        <w:rPr>
          <w:rFonts w:cs="Times New Roman"/>
          <w:szCs w:val="24"/>
          <w:shd w:val="clear" w:color="auto" w:fill="FFFFFF"/>
        </w:rPr>
        <w:t>, </w:t>
      </w:r>
      <w:r w:rsidRPr="00B358B7">
        <w:rPr>
          <w:rFonts w:cs="Times New Roman"/>
          <w:i/>
          <w:iCs/>
          <w:szCs w:val="24"/>
          <w:shd w:val="clear" w:color="auto" w:fill="FFFFFF"/>
        </w:rPr>
        <w:t>17</w:t>
      </w:r>
      <w:r w:rsidRPr="00B358B7">
        <w:rPr>
          <w:rFonts w:cs="Times New Roman"/>
          <w:szCs w:val="24"/>
          <w:shd w:val="clear" w:color="auto" w:fill="FFFFFF"/>
        </w:rPr>
        <w:t>(2).</w:t>
      </w:r>
    </w:p>
    <w:p w:rsidR="00E839C2" w:rsidRPr="00B358B7" w:rsidRDefault="00B93C94" w:rsidP="00E839C2">
      <w:pPr>
        <w:rPr>
          <w:rFonts w:cs="Times New Roman"/>
          <w:szCs w:val="24"/>
        </w:rPr>
      </w:pPr>
      <w:bookmarkStart w:id="16" w:name="_Hlk117078059"/>
      <w:r w:rsidRPr="00B358B7">
        <w:rPr>
          <w:rFonts w:cs="Times New Roman"/>
          <w:szCs w:val="24"/>
        </w:rPr>
        <w:t xml:space="preserve">Jagels, M. (2007), </w:t>
      </w:r>
      <w:bookmarkEnd w:id="16"/>
      <w:r w:rsidRPr="00B358B7">
        <w:rPr>
          <w:rFonts w:cs="Times New Roman"/>
          <w:szCs w:val="24"/>
        </w:rPr>
        <w:t>Hospitality Management Accounting, London: Wiley.</w:t>
      </w:r>
    </w:p>
    <w:p w:rsidR="00E839C2" w:rsidRPr="00B358B7" w:rsidRDefault="00B93C94" w:rsidP="00E839C2">
      <w:pPr>
        <w:rPr>
          <w:rFonts w:cs="Times New Roman"/>
          <w:szCs w:val="24"/>
          <w:shd w:val="clear" w:color="auto" w:fill="FFFFFF"/>
        </w:rPr>
      </w:pPr>
      <w:bookmarkStart w:id="17" w:name="_Hlk117077436"/>
      <w:r w:rsidRPr="00B358B7">
        <w:rPr>
          <w:rFonts w:cs="Times New Roman"/>
          <w:szCs w:val="24"/>
          <w:shd w:val="clear" w:color="auto" w:fill="FFFFFF"/>
        </w:rPr>
        <w:t xml:space="preserve">Kazar, G., Mutlu, U. and Tokdemir, O.B., 2022. </w:t>
      </w:r>
      <w:bookmarkEnd w:id="17"/>
      <w:r w:rsidRPr="00B358B7">
        <w:rPr>
          <w:rFonts w:cs="Times New Roman"/>
          <w:szCs w:val="24"/>
          <w:shd w:val="clear" w:color="auto" w:fill="FFFFFF"/>
        </w:rPr>
        <w:t xml:space="preserve">Development of a zero-based budgeting approach for multinational construction contractors. </w:t>
      </w:r>
      <w:r w:rsidRPr="00B358B7">
        <w:rPr>
          <w:rFonts w:cs="Times New Roman"/>
          <w:i/>
          <w:iCs/>
          <w:szCs w:val="24"/>
          <w:shd w:val="clear" w:color="auto" w:fill="FFFFFF"/>
        </w:rPr>
        <w:t>Engineering, Construction and Architectural Management</w:t>
      </w:r>
      <w:r w:rsidRPr="00B358B7">
        <w:rPr>
          <w:rFonts w:cs="Times New Roman"/>
          <w:szCs w:val="24"/>
          <w:shd w:val="clear" w:color="auto" w:fill="FFFFFF"/>
        </w:rPr>
        <w:t>, (ahead-of-print).</w:t>
      </w:r>
    </w:p>
    <w:p w:rsidR="00E839C2" w:rsidRDefault="00B93C94" w:rsidP="00E839C2">
      <w:pPr>
        <w:pStyle w:val="NormalWeb"/>
        <w:spacing w:before="0" w:beforeAutospacing="0" w:after="240" w:afterAutospacing="0" w:line="360" w:lineRule="auto"/>
      </w:pPr>
      <w:r>
        <w:t xml:space="preserve">Lanen, W.N., Anderson, S.W. and Maher, M.W. (2020). </w:t>
      </w:r>
      <w:r>
        <w:rPr>
          <w:i/>
          <w:iCs/>
        </w:rPr>
        <w:t>Fundamentals of cost accounting</w:t>
      </w:r>
      <w:r>
        <w:t>. New York, NY: Mcgraw-Hill.</w:t>
      </w:r>
    </w:p>
    <w:p w:rsidR="00E839C2" w:rsidRPr="00B358B7" w:rsidRDefault="00B93C94" w:rsidP="00E839C2">
      <w:pPr>
        <w:rPr>
          <w:rFonts w:cs="Times New Roman"/>
          <w:szCs w:val="24"/>
        </w:rPr>
      </w:pPr>
      <w:bookmarkStart w:id="18" w:name="_Hlk117078112"/>
      <w:r w:rsidRPr="00B358B7">
        <w:rPr>
          <w:rFonts w:cs="Times New Roman"/>
          <w:szCs w:val="24"/>
          <w:shd w:val="clear" w:color="auto" w:fill="FFFFFF"/>
        </w:rPr>
        <w:t xml:space="preserve">Makarenko, I. and Plastun, A., 2017. </w:t>
      </w:r>
      <w:bookmarkEnd w:id="18"/>
      <w:r w:rsidRPr="00B358B7">
        <w:rPr>
          <w:rFonts w:cs="Times New Roman"/>
          <w:szCs w:val="24"/>
          <w:shd w:val="clear" w:color="auto" w:fill="FFFFFF"/>
        </w:rPr>
        <w:t>The role of accounting in sustainable development. </w:t>
      </w:r>
      <w:r w:rsidRPr="00B358B7">
        <w:rPr>
          <w:rFonts w:cs="Times New Roman"/>
          <w:i/>
          <w:iCs/>
          <w:szCs w:val="24"/>
          <w:shd w:val="clear" w:color="auto" w:fill="FFFFFF"/>
        </w:rPr>
        <w:t>Accounting and Financial Control</w:t>
      </w:r>
      <w:r w:rsidRPr="00B358B7">
        <w:rPr>
          <w:rFonts w:cs="Times New Roman"/>
          <w:szCs w:val="24"/>
          <w:shd w:val="clear" w:color="auto" w:fill="FFFFFF"/>
        </w:rPr>
        <w:t>, </w:t>
      </w:r>
      <w:r w:rsidRPr="00B358B7">
        <w:rPr>
          <w:rFonts w:cs="Times New Roman"/>
          <w:i/>
          <w:iCs/>
          <w:szCs w:val="24"/>
          <w:shd w:val="clear" w:color="auto" w:fill="FFFFFF"/>
        </w:rPr>
        <w:t>1</w:t>
      </w:r>
      <w:r w:rsidRPr="00B358B7">
        <w:rPr>
          <w:rFonts w:cs="Times New Roman"/>
          <w:szCs w:val="24"/>
          <w:shd w:val="clear" w:color="auto" w:fill="FFFFFF"/>
        </w:rPr>
        <w:t>(2), pp.4-12.</w:t>
      </w:r>
    </w:p>
    <w:p w:rsidR="00E839C2" w:rsidRPr="00B358B7" w:rsidRDefault="00B93C94" w:rsidP="00E839C2">
      <w:pPr>
        <w:rPr>
          <w:rFonts w:cs="Times New Roman"/>
          <w:szCs w:val="24"/>
        </w:rPr>
      </w:pPr>
      <w:r w:rsidRPr="00B358B7">
        <w:rPr>
          <w:rFonts w:cs="Times New Roman"/>
          <w:szCs w:val="24"/>
        </w:rPr>
        <w:t>Marr, B. (2012), Key Performance Indicators – The 75 Measures Every Manager Needs to Know, Harlow: Pearson</w:t>
      </w:r>
    </w:p>
    <w:p w:rsidR="00E839C2" w:rsidRDefault="00B93C94" w:rsidP="00E839C2">
      <w:pPr>
        <w:pStyle w:val="NormalWeb"/>
        <w:spacing w:before="0" w:beforeAutospacing="0" w:after="240" w:afterAutospacing="0" w:line="360" w:lineRule="auto"/>
      </w:pPr>
      <w:r>
        <w:t xml:space="preserve">Penning, A. (2012). </w:t>
      </w:r>
      <w:r>
        <w:rPr>
          <w:i/>
          <w:iCs/>
        </w:rPr>
        <w:t>Budgeting. Workbook.</w:t>
      </w:r>
      <w:r>
        <w:t xml:space="preserve"> Osborne.</w:t>
      </w:r>
    </w:p>
    <w:p w:rsidR="00E839C2" w:rsidRPr="00B358B7" w:rsidRDefault="00B93C94" w:rsidP="00E839C2">
      <w:pPr>
        <w:rPr>
          <w:rFonts w:cs="Times New Roman"/>
          <w:szCs w:val="24"/>
        </w:rPr>
      </w:pPr>
      <w:bookmarkStart w:id="19" w:name="_Hlk117077494"/>
      <w:r w:rsidRPr="00B358B7">
        <w:rPr>
          <w:rFonts w:cs="Times New Roman"/>
          <w:szCs w:val="24"/>
          <w:shd w:val="clear" w:color="auto" w:fill="FFFFFF"/>
        </w:rPr>
        <w:t xml:space="preserve">Pyhrr, P.A., 2012. </w:t>
      </w:r>
      <w:bookmarkEnd w:id="19"/>
      <w:r w:rsidRPr="00B358B7">
        <w:rPr>
          <w:rFonts w:cs="Times New Roman"/>
          <w:szCs w:val="24"/>
          <w:shd w:val="clear" w:color="auto" w:fill="FFFFFF"/>
        </w:rPr>
        <w:t>Zero‐Based Budgeting. </w:t>
      </w:r>
      <w:r w:rsidRPr="00B358B7">
        <w:rPr>
          <w:rFonts w:cs="Times New Roman"/>
          <w:i/>
          <w:iCs/>
          <w:szCs w:val="24"/>
          <w:shd w:val="clear" w:color="auto" w:fill="FFFFFF"/>
        </w:rPr>
        <w:t>Handbook of budgeting</w:t>
      </w:r>
      <w:r w:rsidRPr="00B358B7">
        <w:rPr>
          <w:rFonts w:cs="Times New Roman"/>
          <w:szCs w:val="24"/>
          <w:shd w:val="clear" w:color="auto" w:fill="FFFFFF"/>
        </w:rPr>
        <w:t>, pp.677-696.</w:t>
      </w:r>
    </w:p>
    <w:p w:rsidR="00E839C2" w:rsidRPr="00B358B7" w:rsidRDefault="00B93C94" w:rsidP="00E839C2">
      <w:pPr>
        <w:rPr>
          <w:rFonts w:cs="Times New Roman"/>
          <w:szCs w:val="24"/>
        </w:rPr>
      </w:pPr>
      <w:r w:rsidRPr="00B358B7">
        <w:rPr>
          <w:rFonts w:cs="Times New Roman"/>
          <w:szCs w:val="24"/>
        </w:rPr>
        <w:t>Walsh, C. (2008), Key Management Ratios – The 100+ Ratios Every Manager Needs to Know, (4th Edition), Harlow: Prentice Hall</w:t>
      </w:r>
    </w:p>
    <w:p w:rsidR="00E839C2" w:rsidRPr="00E839C2" w:rsidRDefault="00E839C2" w:rsidP="00E839C2">
      <w:pPr>
        <w:rPr>
          <w:lang w:val="en-US"/>
        </w:rPr>
      </w:pPr>
    </w:p>
    <w:p w:rsidR="002B0D65" w:rsidRPr="002B0D65" w:rsidRDefault="002B0D65" w:rsidP="006F0DC5"/>
    <w:sectPr w:rsidR="002B0D65" w:rsidRPr="002B0D65" w:rsidSect="006475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CD1" w:rsidRDefault="007B0CD1" w:rsidP="000807DB">
      <w:pPr>
        <w:spacing w:after="0" w:line="240" w:lineRule="auto"/>
      </w:pPr>
      <w:r>
        <w:separator/>
      </w:r>
    </w:p>
  </w:endnote>
  <w:endnote w:type="continuationSeparator" w:id="0">
    <w:p w:rsidR="007B0CD1" w:rsidRDefault="007B0CD1" w:rsidP="00080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CD1" w:rsidRDefault="007B0CD1" w:rsidP="000807DB">
      <w:pPr>
        <w:spacing w:after="0" w:line="240" w:lineRule="auto"/>
      </w:pPr>
      <w:r>
        <w:separator/>
      </w:r>
    </w:p>
  </w:footnote>
  <w:footnote w:type="continuationSeparator" w:id="0">
    <w:p w:rsidR="007B0CD1" w:rsidRDefault="007B0CD1" w:rsidP="000807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EF7"/>
    <w:rsid w:val="000415B3"/>
    <w:rsid w:val="000807DB"/>
    <w:rsid w:val="000F6909"/>
    <w:rsid w:val="00116DE8"/>
    <w:rsid w:val="00194CE6"/>
    <w:rsid w:val="001A7DAB"/>
    <w:rsid w:val="001E0EF7"/>
    <w:rsid w:val="002857A6"/>
    <w:rsid w:val="002B0D65"/>
    <w:rsid w:val="002E11E7"/>
    <w:rsid w:val="00390B8E"/>
    <w:rsid w:val="00407D5C"/>
    <w:rsid w:val="0042044B"/>
    <w:rsid w:val="004A647E"/>
    <w:rsid w:val="00530826"/>
    <w:rsid w:val="00535FC0"/>
    <w:rsid w:val="00542489"/>
    <w:rsid w:val="0054658F"/>
    <w:rsid w:val="005525DA"/>
    <w:rsid w:val="00620535"/>
    <w:rsid w:val="006424EB"/>
    <w:rsid w:val="00647563"/>
    <w:rsid w:val="00662957"/>
    <w:rsid w:val="00665C36"/>
    <w:rsid w:val="006A1850"/>
    <w:rsid w:val="006F0DC5"/>
    <w:rsid w:val="006F3B46"/>
    <w:rsid w:val="00712BC2"/>
    <w:rsid w:val="00733C92"/>
    <w:rsid w:val="00797299"/>
    <w:rsid w:val="007B0CD1"/>
    <w:rsid w:val="007B5874"/>
    <w:rsid w:val="008071A9"/>
    <w:rsid w:val="00816D2C"/>
    <w:rsid w:val="00875E65"/>
    <w:rsid w:val="0088203F"/>
    <w:rsid w:val="008F1E67"/>
    <w:rsid w:val="009253C5"/>
    <w:rsid w:val="00972C71"/>
    <w:rsid w:val="00A01048"/>
    <w:rsid w:val="00A07D58"/>
    <w:rsid w:val="00A950F6"/>
    <w:rsid w:val="00B358B7"/>
    <w:rsid w:val="00B91FE9"/>
    <w:rsid w:val="00B93C94"/>
    <w:rsid w:val="00BA0C24"/>
    <w:rsid w:val="00BD5D58"/>
    <w:rsid w:val="00BE71DC"/>
    <w:rsid w:val="00C6673B"/>
    <w:rsid w:val="00D27BEF"/>
    <w:rsid w:val="00D70E4A"/>
    <w:rsid w:val="00D902F5"/>
    <w:rsid w:val="00E00C84"/>
    <w:rsid w:val="00E556E6"/>
    <w:rsid w:val="00E839C2"/>
    <w:rsid w:val="00E93825"/>
    <w:rsid w:val="00F01B04"/>
    <w:rsid w:val="00F02DED"/>
    <w:rsid w:val="00F47F5D"/>
    <w:rsid w:val="00FA73FF"/>
    <w:rsid w:val="00FB4D7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DD5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E6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01048"/>
    <w:pPr>
      <w:keepNext/>
      <w:keepLines/>
      <w:spacing w:before="240" w:after="0"/>
      <w:outlineLvl w:val="0"/>
    </w:pPr>
    <w:rPr>
      <w:rFonts w:eastAsiaTheme="majorEastAsia" w:cstheme="majorBidi"/>
      <w:b/>
      <w:color w:val="2F5496" w:themeColor="accent1" w:themeShade="BF"/>
      <w:sz w:val="32"/>
      <w:szCs w:val="32"/>
      <w:lang w:val="en-US"/>
    </w:rPr>
  </w:style>
  <w:style w:type="paragraph" w:styleId="Heading2">
    <w:name w:val="heading 2"/>
    <w:basedOn w:val="Normal"/>
    <w:next w:val="Normal"/>
    <w:link w:val="Heading2Char"/>
    <w:uiPriority w:val="9"/>
    <w:unhideWhenUsed/>
    <w:qFormat/>
    <w:rsid w:val="009253C5"/>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04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9253C5"/>
    <w:rPr>
      <w:rFonts w:ascii="Times New Roman" w:eastAsiaTheme="majorEastAsia" w:hAnsi="Times New Roman" w:cstheme="majorBidi"/>
      <w:b/>
      <w:color w:val="2F5496" w:themeColor="accent1" w:themeShade="BF"/>
      <w:sz w:val="28"/>
      <w:szCs w:val="26"/>
    </w:rPr>
  </w:style>
  <w:style w:type="table" w:styleId="TableGrid">
    <w:name w:val="Table Grid"/>
    <w:basedOn w:val="TableNormal"/>
    <w:uiPriority w:val="39"/>
    <w:rsid w:val="00620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839C2"/>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E839C2"/>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E839C2"/>
    <w:pPr>
      <w:spacing w:after="100"/>
    </w:pPr>
  </w:style>
  <w:style w:type="paragraph" w:styleId="TOC2">
    <w:name w:val="toc 2"/>
    <w:basedOn w:val="Normal"/>
    <w:next w:val="Normal"/>
    <w:autoRedefine/>
    <w:uiPriority w:val="39"/>
    <w:unhideWhenUsed/>
    <w:rsid w:val="00E839C2"/>
    <w:pPr>
      <w:spacing w:after="100"/>
      <w:ind w:left="240"/>
    </w:pPr>
  </w:style>
  <w:style w:type="character" w:styleId="Hyperlink">
    <w:name w:val="Hyperlink"/>
    <w:basedOn w:val="DefaultParagraphFont"/>
    <w:uiPriority w:val="99"/>
    <w:unhideWhenUsed/>
    <w:rsid w:val="00E839C2"/>
    <w:rPr>
      <w:color w:val="0563C1" w:themeColor="hyperlink"/>
      <w:u w:val="single"/>
    </w:rPr>
  </w:style>
  <w:style w:type="paragraph" w:styleId="Header">
    <w:name w:val="header"/>
    <w:basedOn w:val="Normal"/>
    <w:link w:val="HeaderChar"/>
    <w:uiPriority w:val="99"/>
    <w:unhideWhenUsed/>
    <w:rsid w:val="000807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07DB"/>
    <w:rPr>
      <w:rFonts w:ascii="Times New Roman" w:hAnsi="Times New Roman"/>
      <w:sz w:val="24"/>
      <w:lang w:val="en-GB"/>
    </w:rPr>
  </w:style>
  <w:style w:type="paragraph" w:styleId="Footer">
    <w:name w:val="footer"/>
    <w:basedOn w:val="Normal"/>
    <w:link w:val="FooterChar"/>
    <w:uiPriority w:val="99"/>
    <w:unhideWhenUsed/>
    <w:rsid w:val="000807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07D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98ABA-2B69-44EC-B592-FF08D6C74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4011</Words>
  <Characters>22869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2022-10-25T19:11:00Z</dcterms:created>
  <dcterms:modified xsi:type="dcterms:W3CDTF">2022-10-25T19:11:00Z</dcterms:modified>
</cp:coreProperties>
</file>