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C001B" w14:textId="77777777" w:rsidR="00780BD3" w:rsidRDefault="00780BD3" w:rsidP="00B3415B">
      <w:pPr>
        <w:spacing w:line="600" w:lineRule="auto"/>
        <w:rPr>
          <w:rFonts w:ascii="Arial" w:hAnsi="Arial"/>
          <w:b/>
          <w:bCs/>
        </w:rPr>
      </w:pPr>
    </w:p>
    <w:p w14:paraId="77ECA459" w14:textId="19B2B8E6" w:rsidR="005D2B11" w:rsidRPr="00780BD3" w:rsidRDefault="005D2B11" w:rsidP="00D81A56">
      <w:pPr>
        <w:spacing w:line="600" w:lineRule="auto"/>
        <w:jc w:val="center"/>
        <w:rPr>
          <w:rFonts w:asciiTheme="majorHAnsi" w:hAnsiTheme="majorHAnsi" w:cstheme="majorHAnsi"/>
          <w:b/>
          <w:bCs/>
          <w:sz w:val="28"/>
          <w:szCs w:val="28"/>
        </w:rPr>
      </w:pPr>
      <w:r w:rsidRPr="00780BD3">
        <w:rPr>
          <w:rFonts w:ascii="Arial" w:hAnsi="Arial"/>
          <w:b/>
          <w:bCs/>
          <w:sz w:val="28"/>
          <w:szCs w:val="28"/>
        </w:rPr>
        <w:t>University of Wales Trinity Saint David (UWTSD)</w:t>
      </w:r>
    </w:p>
    <w:p w14:paraId="4C69ED28" w14:textId="77777777" w:rsidR="005D2B11" w:rsidRPr="00780BD3" w:rsidRDefault="005D2B11" w:rsidP="00D81A56">
      <w:pPr>
        <w:spacing w:line="600" w:lineRule="auto"/>
        <w:jc w:val="center"/>
        <w:rPr>
          <w:rFonts w:asciiTheme="majorHAnsi" w:hAnsiTheme="majorHAnsi" w:cstheme="majorHAnsi"/>
          <w:b/>
          <w:bCs/>
          <w:sz w:val="28"/>
          <w:szCs w:val="28"/>
        </w:rPr>
      </w:pPr>
      <w:r w:rsidRPr="00780BD3">
        <w:rPr>
          <w:rFonts w:ascii="Arial" w:hAnsi="Arial"/>
          <w:b/>
          <w:bCs/>
          <w:sz w:val="28"/>
          <w:szCs w:val="28"/>
        </w:rPr>
        <w:t>BA (Hons) Leadership and Management Skills for the Workplace — Level 5</w:t>
      </w:r>
    </w:p>
    <w:p w14:paraId="4402115B" w14:textId="430D38F2" w:rsidR="004424B8" w:rsidRPr="00780BD3" w:rsidRDefault="00AB345F" w:rsidP="00D81A56">
      <w:pPr>
        <w:spacing w:line="600" w:lineRule="auto"/>
        <w:jc w:val="center"/>
        <w:rPr>
          <w:rFonts w:asciiTheme="majorHAnsi" w:hAnsiTheme="majorHAnsi" w:cstheme="majorHAnsi"/>
          <w:b/>
          <w:bCs/>
          <w:sz w:val="28"/>
          <w:szCs w:val="28"/>
        </w:rPr>
      </w:pPr>
      <w:proofErr w:type="spellStart"/>
      <w:r w:rsidRPr="00780BD3">
        <w:rPr>
          <w:rFonts w:ascii="Arial" w:hAnsi="Arial"/>
          <w:b/>
          <w:bCs/>
          <w:sz w:val="28"/>
          <w:szCs w:val="28"/>
        </w:rPr>
        <w:t>Organisational</w:t>
      </w:r>
      <w:proofErr w:type="spellEnd"/>
      <w:r w:rsidRPr="00780BD3">
        <w:rPr>
          <w:rFonts w:ascii="Arial" w:hAnsi="Arial"/>
          <w:b/>
          <w:bCs/>
          <w:sz w:val="28"/>
          <w:szCs w:val="28"/>
        </w:rPr>
        <w:t xml:space="preserve"> Culture: Individual report on Toyota Motor Corporation</w:t>
      </w:r>
    </w:p>
    <w:p w14:paraId="0901864E" w14:textId="77777777" w:rsidR="005D44EA" w:rsidRPr="00780BD3" w:rsidRDefault="00AB345F" w:rsidP="00D81A56">
      <w:pPr>
        <w:spacing w:line="600" w:lineRule="auto"/>
        <w:jc w:val="center"/>
        <w:rPr>
          <w:b/>
          <w:bCs/>
          <w:sz w:val="28"/>
          <w:szCs w:val="28"/>
        </w:rPr>
      </w:pPr>
      <w:r w:rsidRPr="00780BD3">
        <w:rPr>
          <w:rFonts w:ascii="Arial" w:hAnsi="Arial"/>
          <w:b/>
          <w:bCs/>
          <w:sz w:val="28"/>
          <w:szCs w:val="28"/>
        </w:rPr>
        <w:t>Student Name: James Masih</w:t>
      </w:r>
    </w:p>
    <w:p w14:paraId="1A8A0AEC" w14:textId="77777777" w:rsidR="005D44EA" w:rsidRPr="00780BD3" w:rsidRDefault="00AB345F" w:rsidP="00D81A56">
      <w:pPr>
        <w:spacing w:line="600" w:lineRule="auto"/>
        <w:jc w:val="center"/>
        <w:rPr>
          <w:b/>
          <w:bCs/>
          <w:sz w:val="28"/>
          <w:szCs w:val="28"/>
        </w:rPr>
      </w:pPr>
      <w:r w:rsidRPr="00780BD3">
        <w:rPr>
          <w:rFonts w:ascii="Arial" w:hAnsi="Arial"/>
          <w:b/>
          <w:bCs/>
          <w:sz w:val="28"/>
          <w:szCs w:val="28"/>
        </w:rPr>
        <w:t>Student ID: 2420102</w:t>
      </w:r>
    </w:p>
    <w:p w14:paraId="3CD1B622" w14:textId="77777777" w:rsidR="005D44EA" w:rsidRPr="00780BD3" w:rsidRDefault="00AB345F" w:rsidP="00D81A56">
      <w:pPr>
        <w:spacing w:line="600" w:lineRule="auto"/>
        <w:jc w:val="center"/>
        <w:rPr>
          <w:b/>
          <w:bCs/>
          <w:sz w:val="28"/>
          <w:szCs w:val="28"/>
        </w:rPr>
      </w:pPr>
      <w:r w:rsidRPr="00780BD3">
        <w:rPr>
          <w:rFonts w:ascii="Arial" w:hAnsi="Arial"/>
          <w:b/>
          <w:bCs/>
          <w:sz w:val="28"/>
          <w:szCs w:val="28"/>
        </w:rPr>
        <w:t xml:space="preserve">Module: LCLM 5005 – </w:t>
      </w:r>
      <w:proofErr w:type="spellStart"/>
      <w:r w:rsidRPr="00780BD3">
        <w:rPr>
          <w:rFonts w:ascii="Arial" w:hAnsi="Arial"/>
          <w:b/>
          <w:bCs/>
          <w:sz w:val="28"/>
          <w:szCs w:val="28"/>
        </w:rPr>
        <w:t>Organisational</w:t>
      </w:r>
      <w:proofErr w:type="spellEnd"/>
      <w:r w:rsidRPr="00780BD3">
        <w:rPr>
          <w:rFonts w:ascii="Arial" w:hAnsi="Arial"/>
          <w:b/>
          <w:bCs/>
          <w:sz w:val="28"/>
          <w:szCs w:val="28"/>
        </w:rPr>
        <w:t xml:space="preserve"> Culture</w:t>
      </w:r>
    </w:p>
    <w:p w14:paraId="186A2391" w14:textId="77777777" w:rsidR="00776BDB" w:rsidRPr="00B3415B" w:rsidRDefault="00D208E9" w:rsidP="00B3415B">
      <w:pPr>
        <w:pStyle w:val="Title"/>
        <w:pageBreakBefore/>
        <w:spacing w:after="240" w:line="480" w:lineRule="auto"/>
        <w:jc w:val="center"/>
        <w:rPr>
          <w:rFonts w:ascii="Arial" w:hAnsi="Arial" w:cs="Arial"/>
          <w:b/>
          <w:bCs/>
        </w:rPr>
      </w:pPr>
      <w:r w:rsidRPr="00B3415B">
        <w:rPr>
          <w:rFonts w:ascii="Arial" w:hAnsi="Arial" w:cs="Arial"/>
          <w:b/>
          <w:bCs/>
          <w:sz w:val="22"/>
        </w:rPr>
        <w:lastRenderedPageBreak/>
        <w:t>Table of Contents</w:t>
      </w:r>
    </w:p>
    <w:p w14:paraId="5D86A587" w14:textId="61BBA88C" w:rsidR="00725274" w:rsidRDefault="00D208E9">
      <w:pPr>
        <w:pStyle w:val="TOC1"/>
        <w:tabs>
          <w:tab w:val="right" w:leader="dot" w:pos="8630"/>
        </w:tabs>
        <w:rPr>
          <w:noProof/>
          <w:kern w:val="2"/>
          <w:sz w:val="24"/>
          <w:szCs w:val="24"/>
          <w:lang w:val="en-GB" w:eastAsia="en-GB"/>
          <w14:ligatures w14:val="standardContextual"/>
        </w:rPr>
      </w:pPr>
      <w:r w:rsidRPr="00B3415B">
        <w:rPr>
          <w:rFonts w:ascii="Arial" w:hAnsi="Arial" w:cs="Arial"/>
        </w:rPr>
        <w:fldChar w:fldCharType="begin"/>
      </w:r>
      <w:r w:rsidRPr="00B3415B">
        <w:rPr>
          <w:rFonts w:ascii="Arial" w:hAnsi="Arial" w:cs="Arial"/>
        </w:rPr>
        <w:instrText xml:space="preserve"> TOC \o "1-2" \h \z \u </w:instrText>
      </w:r>
      <w:r w:rsidRPr="00B3415B">
        <w:rPr>
          <w:rFonts w:ascii="Arial" w:hAnsi="Arial" w:cs="Arial"/>
        </w:rPr>
        <w:fldChar w:fldCharType="separate"/>
      </w:r>
      <w:hyperlink w:anchor="_Toc243820023" w:history="1">
        <w:r w:rsidR="00725274" w:rsidRPr="00AA32CB">
          <w:rPr>
            <w:rStyle w:val="Hyperlink"/>
            <w:rFonts w:ascii="Arial" w:hAnsi="Arial" w:cs="Arial"/>
            <w:noProof/>
          </w:rPr>
          <w:t>1. Introduction</w:t>
        </w:r>
        <w:r w:rsidR="00725274">
          <w:rPr>
            <w:noProof/>
            <w:webHidden/>
          </w:rPr>
          <w:tab/>
        </w:r>
        <w:r w:rsidR="00725274">
          <w:rPr>
            <w:noProof/>
            <w:webHidden/>
          </w:rPr>
          <w:fldChar w:fldCharType="begin"/>
        </w:r>
        <w:r w:rsidR="00725274">
          <w:rPr>
            <w:noProof/>
            <w:webHidden/>
          </w:rPr>
          <w:instrText xml:space="preserve"> PAGEREF _Toc243820023 \h </w:instrText>
        </w:r>
        <w:r w:rsidR="00725274">
          <w:rPr>
            <w:noProof/>
            <w:webHidden/>
          </w:rPr>
        </w:r>
        <w:r w:rsidR="00725274">
          <w:rPr>
            <w:noProof/>
            <w:webHidden/>
          </w:rPr>
          <w:fldChar w:fldCharType="separate"/>
        </w:r>
        <w:r w:rsidR="00725274">
          <w:rPr>
            <w:noProof/>
            <w:webHidden/>
          </w:rPr>
          <w:t>3</w:t>
        </w:r>
        <w:r w:rsidR="00725274">
          <w:rPr>
            <w:noProof/>
            <w:webHidden/>
          </w:rPr>
          <w:fldChar w:fldCharType="end"/>
        </w:r>
      </w:hyperlink>
    </w:p>
    <w:p w14:paraId="11891DA3" w14:textId="1FC09D3B" w:rsidR="00725274" w:rsidRDefault="00725274">
      <w:pPr>
        <w:pStyle w:val="TOC1"/>
        <w:tabs>
          <w:tab w:val="right" w:leader="dot" w:pos="8630"/>
        </w:tabs>
        <w:rPr>
          <w:noProof/>
          <w:kern w:val="2"/>
          <w:sz w:val="24"/>
          <w:szCs w:val="24"/>
          <w:lang w:val="en-GB" w:eastAsia="en-GB"/>
          <w14:ligatures w14:val="standardContextual"/>
        </w:rPr>
      </w:pPr>
      <w:hyperlink w:anchor="_Toc243820024" w:history="1">
        <w:r w:rsidRPr="00AA32CB">
          <w:rPr>
            <w:rStyle w:val="Hyperlink"/>
            <w:rFonts w:ascii="Arial" w:hAnsi="Arial" w:cs="Arial"/>
            <w:noProof/>
          </w:rPr>
          <w:t>2. Organisational Culture of Toyota Motor Corporation</w:t>
        </w:r>
        <w:r>
          <w:rPr>
            <w:noProof/>
            <w:webHidden/>
          </w:rPr>
          <w:tab/>
        </w:r>
        <w:r>
          <w:rPr>
            <w:noProof/>
            <w:webHidden/>
          </w:rPr>
          <w:fldChar w:fldCharType="begin"/>
        </w:r>
        <w:r>
          <w:rPr>
            <w:noProof/>
            <w:webHidden/>
          </w:rPr>
          <w:instrText xml:space="preserve"> PAGEREF _Toc243820024 \h </w:instrText>
        </w:r>
        <w:r>
          <w:rPr>
            <w:noProof/>
            <w:webHidden/>
          </w:rPr>
        </w:r>
        <w:r>
          <w:rPr>
            <w:noProof/>
            <w:webHidden/>
          </w:rPr>
          <w:fldChar w:fldCharType="separate"/>
        </w:r>
        <w:r>
          <w:rPr>
            <w:noProof/>
            <w:webHidden/>
          </w:rPr>
          <w:t>3</w:t>
        </w:r>
        <w:r>
          <w:rPr>
            <w:noProof/>
            <w:webHidden/>
          </w:rPr>
          <w:fldChar w:fldCharType="end"/>
        </w:r>
      </w:hyperlink>
    </w:p>
    <w:p w14:paraId="5442B7C7" w14:textId="6AFC13CC" w:rsidR="00725274" w:rsidRDefault="00725274">
      <w:pPr>
        <w:pStyle w:val="TOC2"/>
        <w:tabs>
          <w:tab w:val="right" w:leader="dot" w:pos="8630"/>
        </w:tabs>
        <w:rPr>
          <w:noProof/>
          <w:kern w:val="2"/>
          <w:sz w:val="24"/>
          <w:szCs w:val="24"/>
          <w:lang w:val="en-GB" w:eastAsia="en-GB"/>
          <w14:ligatures w14:val="standardContextual"/>
        </w:rPr>
      </w:pPr>
      <w:hyperlink w:anchor="_Toc243820025" w:history="1">
        <w:r w:rsidRPr="00AA32CB">
          <w:rPr>
            <w:rStyle w:val="Hyperlink"/>
            <w:rFonts w:ascii="Arial" w:hAnsi="Arial" w:cs="Arial"/>
            <w:noProof/>
          </w:rPr>
          <w:t>2.1 Schein’s three levels</w:t>
        </w:r>
        <w:r>
          <w:rPr>
            <w:noProof/>
            <w:webHidden/>
          </w:rPr>
          <w:tab/>
        </w:r>
        <w:r>
          <w:rPr>
            <w:noProof/>
            <w:webHidden/>
          </w:rPr>
          <w:fldChar w:fldCharType="begin"/>
        </w:r>
        <w:r>
          <w:rPr>
            <w:noProof/>
            <w:webHidden/>
          </w:rPr>
          <w:instrText xml:space="preserve"> PAGEREF _Toc243820025 \h </w:instrText>
        </w:r>
        <w:r>
          <w:rPr>
            <w:noProof/>
            <w:webHidden/>
          </w:rPr>
        </w:r>
        <w:r>
          <w:rPr>
            <w:noProof/>
            <w:webHidden/>
          </w:rPr>
          <w:fldChar w:fldCharType="separate"/>
        </w:r>
        <w:r>
          <w:rPr>
            <w:noProof/>
            <w:webHidden/>
          </w:rPr>
          <w:t>4</w:t>
        </w:r>
        <w:r>
          <w:rPr>
            <w:noProof/>
            <w:webHidden/>
          </w:rPr>
          <w:fldChar w:fldCharType="end"/>
        </w:r>
      </w:hyperlink>
    </w:p>
    <w:p w14:paraId="1E9124A9" w14:textId="335ABF8F" w:rsidR="00725274" w:rsidRDefault="00725274">
      <w:pPr>
        <w:pStyle w:val="TOC1"/>
        <w:tabs>
          <w:tab w:val="right" w:leader="dot" w:pos="8630"/>
        </w:tabs>
        <w:rPr>
          <w:noProof/>
          <w:kern w:val="2"/>
          <w:sz w:val="24"/>
          <w:szCs w:val="24"/>
          <w:lang w:val="en-GB" w:eastAsia="en-GB"/>
          <w14:ligatures w14:val="standardContextual"/>
        </w:rPr>
      </w:pPr>
      <w:hyperlink w:anchor="_Toc243820026" w:history="1">
        <w:r w:rsidRPr="00AA32CB">
          <w:rPr>
            <w:rStyle w:val="Hyperlink"/>
            <w:rFonts w:ascii="Arial" w:hAnsi="Arial" w:cs="Arial"/>
            <w:noProof/>
          </w:rPr>
          <w:t>3. Influence of Culture on Structure and Decision-Making</w:t>
        </w:r>
        <w:r>
          <w:rPr>
            <w:noProof/>
            <w:webHidden/>
          </w:rPr>
          <w:tab/>
        </w:r>
        <w:r>
          <w:rPr>
            <w:noProof/>
            <w:webHidden/>
          </w:rPr>
          <w:fldChar w:fldCharType="begin"/>
        </w:r>
        <w:r>
          <w:rPr>
            <w:noProof/>
            <w:webHidden/>
          </w:rPr>
          <w:instrText xml:space="preserve"> PAGEREF _Toc243820026 \h </w:instrText>
        </w:r>
        <w:r>
          <w:rPr>
            <w:noProof/>
            <w:webHidden/>
          </w:rPr>
        </w:r>
        <w:r>
          <w:rPr>
            <w:noProof/>
            <w:webHidden/>
          </w:rPr>
          <w:fldChar w:fldCharType="separate"/>
        </w:r>
        <w:r>
          <w:rPr>
            <w:noProof/>
            <w:webHidden/>
          </w:rPr>
          <w:t>5</w:t>
        </w:r>
        <w:r>
          <w:rPr>
            <w:noProof/>
            <w:webHidden/>
          </w:rPr>
          <w:fldChar w:fldCharType="end"/>
        </w:r>
      </w:hyperlink>
    </w:p>
    <w:p w14:paraId="4138394B" w14:textId="5E43C660" w:rsidR="00725274" w:rsidRDefault="00725274">
      <w:pPr>
        <w:pStyle w:val="TOC1"/>
        <w:tabs>
          <w:tab w:val="right" w:leader="dot" w:pos="8630"/>
        </w:tabs>
        <w:rPr>
          <w:noProof/>
          <w:kern w:val="2"/>
          <w:sz w:val="24"/>
          <w:szCs w:val="24"/>
          <w:lang w:val="en-GB" w:eastAsia="en-GB"/>
          <w14:ligatures w14:val="standardContextual"/>
        </w:rPr>
      </w:pPr>
      <w:hyperlink w:anchor="_Toc243820027" w:history="1">
        <w:r w:rsidRPr="00AA32CB">
          <w:rPr>
            <w:rStyle w:val="Hyperlink"/>
            <w:rFonts w:ascii="Arial" w:hAnsi="Arial" w:cs="Arial"/>
            <w:noProof/>
          </w:rPr>
          <w:t>4. Identifying Cultural Types: Models and Frameworks</w:t>
        </w:r>
        <w:r>
          <w:rPr>
            <w:noProof/>
            <w:webHidden/>
          </w:rPr>
          <w:tab/>
        </w:r>
        <w:r>
          <w:rPr>
            <w:noProof/>
            <w:webHidden/>
          </w:rPr>
          <w:fldChar w:fldCharType="begin"/>
        </w:r>
        <w:r>
          <w:rPr>
            <w:noProof/>
            <w:webHidden/>
          </w:rPr>
          <w:instrText xml:space="preserve"> PAGEREF _Toc243820027 \h </w:instrText>
        </w:r>
        <w:r>
          <w:rPr>
            <w:noProof/>
            <w:webHidden/>
          </w:rPr>
        </w:r>
        <w:r>
          <w:rPr>
            <w:noProof/>
            <w:webHidden/>
          </w:rPr>
          <w:fldChar w:fldCharType="separate"/>
        </w:r>
        <w:r>
          <w:rPr>
            <w:noProof/>
            <w:webHidden/>
          </w:rPr>
          <w:t>6</w:t>
        </w:r>
        <w:r>
          <w:rPr>
            <w:noProof/>
            <w:webHidden/>
          </w:rPr>
          <w:fldChar w:fldCharType="end"/>
        </w:r>
      </w:hyperlink>
    </w:p>
    <w:p w14:paraId="24FABA2E" w14:textId="45A71CA9" w:rsidR="00725274" w:rsidRDefault="00725274">
      <w:pPr>
        <w:pStyle w:val="TOC1"/>
        <w:tabs>
          <w:tab w:val="right" w:leader="dot" w:pos="8630"/>
        </w:tabs>
        <w:rPr>
          <w:noProof/>
          <w:kern w:val="2"/>
          <w:sz w:val="24"/>
          <w:szCs w:val="24"/>
          <w:lang w:val="en-GB" w:eastAsia="en-GB"/>
          <w14:ligatures w14:val="standardContextual"/>
        </w:rPr>
      </w:pPr>
      <w:hyperlink w:anchor="_Toc243820028" w:history="1">
        <w:r w:rsidRPr="00AA32CB">
          <w:rPr>
            <w:rStyle w:val="Hyperlink"/>
            <w:rFonts w:ascii="Arial" w:hAnsi="Arial" w:cs="Arial"/>
            <w:noProof/>
          </w:rPr>
          <w:t>5. Culture and the External Environment</w:t>
        </w:r>
        <w:r>
          <w:rPr>
            <w:noProof/>
            <w:webHidden/>
          </w:rPr>
          <w:tab/>
        </w:r>
        <w:r>
          <w:rPr>
            <w:noProof/>
            <w:webHidden/>
          </w:rPr>
          <w:fldChar w:fldCharType="begin"/>
        </w:r>
        <w:r>
          <w:rPr>
            <w:noProof/>
            <w:webHidden/>
          </w:rPr>
          <w:instrText xml:space="preserve"> PAGEREF _Toc243820028 \h </w:instrText>
        </w:r>
        <w:r>
          <w:rPr>
            <w:noProof/>
            <w:webHidden/>
          </w:rPr>
        </w:r>
        <w:r>
          <w:rPr>
            <w:noProof/>
            <w:webHidden/>
          </w:rPr>
          <w:fldChar w:fldCharType="separate"/>
        </w:r>
        <w:r>
          <w:rPr>
            <w:noProof/>
            <w:webHidden/>
          </w:rPr>
          <w:t>7</w:t>
        </w:r>
        <w:r>
          <w:rPr>
            <w:noProof/>
            <w:webHidden/>
          </w:rPr>
          <w:fldChar w:fldCharType="end"/>
        </w:r>
      </w:hyperlink>
    </w:p>
    <w:p w14:paraId="41C53893" w14:textId="17047EA7" w:rsidR="00725274" w:rsidRDefault="00725274">
      <w:pPr>
        <w:pStyle w:val="TOC2"/>
        <w:tabs>
          <w:tab w:val="right" w:leader="dot" w:pos="8630"/>
        </w:tabs>
        <w:rPr>
          <w:noProof/>
          <w:kern w:val="2"/>
          <w:sz w:val="24"/>
          <w:szCs w:val="24"/>
          <w:lang w:val="en-GB" w:eastAsia="en-GB"/>
          <w14:ligatures w14:val="standardContextual"/>
        </w:rPr>
      </w:pPr>
      <w:hyperlink w:anchor="_Toc243820029" w:history="1">
        <w:r w:rsidRPr="00AA32CB">
          <w:rPr>
            <w:rStyle w:val="Hyperlink"/>
            <w:rFonts w:ascii="Arial" w:hAnsi="Arial" w:cs="Arial"/>
            <w:noProof/>
          </w:rPr>
          <w:t>5.1 How Toyota uses organisational culture to adapt to its external environment</w:t>
        </w:r>
        <w:r>
          <w:rPr>
            <w:noProof/>
            <w:webHidden/>
          </w:rPr>
          <w:tab/>
        </w:r>
        <w:r>
          <w:rPr>
            <w:noProof/>
            <w:webHidden/>
          </w:rPr>
          <w:fldChar w:fldCharType="begin"/>
        </w:r>
        <w:r>
          <w:rPr>
            <w:noProof/>
            <w:webHidden/>
          </w:rPr>
          <w:instrText xml:space="preserve"> PAGEREF _Toc243820029 \h </w:instrText>
        </w:r>
        <w:r>
          <w:rPr>
            <w:noProof/>
            <w:webHidden/>
          </w:rPr>
        </w:r>
        <w:r>
          <w:rPr>
            <w:noProof/>
            <w:webHidden/>
          </w:rPr>
          <w:fldChar w:fldCharType="separate"/>
        </w:r>
        <w:r>
          <w:rPr>
            <w:noProof/>
            <w:webHidden/>
          </w:rPr>
          <w:t>7</w:t>
        </w:r>
        <w:r>
          <w:rPr>
            <w:noProof/>
            <w:webHidden/>
          </w:rPr>
          <w:fldChar w:fldCharType="end"/>
        </w:r>
      </w:hyperlink>
    </w:p>
    <w:p w14:paraId="46182C47" w14:textId="77D2F2E5" w:rsidR="00725274" w:rsidRDefault="00725274">
      <w:pPr>
        <w:pStyle w:val="TOC1"/>
        <w:tabs>
          <w:tab w:val="right" w:leader="dot" w:pos="8630"/>
        </w:tabs>
        <w:rPr>
          <w:noProof/>
          <w:kern w:val="2"/>
          <w:sz w:val="24"/>
          <w:szCs w:val="24"/>
          <w:lang w:val="en-GB" w:eastAsia="en-GB"/>
          <w14:ligatures w14:val="standardContextual"/>
        </w:rPr>
      </w:pPr>
      <w:hyperlink w:anchor="_Toc243820030" w:history="1">
        <w:r w:rsidRPr="00AA32CB">
          <w:rPr>
            <w:rStyle w:val="Hyperlink"/>
            <w:rFonts w:ascii="Arial" w:hAnsi="Arial" w:cs="Arial"/>
            <w:noProof/>
          </w:rPr>
          <w:t>6. Organisational Culture as a Barrier</w:t>
        </w:r>
        <w:r>
          <w:rPr>
            <w:noProof/>
            <w:webHidden/>
          </w:rPr>
          <w:tab/>
        </w:r>
        <w:r>
          <w:rPr>
            <w:noProof/>
            <w:webHidden/>
          </w:rPr>
          <w:fldChar w:fldCharType="begin"/>
        </w:r>
        <w:r>
          <w:rPr>
            <w:noProof/>
            <w:webHidden/>
          </w:rPr>
          <w:instrText xml:space="preserve"> PAGEREF _Toc243820030 \h </w:instrText>
        </w:r>
        <w:r>
          <w:rPr>
            <w:noProof/>
            <w:webHidden/>
          </w:rPr>
        </w:r>
        <w:r>
          <w:rPr>
            <w:noProof/>
            <w:webHidden/>
          </w:rPr>
          <w:fldChar w:fldCharType="separate"/>
        </w:r>
        <w:r>
          <w:rPr>
            <w:noProof/>
            <w:webHidden/>
          </w:rPr>
          <w:t>8</w:t>
        </w:r>
        <w:r>
          <w:rPr>
            <w:noProof/>
            <w:webHidden/>
          </w:rPr>
          <w:fldChar w:fldCharType="end"/>
        </w:r>
      </w:hyperlink>
    </w:p>
    <w:p w14:paraId="28678792" w14:textId="5DBF6457" w:rsidR="00725274" w:rsidRDefault="00725274">
      <w:pPr>
        <w:pStyle w:val="TOC2"/>
        <w:tabs>
          <w:tab w:val="right" w:leader="dot" w:pos="8630"/>
        </w:tabs>
        <w:rPr>
          <w:noProof/>
          <w:kern w:val="2"/>
          <w:sz w:val="24"/>
          <w:szCs w:val="24"/>
          <w:lang w:val="en-GB" w:eastAsia="en-GB"/>
          <w14:ligatures w14:val="standardContextual"/>
        </w:rPr>
      </w:pPr>
      <w:hyperlink w:anchor="_Toc243820031" w:history="1">
        <w:r w:rsidRPr="00AA32CB">
          <w:rPr>
            <w:rStyle w:val="Hyperlink"/>
            <w:rFonts w:ascii="Arial" w:hAnsi="Arial" w:cs="Arial"/>
            <w:noProof/>
          </w:rPr>
          <w:t>6.1 Enabling effects</w:t>
        </w:r>
        <w:r>
          <w:rPr>
            <w:noProof/>
            <w:webHidden/>
          </w:rPr>
          <w:tab/>
        </w:r>
        <w:r>
          <w:rPr>
            <w:noProof/>
            <w:webHidden/>
          </w:rPr>
          <w:fldChar w:fldCharType="begin"/>
        </w:r>
        <w:r>
          <w:rPr>
            <w:noProof/>
            <w:webHidden/>
          </w:rPr>
          <w:instrText xml:space="preserve"> PAGEREF _Toc243820031 \h </w:instrText>
        </w:r>
        <w:r>
          <w:rPr>
            <w:noProof/>
            <w:webHidden/>
          </w:rPr>
        </w:r>
        <w:r>
          <w:rPr>
            <w:noProof/>
            <w:webHidden/>
          </w:rPr>
          <w:fldChar w:fldCharType="separate"/>
        </w:r>
        <w:r>
          <w:rPr>
            <w:noProof/>
            <w:webHidden/>
          </w:rPr>
          <w:t>8</w:t>
        </w:r>
        <w:r>
          <w:rPr>
            <w:noProof/>
            <w:webHidden/>
          </w:rPr>
          <w:fldChar w:fldCharType="end"/>
        </w:r>
      </w:hyperlink>
    </w:p>
    <w:p w14:paraId="26C8B578" w14:textId="518448BD" w:rsidR="00725274" w:rsidRDefault="00725274">
      <w:pPr>
        <w:pStyle w:val="TOC2"/>
        <w:tabs>
          <w:tab w:val="right" w:leader="dot" w:pos="8630"/>
        </w:tabs>
        <w:rPr>
          <w:noProof/>
          <w:kern w:val="2"/>
          <w:sz w:val="24"/>
          <w:szCs w:val="24"/>
          <w:lang w:val="en-GB" w:eastAsia="en-GB"/>
          <w14:ligatures w14:val="standardContextual"/>
        </w:rPr>
      </w:pPr>
      <w:hyperlink w:anchor="_Toc243820032" w:history="1">
        <w:r w:rsidRPr="00AA32CB">
          <w:rPr>
            <w:rStyle w:val="Hyperlink"/>
            <w:rFonts w:ascii="Arial" w:hAnsi="Arial" w:cs="Arial"/>
            <w:noProof/>
          </w:rPr>
          <w:t>6.2 Limiting effects</w:t>
        </w:r>
        <w:r>
          <w:rPr>
            <w:noProof/>
            <w:webHidden/>
          </w:rPr>
          <w:tab/>
        </w:r>
        <w:r>
          <w:rPr>
            <w:noProof/>
            <w:webHidden/>
          </w:rPr>
          <w:fldChar w:fldCharType="begin"/>
        </w:r>
        <w:r>
          <w:rPr>
            <w:noProof/>
            <w:webHidden/>
          </w:rPr>
          <w:instrText xml:space="preserve"> PAGEREF _Toc243820032 \h </w:instrText>
        </w:r>
        <w:r>
          <w:rPr>
            <w:noProof/>
            <w:webHidden/>
          </w:rPr>
        </w:r>
        <w:r>
          <w:rPr>
            <w:noProof/>
            <w:webHidden/>
          </w:rPr>
          <w:fldChar w:fldCharType="separate"/>
        </w:r>
        <w:r>
          <w:rPr>
            <w:noProof/>
            <w:webHidden/>
          </w:rPr>
          <w:t>8</w:t>
        </w:r>
        <w:r>
          <w:rPr>
            <w:noProof/>
            <w:webHidden/>
          </w:rPr>
          <w:fldChar w:fldCharType="end"/>
        </w:r>
      </w:hyperlink>
    </w:p>
    <w:p w14:paraId="7CE696BB" w14:textId="773FC891" w:rsidR="00725274" w:rsidRDefault="00725274">
      <w:pPr>
        <w:pStyle w:val="TOC1"/>
        <w:tabs>
          <w:tab w:val="right" w:leader="dot" w:pos="8630"/>
        </w:tabs>
        <w:rPr>
          <w:noProof/>
          <w:kern w:val="2"/>
          <w:sz w:val="24"/>
          <w:szCs w:val="24"/>
          <w:lang w:val="en-GB" w:eastAsia="en-GB"/>
          <w14:ligatures w14:val="standardContextual"/>
        </w:rPr>
      </w:pPr>
      <w:hyperlink w:anchor="_Toc243820033" w:history="1">
        <w:r w:rsidRPr="00AA32CB">
          <w:rPr>
            <w:rStyle w:val="Hyperlink"/>
            <w:rFonts w:ascii="Arial" w:hAnsi="Arial" w:cs="Arial"/>
            <w:noProof/>
          </w:rPr>
          <w:t>7. Impact of Culture on Organisational Performance</w:t>
        </w:r>
        <w:r>
          <w:rPr>
            <w:noProof/>
            <w:webHidden/>
          </w:rPr>
          <w:tab/>
        </w:r>
        <w:r>
          <w:rPr>
            <w:noProof/>
            <w:webHidden/>
          </w:rPr>
          <w:fldChar w:fldCharType="begin"/>
        </w:r>
        <w:r>
          <w:rPr>
            <w:noProof/>
            <w:webHidden/>
          </w:rPr>
          <w:instrText xml:space="preserve"> PAGEREF _Toc243820033 \h </w:instrText>
        </w:r>
        <w:r>
          <w:rPr>
            <w:noProof/>
            <w:webHidden/>
          </w:rPr>
        </w:r>
        <w:r>
          <w:rPr>
            <w:noProof/>
            <w:webHidden/>
          </w:rPr>
          <w:fldChar w:fldCharType="separate"/>
        </w:r>
        <w:r>
          <w:rPr>
            <w:noProof/>
            <w:webHidden/>
          </w:rPr>
          <w:t>10</w:t>
        </w:r>
        <w:r>
          <w:rPr>
            <w:noProof/>
            <w:webHidden/>
          </w:rPr>
          <w:fldChar w:fldCharType="end"/>
        </w:r>
      </w:hyperlink>
    </w:p>
    <w:p w14:paraId="3531717B" w14:textId="0C133B49" w:rsidR="00725274" w:rsidRDefault="00725274">
      <w:pPr>
        <w:pStyle w:val="TOC1"/>
        <w:tabs>
          <w:tab w:val="right" w:leader="dot" w:pos="8630"/>
        </w:tabs>
        <w:rPr>
          <w:noProof/>
          <w:kern w:val="2"/>
          <w:sz w:val="24"/>
          <w:szCs w:val="24"/>
          <w:lang w:val="en-GB" w:eastAsia="en-GB"/>
          <w14:ligatures w14:val="standardContextual"/>
        </w:rPr>
      </w:pPr>
      <w:hyperlink w:anchor="_Toc243820034" w:history="1">
        <w:r w:rsidRPr="00AA32CB">
          <w:rPr>
            <w:rStyle w:val="Hyperlink"/>
            <w:rFonts w:ascii="Arial" w:hAnsi="Arial" w:cs="Arial"/>
            <w:noProof/>
          </w:rPr>
          <w:t>8. Conclusion</w:t>
        </w:r>
        <w:r>
          <w:rPr>
            <w:noProof/>
            <w:webHidden/>
          </w:rPr>
          <w:tab/>
        </w:r>
        <w:r>
          <w:rPr>
            <w:noProof/>
            <w:webHidden/>
          </w:rPr>
          <w:fldChar w:fldCharType="begin"/>
        </w:r>
        <w:r>
          <w:rPr>
            <w:noProof/>
            <w:webHidden/>
          </w:rPr>
          <w:instrText xml:space="preserve"> PAGEREF _Toc243820034 \h </w:instrText>
        </w:r>
        <w:r>
          <w:rPr>
            <w:noProof/>
            <w:webHidden/>
          </w:rPr>
        </w:r>
        <w:r>
          <w:rPr>
            <w:noProof/>
            <w:webHidden/>
          </w:rPr>
          <w:fldChar w:fldCharType="separate"/>
        </w:r>
        <w:r>
          <w:rPr>
            <w:noProof/>
            <w:webHidden/>
          </w:rPr>
          <w:t>11</w:t>
        </w:r>
        <w:r>
          <w:rPr>
            <w:noProof/>
            <w:webHidden/>
          </w:rPr>
          <w:fldChar w:fldCharType="end"/>
        </w:r>
      </w:hyperlink>
    </w:p>
    <w:p w14:paraId="44DB44BD" w14:textId="2744B694" w:rsidR="00725274" w:rsidRDefault="00725274">
      <w:pPr>
        <w:pStyle w:val="TOC1"/>
        <w:tabs>
          <w:tab w:val="right" w:leader="dot" w:pos="8630"/>
        </w:tabs>
        <w:rPr>
          <w:noProof/>
          <w:kern w:val="2"/>
          <w:sz w:val="24"/>
          <w:szCs w:val="24"/>
          <w:lang w:val="en-GB" w:eastAsia="en-GB"/>
          <w14:ligatures w14:val="standardContextual"/>
        </w:rPr>
      </w:pPr>
      <w:hyperlink w:anchor="_Toc243820035" w:history="1">
        <w:r w:rsidRPr="00AA32CB">
          <w:rPr>
            <w:rStyle w:val="Hyperlink"/>
            <w:rFonts w:ascii="Arial" w:hAnsi="Arial" w:cs="Arial"/>
            <w:noProof/>
          </w:rPr>
          <w:t>9. References</w:t>
        </w:r>
        <w:r>
          <w:rPr>
            <w:noProof/>
            <w:webHidden/>
          </w:rPr>
          <w:tab/>
        </w:r>
        <w:r>
          <w:rPr>
            <w:noProof/>
            <w:webHidden/>
          </w:rPr>
          <w:fldChar w:fldCharType="begin"/>
        </w:r>
        <w:r>
          <w:rPr>
            <w:noProof/>
            <w:webHidden/>
          </w:rPr>
          <w:instrText xml:space="preserve"> PAGEREF _Toc243820035 \h </w:instrText>
        </w:r>
        <w:r>
          <w:rPr>
            <w:noProof/>
            <w:webHidden/>
          </w:rPr>
        </w:r>
        <w:r>
          <w:rPr>
            <w:noProof/>
            <w:webHidden/>
          </w:rPr>
          <w:fldChar w:fldCharType="separate"/>
        </w:r>
        <w:r>
          <w:rPr>
            <w:noProof/>
            <w:webHidden/>
          </w:rPr>
          <w:t>13</w:t>
        </w:r>
        <w:r>
          <w:rPr>
            <w:noProof/>
            <w:webHidden/>
          </w:rPr>
          <w:fldChar w:fldCharType="end"/>
        </w:r>
      </w:hyperlink>
    </w:p>
    <w:p w14:paraId="514BF760" w14:textId="2AE8E452" w:rsidR="00776BDB" w:rsidRDefault="00D208E9" w:rsidP="00B3415B">
      <w:pPr>
        <w:spacing w:line="480" w:lineRule="auto"/>
      </w:pPr>
      <w:r w:rsidRPr="00B3415B">
        <w:rPr>
          <w:rFonts w:ascii="Arial" w:hAnsi="Arial" w:cs="Arial"/>
        </w:rPr>
        <w:fldChar w:fldCharType="end"/>
      </w:r>
    </w:p>
    <w:p w14:paraId="6A5E0666" w14:textId="77777777" w:rsidR="005D44EA" w:rsidRPr="00B3415B" w:rsidRDefault="00AB345F" w:rsidP="00E32257">
      <w:pPr>
        <w:pStyle w:val="Heading1"/>
        <w:pageBreakBefore/>
        <w:spacing w:line="480" w:lineRule="auto"/>
        <w:rPr>
          <w:rFonts w:ascii="Arial" w:hAnsi="Arial" w:cs="Arial"/>
          <w:color w:val="000000" w:themeColor="text1"/>
          <w:sz w:val="24"/>
          <w:szCs w:val="24"/>
        </w:rPr>
      </w:pPr>
      <w:bookmarkStart w:id="0" w:name="_Toc243820023"/>
      <w:r w:rsidRPr="00B3415B">
        <w:rPr>
          <w:rFonts w:ascii="Arial" w:hAnsi="Arial" w:cs="Arial"/>
          <w:color w:val="000000" w:themeColor="text1"/>
        </w:rPr>
        <w:lastRenderedPageBreak/>
        <w:t>1. Introduction</w:t>
      </w:r>
      <w:bookmarkEnd w:id="0"/>
    </w:p>
    <w:p w14:paraId="34285FCE" w14:textId="77ACF20C" w:rsidR="00776BDB" w:rsidRDefault="00D208E9" w:rsidP="00B3415B">
      <w:pPr>
        <w:spacing w:line="360" w:lineRule="auto"/>
      </w:pPr>
      <w:r>
        <w:rPr>
          <w:rFonts w:ascii="Arial" w:hAnsi="Arial"/>
        </w:rPr>
        <w:t>Mullins and Christy (2016, p. 574) describe culture as pervasive because shared values, beliefs</w:t>
      </w:r>
      <w:r w:rsidR="00581EC0">
        <w:rPr>
          <w:rFonts w:ascii="Arial" w:hAnsi="Arial"/>
        </w:rPr>
        <w:t>, and attitudes shape how</w:t>
      </w:r>
      <w:r>
        <w:rPr>
          <w:rFonts w:ascii="Arial" w:hAnsi="Arial"/>
        </w:rPr>
        <w:t xml:space="preserve"> </w:t>
      </w:r>
      <w:proofErr w:type="spellStart"/>
      <w:r>
        <w:rPr>
          <w:rFonts w:ascii="Arial" w:hAnsi="Arial"/>
        </w:rPr>
        <w:t>organisational</w:t>
      </w:r>
      <w:proofErr w:type="spellEnd"/>
      <w:r>
        <w:rPr>
          <w:rFonts w:ascii="Arial" w:hAnsi="Arial"/>
        </w:rPr>
        <w:t xml:space="preserve"> processes operate. This means culture should not be treated as a decorative statement of </w:t>
      </w:r>
      <w:proofErr w:type="gramStart"/>
      <w:r w:rsidR="00581EC0">
        <w:rPr>
          <w:rFonts w:ascii="Arial" w:hAnsi="Arial"/>
        </w:rPr>
        <w:t>values</w:t>
      </w:r>
      <w:proofErr w:type="gramEnd"/>
      <w:r w:rsidR="00581EC0">
        <w:rPr>
          <w:rFonts w:ascii="Arial" w:hAnsi="Arial"/>
        </w:rPr>
        <w:t>: it shapes which problems receive attention, who can challenge a decision, how work is coordinated,</w:t>
      </w:r>
      <w:r>
        <w:rPr>
          <w:rFonts w:ascii="Arial" w:hAnsi="Arial"/>
        </w:rPr>
        <w:t xml:space="preserve"> and which </w:t>
      </w:r>
      <w:proofErr w:type="spellStart"/>
      <w:r>
        <w:rPr>
          <w:rFonts w:ascii="Arial" w:hAnsi="Arial"/>
        </w:rPr>
        <w:t>behaviours</w:t>
      </w:r>
      <w:proofErr w:type="spellEnd"/>
      <w:r>
        <w:rPr>
          <w:rFonts w:ascii="Arial" w:hAnsi="Arial"/>
        </w:rPr>
        <w:t xml:space="preserve"> are rewarded. Culture can support reliable performance, but it can also </w:t>
      </w:r>
      <w:proofErr w:type="spellStart"/>
      <w:r>
        <w:rPr>
          <w:rFonts w:ascii="Arial" w:hAnsi="Arial"/>
        </w:rPr>
        <w:t>normalise</w:t>
      </w:r>
      <w:proofErr w:type="spellEnd"/>
      <w:r>
        <w:rPr>
          <w:rFonts w:ascii="Arial" w:hAnsi="Arial"/>
        </w:rPr>
        <w:t xml:space="preserve"> ineffective practices.</w:t>
      </w:r>
    </w:p>
    <w:p w14:paraId="0BF03922" w14:textId="77777777" w:rsidR="00776BDB" w:rsidRDefault="00D208E9" w:rsidP="00B3415B">
      <w:pPr>
        <w:spacing w:line="360" w:lineRule="auto"/>
      </w:pPr>
      <w:r>
        <w:rPr>
          <w:rFonts w:ascii="Arial" w:hAnsi="Arial"/>
        </w:rPr>
        <w:t xml:space="preserve">Toyota Motor Corporation is an appropriate case because the Toyota Way is an explicit statement of the company’s management philosophy. Toyota identifies continuous improvement and respect for people as its two central pillars (Toyota Motor Corporation, n.d.). The report uses these published principles as evidence of espoused culture, and academic research to assess plausible mechanisms and limitations. It does not assume that corporate statements demonstrate uniform </w:t>
      </w:r>
      <w:proofErr w:type="spellStart"/>
      <w:r>
        <w:rPr>
          <w:rFonts w:ascii="Arial" w:hAnsi="Arial"/>
        </w:rPr>
        <w:t>behaviour</w:t>
      </w:r>
      <w:proofErr w:type="spellEnd"/>
      <w:r>
        <w:rPr>
          <w:rFonts w:ascii="Arial" w:hAnsi="Arial"/>
        </w:rPr>
        <w:t xml:space="preserve"> across every global site.</w:t>
      </w:r>
    </w:p>
    <w:p w14:paraId="19CC71EB" w14:textId="77777777" w:rsidR="00776BDB" w:rsidRDefault="00D208E9" w:rsidP="00B3415B">
      <w:pPr>
        <w:spacing w:line="360" w:lineRule="auto"/>
      </w:pPr>
      <w:r>
        <w:rPr>
          <w:rFonts w:ascii="Arial" w:hAnsi="Arial"/>
        </w:rPr>
        <w:t>The report applies Schein’s model, evaluates structure and decision-making, external adaptation, barriers and enablers, performance, and recommendations. Much of the available evidence concerns manufacturing systems or suppliers rather than direct causal measurement of Toyota’s entire corporate culture.</w:t>
      </w:r>
    </w:p>
    <w:p w14:paraId="533B106C" w14:textId="77777777" w:rsidR="005D44EA" w:rsidRPr="00B3415B" w:rsidRDefault="00AB345F" w:rsidP="00E32257">
      <w:pPr>
        <w:pStyle w:val="Heading1"/>
        <w:spacing w:line="480" w:lineRule="auto"/>
        <w:rPr>
          <w:rFonts w:ascii="Arial" w:hAnsi="Arial" w:cs="Arial"/>
          <w:color w:val="000000" w:themeColor="text1"/>
          <w:sz w:val="24"/>
          <w:szCs w:val="24"/>
        </w:rPr>
      </w:pPr>
      <w:bookmarkStart w:id="1" w:name="_Toc243820024"/>
      <w:r w:rsidRPr="00B3415B">
        <w:rPr>
          <w:rFonts w:ascii="Arial" w:hAnsi="Arial" w:cs="Arial"/>
          <w:color w:val="000000" w:themeColor="text1"/>
        </w:rPr>
        <w:t xml:space="preserve">2. </w:t>
      </w:r>
      <w:proofErr w:type="spellStart"/>
      <w:r w:rsidRPr="00B3415B">
        <w:rPr>
          <w:rFonts w:ascii="Arial" w:hAnsi="Arial" w:cs="Arial"/>
          <w:color w:val="000000" w:themeColor="text1"/>
        </w:rPr>
        <w:t>Organisational</w:t>
      </w:r>
      <w:proofErr w:type="spellEnd"/>
      <w:r w:rsidRPr="00B3415B">
        <w:rPr>
          <w:rFonts w:ascii="Arial" w:hAnsi="Arial" w:cs="Arial"/>
          <w:color w:val="000000" w:themeColor="text1"/>
        </w:rPr>
        <w:t xml:space="preserve"> Culture of Toyota Motor Corporation</w:t>
      </w:r>
      <w:bookmarkEnd w:id="1"/>
    </w:p>
    <w:p w14:paraId="1BF1E716" w14:textId="77777777" w:rsidR="00776BDB" w:rsidRDefault="00D208E9">
      <w:pPr>
        <w:jc w:val="center"/>
      </w:pPr>
      <w:r>
        <w:rPr>
          <w:rFonts w:ascii="Arial" w:hAnsi="Arial"/>
          <w:noProof/>
        </w:rPr>
        <w:drawing>
          <wp:inline distT="0" distB="0" distL="0" distR="0" wp14:anchorId="11F1AB6A" wp14:editId="7F49B19C">
            <wp:extent cx="5212080" cy="21036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template_fig_1.png"/>
                    <pic:cNvPicPr/>
                  </pic:nvPicPr>
                  <pic:blipFill>
                    <a:blip r:embed="rId8"/>
                    <a:stretch>
                      <a:fillRect/>
                    </a:stretch>
                  </pic:blipFill>
                  <pic:spPr>
                    <a:xfrm>
                      <a:off x="0" y="0"/>
                      <a:ext cx="5212080" cy="2103645"/>
                    </a:xfrm>
                    <a:prstGeom prst="rect">
                      <a:avLst/>
                    </a:prstGeom>
                  </pic:spPr>
                </pic:pic>
              </a:graphicData>
            </a:graphic>
          </wp:inline>
        </w:drawing>
      </w:r>
    </w:p>
    <w:p w14:paraId="2A3B0764" w14:textId="77777777" w:rsidR="00776BDB" w:rsidRPr="00B3415B" w:rsidRDefault="00D208E9">
      <w:pPr>
        <w:pStyle w:val="Caption"/>
        <w:jc w:val="center"/>
        <w:rPr>
          <w:color w:val="000000" w:themeColor="text1"/>
        </w:rPr>
      </w:pPr>
      <w:r w:rsidRPr="00B3415B">
        <w:rPr>
          <w:rFonts w:ascii="Arial" w:hAnsi="Arial"/>
          <w:i/>
          <w:color w:val="000000" w:themeColor="text1"/>
        </w:rPr>
        <w:t>Figure 1. Toyota’s stated cultural pillars. Source: Toyota Motor Corporation (n.d.).</w:t>
      </w:r>
    </w:p>
    <w:p w14:paraId="35975D59" w14:textId="77777777" w:rsidR="00776BDB" w:rsidRPr="00E32257" w:rsidRDefault="00D208E9" w:rsidP="00E32257">
      <w:pPr>
        <w:pStyle w:val="Heading2"/>
        <w:spacing w:line="480" w:lineRule="auto"/>
        <w:rPr>
          <w:rFonts w:ascii="Arial" w:hAnsi="Arial" w:cs="Arial"/>
          <w:color w:val="000000" w:themeColor="text1"/>
          <w:sz w:val="28"/>
          <w:szCs w:val="28"/>
        </w:rPr>
      </w:pPr>
      <w:bookmarkStart w:id="2" w:name="_Toc243820025"/>
      <w:r w:rsidRPr="00E32257">
        <w:rPr>
          <w:rFonts w:ascii="Arial" w:hAnsi="Arial" w:cs="Arial"/>
          <w:color w:val="000000" w:themeColor="text1"/>
          <w:sz w:val="28"/>
          <w:szCs w:val="28"/>
        </w:rPr>
        <w:lastRenderedPageBreak/>
        <w:t>2.1 Schein’s three levels</w:t>
      </w:r>
      <w:bookmarkEnd w:id="2"/>
    </w:p>
    <w:p w14:paraId="0AE4E6E4" w14:textId="77777777" w:rsidR="00776BDB" w:rsidRDefault="00D208E9" w:rsidP="004F33CD">
      <w:pPr>
        <w:spacing w:line="360" w:lineRule="auto"/>
      </w:pPr>
      <w:r>
        <w:rPr>
          <w:rFonts w:ascii="Arial" w:hAnsi="Arial"/>
        </w:rPr>
        <w:t xml:space="preserve">Schein (2010) distinguishes artefacts, espoused beliefs and values, and basic underlying assumptions. Artefacts are visible practices and symbols; espoused values are the principles an </w:t>
      </w:r>
      <w:proofErr w:type="spellStart"/>
      <w:r>
        <w:rPr>
          <w:rFonts w:ascii="Arial" w:hAnsi="Arial"/>
        </w:rPr>
        <w:t>organisation</w:t>
      </w:r>
      <w:proofErr w:type="spellEnd"/>
      <w:r>
        <w:rPr>
          <w:rFonts w:ascii="Arial" w:hAnsi="Arial"/>
        </w:rPr>
        <w:t xml:space="preserve"> says it follows; underlying assumptions are taken-for-granted beliefs that shape </w:t>
      </w:r>
      <w:proofErr w:type="spellStart"/>
      <w:r>
        <w:rPr>
          <w:rFonts w:ascii="Arial" w:hAnsi="Arial"/>
        </w:rPr>
        <w:t>behaviour</w:t>
      </w:r>
      <w:proofErr w:type="spellEnd"/>
      <w:r>
        <w:rPr>
          <w:rFonts w:ascii="Arial" w:hAnsi="Arial"/>
        </w:rPr>
        <w:t>, often without conscious discussion. The model is useful because visible practices can be misinterpreted unless examined alongside stated values and deeper assumptions.</w:t>
      </w:r>
    </w:p>
    <w:p w14:paraId="0A7A7E37" w14:textId="77777777" w:rsidR="00776BDB" w:rsidRDefault="00D208E9" w:rsidP="004F33CD">
      <w:pPr>
        <w:spacing w:line="360" w:lineRule="auto"/>
      </w:pPr>
      <w:r>
        <w:rPr>
          <w:rFonts w:ascii="Arial" w:hAnsi="Arial"/>
        </w:rPr>
        <w:t xml:space="preserve">At the level of espoused values, Toyota presents continuous improvement and respect for people as the two pillars of the Toyota Way. Continuous improvement includes challenge, kaizen and </w:t>
      </w:r>
      <w:proofErr w:type="spellStart"/>
      <w:r>
        <w:rPr>
          <w:rFonts w:ascii="Arial" w:hAnsi="Arial"/>
        </w:rPr>
        <w:t>genchi</w:t>
      </w:r>
      <w:proofErr w:type="spellEnd"/>
      <w:r>
        <w:rPr>
          <w:rFonts w:ascii="Arial" w:hAnsi="Arial"/>
        </w:rPr>
        <w:t xml:space="preserve"> </w:t>
      </w:r>
      <w:proofErr w:type="spellStart"/>
      <w:r>
        <w:rPr>
          <w:rFonts w:ascii="Arial" w:hAnsi="Arial"/>
        </w:rPr>
        <w:t>genbutsu</w:t>
      </w:r>
      <w:proofErr w:type="spellEnd"/>
      <w:r>
        <w:rPr>
          <w:rFonts w:ascii="Arial" w:hAnsi="Arial"/>
        </w:rPr>
        <w:t xml:space="preserve">—going to the source to understand the situation. Respect for people includes respect and teamwork (Toyota Motor Corporation, n.d.). Aoki (2025) examines Toyota’s three-pillar activity, introduced in global plants in 2007 to recover the principle of full participation in kaizen. This supports the interpretation that improvement is intended to be a shared </w:t>
      </w:r>
      <w:proofErr w:type="spellStart"/>
      <w:r>
        <w:rPr>
          <w:rFonts w:ascii="Arial" w:hAnsi="Arial"/>
        </w:rPr>
        <w:t>organisational</w:t>
      </w:r>
      <w:proofErr w:type="spellEnd"/>
      <w:r>
        <w:rPr>
          <w:rFonts w:ascii="Arial" w:hAnsi="Arial"/>
        </w:rPr>
        <w:t xml:space="preserve"> responsibility, not simply a specialist function.</w:t>
      </w:r>
    </w:p>
    <w:p w14:paraId="1848BF1A" w14:textId="77777777" w:rsidR="00776BDB" w:rsidRDefault="00D208E9" w:rsidP="004F33CD">
      <w:pPr>
        <w:spacing w:line="360" w:lineRule="auto"/>
      </w:pPr>
      <w:r>
        <w:rPr>
          <w:rFonts w:ascii="Arial" w:hAnsi="Arial"/>
        </w:rPr>
        <w:t xml:space="preserve">Likely artefacts associated with this system include </w:t>
      </w:r>
      <w:proofErr w:type="spellStart"/>
      <w:r>
        <w:rPr>
          <w:rFonts w:ascii="Arial" w:hAnsi="Arial"/>
        </w:rPr>
        <w:t>standardised</w:t>
      </w:r>
      <w:proofErr w:type="spellEnd"/>
      <w:r>
        <w:rPr>
          <w:rFonts w:ascii="Arial" w:hAnsi="Arial"/>
        </w:rPr>
        <w:t xml:space="preserve"> work, visual management, structured problem-solving, team meetings and routines for identifying defects. These are consistent with descriptions of the Toyota Production System and lean operations (Liker, 2004; Womack, Jones and </w:t>
      </w:r>
      <w:proofErr w:type="spellStart"/>
      <w:r>
        <w:rPr>
          <w:rFonts w:ascii="Arial" w:hAnsi="Arial"/>
        </w:rPr>
        <w:t>Roos</w:t>
      </w:r>
      <w:proofErr w:type="spellEnd"/>
      <w:r>
        <w:rPr>
          <w:rFonts w:ascii="Arial" w:hAnsi="Arial"/>
        </w:rPr>
        <w:t>, 1990). However, a careful distinction is required: these are established features associated with Toyota’s production approach, but the presence of a tool does not by itself establish that employees feel respected or can challenge managers.</w:t>
      </w:r>
    </w:p>
    <w:p w14:paraId="39D807FC" w14:textId="2F57B7DD" w:rsidR="00547D85" w:rsidRDefault="00547D85">
      <w:pPr>
        <w:spacing w:line="360" w:lineRule="auto"/>
        <w:rPr>
          <w:kern w:val="2"/>
          <w:lang w:val="en-GB" w:eastAsia="en-GB"/>
          <w14:ligatures w14:val="standardContextual"/>
        </w:rPr>
      </w:pPr>
      <w:r>
        <w:rPr>
          <w:rFonts w:ascii="Arial" w:hAnsi="Arial" w:cs="Arial"/>
        </w:rPr>
        <w:t>The Toyota Way suggests three underlying assumptions: problems should be exposed rather than hidden, work improves through ongoing learning, and employees’ practical knowledge matters. These interpretations draw on Toyota’s philosophy and documented improvement practices; they do not establish what every employee believes. Schein’s model thus highlights both a cultural strength and a limitation of the evidence: official statements reveal espoused values, but independent observation, employee data and comparisons across sites are needed to establish how consistently these values guide practice.</w:t>
      </w:r>
    </w:p>
    <w:p w14:paraId="2FB72996" w14:textId="77777777" w:rsidR="005D44EA" w:rsidRPr="00E32257" w:rsidRDefault="00AB345F" w:rsidP="00E32257">
      <w:pPr>
        <w:pStyle w:val="Heading1"/>
        <w:spacing w:line="480" w:lineRule="auto"/>
        <w:rPr>
          <w:rFonts w:ascii="Arial" w:hAnsi="Arial" w:cs="Arial"/>
          <w:color w:val="000000" w:themeColor="text1"/>
        </w:rPr>
      </w:pPr>
      <w:bookmarkStart w:id="3" w:name="_Toc243820026"/>
      <w:r w:rsidRPr="00E32257">
        <w:rPr>
          <w:rFonts w:ascii="Arial" w:hAnsi="Arial" w:cs="Arial"/>
          <w:color w:val="000000" w:themeColor="text1"/>
        </w:rPr>
        <w:lastRenderedPageBreak/>
        <w:t>3. Influence of Culture on Structure and Decision-Making</w:t>
      </w:r>
      <w:bookmarkEnd w:id="3"/>
    </w:p>
    <w:p w14:paraId="20C32D92" w14:textId="77777777" w:rsidR="00776BDB" w:rsidRDefault="00D208E9" w:rsidP="00C05EEE">
      <w:pPr>
        <w:spacing w:line="360" w:lineRule="auto"/>
      </w:pPr>
      <w:r>
        <w:rPr>
          <w:rFonts w:ascii="Arial" w:hAnsi="Arial"/>
        </w:rPr>
        <w:t xml:space="preserve">Culture and structure reinforce one another. Structure allocates authority and defines reporting lines; culture shapes how people use that authority, whether they share information and whether formal procedures are followed mechanically or used as a basis for improvement. Mullins and Christy (2016) argue that culture influences </w:t>
      </w:r>
      <w:proofErr w:type="spellStart"/>
      <w:r>
        <w:rPr>
          <w:rFonts w:ascii="Arial" w:hAnsi="Arial"/>
        </w:rPr>
        <w:t>organisational</w:t>
      </w:r>
      <w:proofErr w:type="spellEnd"/>
      <w:r>
        <w:rPr>
          <w:rFonts w:ascii="Arial" w:hAnsi="Arial"/>
        </w:rPr>
        <w:t xml:space="preserve"> design and management control, while Schein (2010) explains how shared assumptions become embedded in routines and taken-for-granted ways of working.</w:t>
      </w:r>
    </w:p>
    <w:p w14:paraId="7AB7F7DA" w14:textId="77777777" w:rsidR="00776BDB" w:rsidRDefault="00D208E9" w:rsidP="00C05EEE">
      <w:pPr>
        <w:spacing w:line="360" w:lineRule="auto"/>
      </w:pPr>
      <w:r>
        <w:rPr>
          <w:rFonts w:ascii="Arial" w:hAnsi="Arial"/>
        </w:rPr>
        <w:t xml:space="preserve">Toyota’s manufacturing context requires coordination across interdependent activities. </w:t>
      </w:r>
      <w:proofErr w:type="spellStart"/>
      <w:r>
        <w:rPr>
          <w:rFonts w:ascii="Arial" w:hAnsi="Arial"/>
        </w:rPr>
        <w:t>Standardised</w:t>
      </w:r>
      <w:proofErr w:type="spellEnd"/>
      <w:r>
        <w:rPr>
          <w:rFonts w:ascii="Arial" w:hAnsi="Arial"/>
        </w:rPr>
        <w:t xml:space="preserve"> work, clear quality requirements and formal escalation routes can reduce variation and clarify accountability. This is a role-oriented, relatively mechanistic element: common methods help people coordinate and make defects visible. Yet </w:t>
      </w:r>
      <w:proofErr w:type="spellStart"/>
      <w:r>
        <w:rPr>
          <w:rFonts w:ascii="Arial" w:hAnsi="Arial"/>
        </w:rPr>
        <w:t>standardisation</w:t>
      </w:r>
      <w:proofErr w:type="spellEnd"/>
      <w:r>
        <w:rPr>
          <w:rFonts w:ascii="Arial" w:hAnsi="Arial"/>
        </w:rPr>
        <w:t xml:space="preserve"> is not necessarily the opposite of learning. When treated as the current best-known method that can be challenged by evidence, it can provide a baseline against which improvement is tested (Liker, 2004). The culture’s value therefore depends on whether employees can question the standard when results indicate that it is inadequate.</w:t>
      </w:r>
    </w:p>
    <w:p w14:paraId="7EAC60C6" w14:textId="2A4EA357" w:rsidR="00776BDB" w:rsidRDefault="00D208E9" w:rsidP="00C05EEE">
      <w:pPr>
        <w:spacing w:line="360" w:lineRule="auto"/>
      </w:pPr>
      <w:r>
        <w:rPr>
          <w:rFonts w:ascii="Arial" w:hAnsi="Arial"/>
        </w:rPr>
        <w:t xml:space="preserve">The participative side of the Toyota Way implies that decision-making should draw on frontline knowledge. Genchi </w:t>
      </w:r>
      <w:proofErr w:type="spellStart"/>
      <w:r>
        <w:rPr>
          <w:rFonts w:ascii="Arial" w:hAnsi="Arial"/>
        </w:rPr>
        <w:t>genbutsu</w:t>
      </w:r>
      <w:proofErr w:type="spellEnd"/>
      <w:r>
        <w:rPr>
          <w:rFonts w:ascii="Arial" w:hAnsi="Arial"/>
        </w:rPr>
        <w:t xml:space="preserve"> encourages </w:t>
      </w:r>
      <w:proofErr w:type="gramStart"/>
      <w:r w:rsidR="00DE4925">
        <w:rPr>
          <w:rFonts w:ascii="Arial" w:hAnsi="Arial"/>
        </w:rPr>
        <w:t>decision-makers</w:t>
      </w:r>
      <w:proofErr w:type="gramEnd"/>
      <w:r>
        <w:rPr>
          <w:rFonts w:ascii="Arial" w:hAnsi="Arial"/>
        </w:rPr>
        <w:t xml:space="preserve"> to examine the actual situation rather than rely exclusively on reports, while kaizen invites incremental problem-solving. Aoki (2025) argues that Toyota’s three-pillar activity was designed to encourage full participation in improvement across global plants. This suggests a system in which decisions can combine management direction with bottom-up operational knowledge. Such participation may improve the quality of decisions because employees close to a process can identify causes that senior managers cannot readily see.</w:t>
      </w:r>
    </w:p>
    <w:p w14:paraId="3609926D" w14:textId="00EEC175" w:rsidR="00776BDB" w:rsidRDefault="00D208E9" w:rsidP="00C05EEE">
      <w:pPr>
        <w:spacing w:line="360" w:lineRule="auto"/>
      </w:pPr>
      <w:r>
        <w:rPr>
          <w:rFonts w:ascii="Arial" w:hAnsi="Arial"/>
        </w:rPr>
        <w:t xml:space="preserve">Nevertheless, participation should not be equated with unrestricted </w:t>
      </w:r>
      <w:proofErr w:type="spellStart"/>
      <w:r>
        <w:rPr>
          <w:rFonts w:ascii="Arial" w:hAnsi="Arial"/>
        </w:rPr>
        <w:t>decentralisation</w:t>
      </w:r>
      <w:proofErr w:type="spellEnd"/>
      <w:r>
        <w:rPr>
          <w:rFonts w:ascii="Arial" w:hAnsi="Arial"/>
        </w:rPr>
        <w:t xml:space="preserve">. In a safety-critical, high-volume manufacturing system, some decisions must remain governed by technical standards, formal approval and clear accountability. The likely model is bounded participation: employees contribute to identifying and solving problems within a framework of common goals and controls. This can be </w:t>
      </w:r>
      <w:r w:rsidR="00086173">
        <w:rPr>
          <w:rFonts w:ascii="Arial" w:hAnsi="Arial"/>
        </w:rPr>
        <w:t>effective but</w:t>
      </w:r>
      <w:r>
        <w:rPr>
          <w:rFonts w:ascii="Arial" w:hAnsi="Arial"/>
        </w:rPr>
        <w:t xml:space="preserve"> may become performative if employees are encouraged to suggest improvements without the authority, time or psychological safety needed to act on them.</w:t>
      </w:r>
    </w:p>
    <w:p w14:paraId="28433B3D" w14:textId="4941F3D1" w:rsidR="00776BDB" w:rsidRDefault="00D208E9" w:rsidP="00C05EEE">
      <w:pPr>
        <w:spacing w:line="360" w:lineRule="auto"/>
      </w:pPr>
      <w:r>
        <w:rPr>
          <w:rFonts w:ascii="Arial" w:hAnsi="Arial"/>
        </w:rPr>
        <w:lastRenderedPageBreak/>
        <w:t>A further risk is that a strong culture can make familiar procedures seem inherently correct. O’Reilly, Chatman and Caldwell (1991) show how person–</w:t>
      </w:r>
      <w:proofErr w:type="spellStart"/>
      <w:r>
        <w:rPr>
          <w:rFonts w:ascii="Arial" w:hAnsi="Arial"/>
        </w:rPr>
        <w:t>organisation</w:t>
      </w:r>
      <w:proofErr w:type="spellEnd"/>
      <w:r>
        <w:rPr>
          <w:rFonts w:ascii="Arial" w:hAnsi="Arial"/>
        </w:rPr>
        <w:t xml:space="preserve"> fit can be used to understand alignment between individual values and </w:t>
      </w:r>
      <w:proofErr w:type="spellStart"/>
      <w:r>
        <w:rPr>
          <w:rFonts w:ascii="Arial" w:hAnsi="Arial"/>
        </w:rPr>
        <w:t>organisational</w:t>
      </w:r>
      <w:proofErr w:type="spellEnd"/>
      <w:r>
        <w:rPr>
          <w:rFonts w:ascii="Arial" w:hAnsi="Arial"/>
        </w:rPr>
        <w:t xml:space="preserve"> culture. Alignment may support coordination, but excessive emphasis on fit can discourage dissent or make employees who challenge existing practice seem unsuitable. Edmondson’s (1999) research on psychological safety is relevant: teams need to feel able to take interpersonal risks, including raising errors and asking questions, if learning is to occur. For Toyota, respect for people must therefore mean more than </w:t>
      </w:r>
      <w:r w:rsidR="0045383E">
        <w:rPr>
          <w:rFonts w:ascii="Arial" w:hAnsi="Arial"/>
        </w:rPr>
        <w:t>teamwork</w:t>
      </w:r>
      <w:r>
        <w:rPr>
          <w:rFonts w:ascii="Arial" w:hAnsi="Arial"/>
        </w:rPr>
        <w:t>; it should be observable in how managers respond to bad news, disagreement and failed experiments.</w:t>
      </w:r>
    </w:p>
    <w:p w14:paraId="36444C42" w14:textId="77777777" w:rsidR="00776BDB" w:rsidRPr="00E32257" w:rsidRDefault="00D208E9" w:rsidP="00E32257">
      <w:pPr>
        <w:pStyle w:val="Heading1"/>
        <w:spacing w:line="480" w:lineRule="auto"/>
        <w:rPr>
          <w:rFonts w:ascii="Arial" w:hAnsi="Arial" w:cs="Arial"/>
          <w:color w:val="000000" w:themeColor="text1"/>
        </w:rPr>
      </w:pPr>
      <w:bookmarkStart w:id="4" w:name="_Toc243820027"/>
      <w:r w:rsidRPr="00E32257">
        <w:rPr>
          <w:rFonts w:ascii="Arial" w:hAnsi="Arial" w:cs="Arial"/>
          <w:color w:val="000000" w:themeColor="text1"/>
        </w:rPr>
        <w:t>4. Identifying Cultural Types: Models and Frameworks</w:t>
      </w:r>
      <w:bookmarkEnd w:id="4"/>
    </w:p>
    <w:p w14:paraId="752E432F" w14:textId="77777777" w:rsidR="00776BDB" w:rsidRDefault="00D208E9" w:rsidP="00C05EEE">
      <w:pPr>
        <w:spacing w:line="360" w:lineRule="auto"/>
      </w:pPr>
      <w:r>
        <w:rPr>
          <w:rFonts w:ascii="Arial" w:hAnsi="Arial"/>
        </w:rPr>
        <w:t xml:space="preserve">Handy (1993) distinguishes power, role, task and person cultures. A power culture concentrates influence around a central individual or small group; a role culture </w:t>
      </w:r>
      <w:proofErr w:type="spellStart"/>
      <w:r>
        <w:rPr>
          <w:rFonts w:ascii="Arial" w:hAnsi="Arial"/>
        </w:rPr>
        <w:t>emphasises</w:t>
      </w:r>
      <w:proofErr w:type="spellEnd"/>
      <w:r>
        <w:rPr>
          <w:rFonts w:ascii="Arial" w:hAnsi="Arial"/>
        </w:rPr>
        <w:t xml:space="preserve"> rules, positions and procedures; a task culture </w:t>
      </w:r>
      <w:proofErr w:type="spellStart"/>
      <w:r>
        <w:rPr>
          <w:rFonts w:ascii="Arial" w:hAnsi="Arial"/>
        </w:rPr>
        <w:t>prioritises</w:t>
      </w:r>
      <w:proofErr w:type="spellEnd"/>
      <w:r>
        <w:rPr>
          <w:rFonts w:ascii="Arial" w:hAnsi="Arial"/>
        </w:rPr>
        <w:t xml:space="preserve"> teams and expertise assembled to solve problems; and a person culture places the individual professional at the </w:t>
      </w:r>
      <w:proofErr w:type="spellStart"/>
      <w:r>
        <w:rPr>
          <w:rFonts w:ascii="Arial" w:hAnsi="Arial"/>
        </w:rPr>
        <w:t>centre</w:t>
      </w:r>
      <w:proofErr w:type="spellEnd"/>
      <w:r>
        <w:rPr>
          <w:rFonts w:ascii="Arial" w:hAnsi="Arial"/>
        </w:rPr>
        <w:t>. These are ideal types rather than mutually exclusive categories, so a large multinational may display different patterns across functions and locations.</w:t>
      </w:r>
    </w:p>
    <w:p w14:paraId="0AD45FA8" w14:textId="77777777" w:rsidR="00776BDB" w:rsidRDefault="00D208E9" w:rsidP="00C05EEE">
      <w:pPr>
        <w:spacing w:line="360" w:lineRule="auto"/>
      </w:pPr>
      <w:r>
        <w:rPr>
          <w:rFonts w:ascii="Arial" w:hAnsi="Arial"/>
        </w:rPr>
        <w:t xml:space="preserve">Toyota is best interpreted as a task–role hybrid. The task element is visible in the emphasis on teamwork, problem-solving and kaizen: improvement depends on people with relevant knowledge identifying and resolving issues. The role element is visible in the need for </w:t>
      </w:r>
      <w:proofErr w:type="spellStart"/>
      <w:r>
        <w:rPr>
          <w:rFonts w:ascii="Arial" w:hAnsi="Arial"/>
        </w:rPr>
        <w:t>standardised</w:t>
      </w:r>
      <w:proofErr w:type="spellEnd"/>
      <w:r>
        <w:rPr>
          <w:rFonts w:ascii="Arial" w:hAnsi="Arial"/>
        </w:rPr>
        <w:t xml:space="preserve"> work, clear responsibilities, safety controls and consistent quality in complex manufacturing. A pure task culture would understate the importance of repeatability and accountability; a pure role culture would understate employee participation and continuous improvement. The hybrid interpretation therefore fits the tension Toyota must manage between disciplined production and learning.</w:t>
      </w:r>
    </w:p>
    <w:p w14:paraId="106673FF" w14:textId="77777777" w:rsidR="00776BDB" w:rsidRDefault="00D208E9" w:rsidP="00C05EEE">
      <w:pPr>
        <w:spacing w:line="360" w:lineRule="auto"/>
      </w:pPr>
      <w:r>
        <w:rPr>
          <w:rFonts w:ascii="Arial" w:hAnsi="Arial"/>
        </w:rPr>
        <w:t xml:space="preserve">This classification is not a company-issued label and should not be read as proof that all Toyota units operate identically. National context, </w:t>
      </w:r>
      <w:proofErr w:type="spellStart"/>
      <w:r>
        <w:rPr>
          <w:rFonts w:ascii="Arial" w:hAnsi="Arial"/>
        </w:rPr>
        <w:t>labour</w:t>
      </w:r>
      <w:proofErr w:type="spellEnd"/>
      <w:r>
        <w:rPr>
          <w:rFonts w:ascii="Arial" w:hAnsi="Arial"/>
        </w:rPr>
        <w:t xml:space="preserve"> relations, product development, sales, software and manufacturing may produce different local subcultures. Hofstede, Hofstede and Minkov’s (2010) national-culture dimensions can help explain why practices may be interpreted differently across countries, but they should not be used to </w:t>
      </w:r>
      <w:r>
        <w:rPr>
          <w:rFonts w:ascii="Arial" w:hAnsi="Arial"/>
        </w:rPr>
        <w:lastRenderedPageBreak/>
        <w:t xml:space="preserve">stereotype individual employees or infer Toyota’s culture from Japanese nationality alone. </w:t>
      </w:r>
      <w:proofErr w:type="spellStart"/>
      <w:r>
        <w:rPr>
          <w:rFonts w:ascii="Arial" w:hAnsi="Arial"/>
        </w:rPr>
        <w:t>Organisational</w:t>
      </w:r>
      <w:proofErr w:type="spellEnd"/>
      <w:r>
        <w:rPr>
          <w:rFonts w:ascii="Arial" w:hAnsi="Arial"/>
        </w:rPr>
        <w:t xml:space="preserve"> systems, local leadership and employee experience also shape </w:t>
      </w:r>
      <w:proofErr w:type="spellStart"/>
      <w:r>
        <w:rPr>
          <w:rFonts w:ascii="Arial" w:hAnsi="Arial"/>
        </w:rPr>
        <w:t>behaviour</w:t>
      </w:r>
      <w:proofErr w:type="spellEnd"/>
      <w:r>
        <w:rPr>
          <w:rFonts w:ascii="Arial" w:hAnsi="Arial"/>
        </w:rPr>
        <w:t>.</w:t>
      </w:r>
    </w:p>
    <w:p w14:paraId="457CA772" w14:textId="77777777" w:rsidR="005D44EA" w:rsidRPr="00C05EEE" w:rsidRDefault="00AB345F" w:rsidP="00FE5325">
      <w:pPr>
        <w:pStyle w:val="Heading1"/>
        <w:rPr>
          <w:rFonts w:ascii="Arial" w:hAnsi="Arial" w:cs="Arial"/>
          <w:color w:val="000000" w:themeColor="text1"/>
          <w:sz w:val="24"/>
          <w:szCs w:val="24"/>
        </w:rPr>
      </w:pPr>
      <w:bookmarkStart w:id="5" w:name="_Toc243820028"/>
      <w:r w:rsidRPr="00C05EEE">
        <w:rPr>
          <w:rFonts w:ascii="Arial" w:hAnsi="Arial" w:cs="Arial"/>
          <w:color w:val="000000" w:themeColor="text1"/>
        </w:rPr>
        <w:t>5. Culture and the External Environment</w:t>
      </w:r>
      <w:bookmarkEnd w:id="5"/>
    </w:p>
    <w:p w14:paraId="5A30A7E4" w14:textId="77777777" w:rsidR="00776BDB" w:rsidRDefault="00D208E9">
      <w:pPr>
        <w:pStyle w:val="Heading2"/>
        <w:rPr>
          <w:rFonts w:ascii="Arial" w:hAnsi="Arial" w:cs="Arial"/>
          <w:color w:val="000000" w:themeColor="text1"/>
        </w:rPr>
      </w:pPr>
      <w:bookmarkStart w:id="6" w:name="_Toc243820029"/>
      <w:r w:rsidRPr="00C05EEE">
        <w:rPr>
          <w:rFonts w:ascii="Arial" w:hAnsi="Arial" w:cs="Arial"/>
          <w:color w:val="000000" w:themeColor="text1"/>
        </w:rPr>
        <w:t xml:space="preserve">5.1 How Toyota uses </w:t>
      </w:r>
      <w:proofErr w:type="spellStart"/>
      <w:r w:rsidRPr="00C05EEE">
        <w:rPr>
          <w:rFonts w:ascii="Arial" w:hAnsi="Arial" w:cs="Arial"/>
          <w:color w:val="000000" w:themeColor="text1"/>
        </w:rPr>
        <w:t>organisational</w:t>
      </w:r>
      <w:proofErr w:type="spellEnd"/>
      <w:r w:rsidRPr="00C05EEE">
        <w:rPr>
          <w:rFonts w:ascii="Arial" w:hAnsi="Arial" w:cs="Arial"/>
          <w:color w:val="000000" w:themeColor="text1"/>
        </w:rPr>
        <w:t xml:space="preserve"> culture to adapt to its external environment</w:t>
      </w:r>
      <w:bookmarkEnd w:id="6"/>
    </w:p>
    <w:p w14:paraId="7A7324D8" w14:textId="77777777" w:rsidR="0098254F" w:rsidRPr="0098254F" w:rsidRDefault="0098254F" w:rsidP="0098254F"/>
    <w:p w14:paraId="44153DFA" w14:textId="77777777" w:rsidR="0098254F" w:rsidRPr="0098254F" w:rsidRDefault="0098254F" w:rsidP="0098254F">
      <w:pPr>
        <w:spacing w:line="360" w:lineRule="auto"/>
        <w:rPr>
          <w:rFonts w:ascii="Arial" w:hAnsi="Arial" w:cs="Arial"/>
          <w:lang w:val="en-GB"/>
        </w:rPr>
      </w:pPr>
      <w:r w:rsidRPr="0098254F">
        <w:rPr>
          <w:rFonts w:ascii="Arial" w:hAnsi="Arial" w:cs="Arial"/>
          <w:lang w:val="en-GB"/>
        </w:rPr>
        <w:t>Toyota operates in a complex external environment shaped by technological change in vehicles and mobility, decarbonisation, emissions regulations, customer expectations, global competition, supply-chain disruption, and differing legal and social requirements. PESTEL analysis helps assess these pressures and distinguish stable environments from dynamic ones that require continuous learning and adaptation. No single cultural strength guarantees success in every situation.</w:t>
      </w:r>
    </w:p>
    <w:p w14:paraId="7DF78891" w14:textId="77777777" w:rsidR="0098254F" w:rsidRPr="0098254F" w:rsidRDefault="0098254F" w:rsidP="0098254F">
      <w:pPr>
        <w:spacing w:line="360" w:lineRule="auto"/>
        <w:rPr>
          <w:rFonts w:ascii="Arial" w:hAnsi="Arial" w:cs="Arial"/>
          <w:lang w:val="en-GB"/>
        </w:rPr>
      </w:pPr>
      <w:r w:rsidRPr="0098254F">
        <w:rPr>
          <w:rFonts w:ascii="Arial" w:hAnsi="Arial" w:cs="Arial"/>
          <w:lang w:val="en-GB"/>
        </w:rPr>
        <w:t>Continuous improvement supports Toyota’s response to changing customer needs and operational disruption through experimentation, root-cause analysis and learning from problems. Respect for people encourages employees and suppliers to share practical knowledge, while direct observation helps prevent decisions based solely on data or assumptions. These practices reflect Schein’s (2010) view that culture supports external adaptation by establishing shared approaches to goals, environmental interpretation and problem-solving.</w:t>
      </w:r>
    </w:p>
    <w:p w14:paraId="1C3F2055" w14:textId="77777777" w:rsidR="0098254F" w:rsidRPr="0098254F" w:rsidRDefault="0098254F" w:rsidP="0098254F">
      <w:pPr>
        <w:spacing w:line="360" w:lineRule="auto"/>
        <w:rPr>
          <w:rFonts w:ascii="Arial" w:hAnsi="Arial" w:cs="Arial"/>
          <w:lang w:val="en-GB"/>
        </w:rPr>
      </w:pPr>
      <w:r w:rsidRPr="0098254F">
        <w:rPr>
          <w:rFonts w:ascii="Arial" w:hAnsi="Arial" w:cs="Arial"/>
          <w:lang w:val="en-GB"/>
        </w:rPr>
        <w:t xml:space="preserve">Evidence offers qualified support. </w:t>
      </w:r>
      <w:proofErr w:type="spellStart"/>
      <w:r w:rsidRPr="0098254F">
        <w:rPr>
          <w:rFonts w:ascii="Arial" w:hAnsi="Arial" w:cs="Arial"/>
          <w:lang w:val="en-GB"/>
        </w:rPr>
        <w:t>Vanichchinchai</w:t>
      </w:r>
      <w:proofErr w:type="spellEnd"/>
      <w:r w:rsidRPr="0098254F">
        <w:rPr>
          <w:rFonts w:ascii="Arial" w:hAnsi="Arial" w:cs="Arial"/>
          <w:lang w:val="en-GB"/>
        </w:rPr>
        <w:t xml:space="preserve"> (2022), analysing 216 automotive parts manufacturers, found that the Toyota Way and its two pillars were significantly associated with overall agile manufacturing and most agility elements. However, continuous improvement did not significantly affect speed and flexibility, and no single element improved every agility outcome. Therefore, culture does not automatically create adaptability; results also depend on technical systems, skills, resources and the specific capabilities required.</w:t>
      </w:r>
    </w:p>
    <w:p w14:paraId="5B486ED2" w14:textId="004DF014" w:rsidR="00AB67F8" w:rsidRPr="00ED3421" w:rsidRDefault="0098254F" w:rsidP="0098254F">
      <w:pPr>
        <w:spacing w:line="360" w:lineRule="auto"/>
        <w:rPr>
          <w:rFonts w:ascii="Arial" w:hAnsi="Arial" w:cs="Arial"/>
          <w:lang w:val="en-GB"/>
        </w:rPr>
      </w:pPr>
      <w:r w:rsidRPr="0098254F">
        <w:rPr>
          <w:rFonts w:ascii="Arial" w:hAnsi="Arial" w:cs="Arial"/>
          <w:lang w:val="en-GB"/>
        </w:rPr>
        <w:t xml:space="preserve">Toyota’s transition towards new technologies and mobility models also tests the limits of incremental kaizen. While valuable for refining existing processes, major technological shifts may require substantial investment, new capabilities and a willingness to replace established products. Reliance on proven routines could slow </w:t>
      </w:r>
      <w:proofErr w:type="gramStart"/>
      <w:r w:rsidRPr="0098254F">
        <w:rPr>
          <w:rFonts w:ascii="Arial" w:hAnsi="Arial" w:cs="Arial"/>
          <w:lang w:val="en-GB"/>
        </w:rPr>
        <w:t>radical</w:t>
      </w:r>
      <w:proofErr w:type="gramEnd"/>
      <w:r w:rsidRPr="0098254F">
        <w:rPr>
          <w:rFonts w:ascii="Arial" w:hAnsi="Arial" w:cs="Arial"/>
          <w:lang w:val="en-GB"/>
        </w:rPr>
        <w:t xml:space="preserve"> change if leaders </w:t>
      </w:r>
      <w:r w:rsidRPr="0098254F">
        <w:rPr>
          <w:rFonts w:ascii="Arial" w:hAnsi="Arial" w:cs="Arial"/>
          <w:lang w:val="en-GB"/>
        </w:rPr>
        <w:lastRenderedPageBreak/>
        <w:t>prioritise existing expertise or short-term production targets. Toyota’s public reporting identifies its ambition to become a mobility company and highlights employee development and opportunities to take on challenges (Toyota Motor Corporation, 2025). However, this demonstrates strategic intent, not independent evidence that the transformation is succeeding.</w:t>
      </w:r>
    </w:p>
    <w:p w14:paraId="5F841027" w14:textId="004F981E" w:rsidR="005D44EA" w:rsidRPr="00D31FD7" w:rsidRDefault="00AB345F" w:rsidP="00E32257">
      <w:pPr>
        <w:pStyle w:val="Heading1"/>
        <w:rPr>
          <w:rFonts w:ascii="Arial" w:hAnsi="Arial" w:cs="Arial"/>
          <w:color w:val="000000" w:themeColor="text1"/>
          <w:sz w:val="24"/>
          <w:szCs w:val="24"/>
        </w:rPr>
      </w:pPr>
      <w:bookmarkStart w:id="7" w:name="_Toc243820030"/>
      <w:r w:rsidRPr="00D31FD7">
        <w:rPr>
          <w:rFonts w:ascii="Arial" w:hAnsi="Arial" w:cs="Arial"/>
          <w:color w:val="000000" w:themeColor="text1"/>
        </w:rPr>
        <w:t xml:space="preserve">6. </w:t>
      </w:r>
      <w:proofErr w:type="spellStart"/>
      <w:r w:rsidRPr="00D31FD7">
        <w:rPr>
          <w:rFonts w:ascii="Arial" w:hAnsi="Arial" w:cs="Arial"/>
          <w:color w:val="000000" w:themeColor="text1"/>
        </w:rPr>
        <w:t>Organisational</w:t>
      </w:r>
      <w:proofErr w:type="spellEnd"/>
      <w:r w:rsidRPr="00D31FD7">
        <w:rPr>
          <w:rFonts w:ascii="Arial" w:hAnsi="Arial" w:cs="Arial"/>
          <w:color w:val="000000" w:themeColor="text1"/>
        </w:rPr>
        <w:t xml:space="preserve"> Culture as a Barrier</w:t>
      </w:r>
      <w:bookmarkEnd w:id="7"/>
    </w:p>
    <w:p w14:paraId="686C84B4" w14:textId="77777777" w:rsidR="00776BDB" w:rsidRPr="00D31FD7" w:rsidRDefault="00D208E9" w:rsidP="00E32257">
      <w:pPr>
        <w:pStyle w:val="Heading2"/>
        <w:spacing w:line="360" w:lineRule="auto"/>
        <w:rPr>
          <w:rFonts w:ascii="Arial" w:hAnsi="Arial" w:cs="Arial"/>
          <w:color w:val="000000" w:themeColor="text1"/>
        </w:rPr>
      </w:pPr>
      <w:bookmarkStart w:id="8" w:name="_Toc243820031"/>
      <w:r w:rsidRPr="00D31FD7">
        <w:rPr>
          <w:rFonts w:ascii="Arial" w:hAnsi="Arial" w:cs="Arial"/>
          <w:color w:val="000000" w:themeColor="text1"/>
        </w:rPr>
        <w:t>6.1 Enabling effects</w:t>
      </w:r>
      <w:bookmarkEnd w:id="8"/>
    </w:p>
    <w:p w14:paraId="262BD3BF" w14:textId="77777777" w:rsidR="00776BDB" w:rsidRDefault="00D208E9" w:rsidP="00E32257">
      <w:pPr>
        <w:spacing w:line="360" w:lineRule="auto"/>
      </w:pPr>
      <w:r>
        <w:rPr>
          <w:rFonts w:ascii="Arial" w:hAnsi="Arial"/>
        </w:rPr>
        <w:t xml:space="preserve">The principal enabling effect is the combination of operational discipline and employee-led improvement. </w:t>
      </w:r>
      <w:proofErr w:type="spellStart"/>
      <w:r>
        <w:rPr>
          <w:rFonts w:ascii="Arial" w:hAnsi="Arial"/>
        </w:rPr>
        <w:t>Standardised</w:t>
      </w:r>
      <w:proofErr w:type="spellEnd"/>
      <w:r>
        <w:rPr>
          <w:rFonts w:ascii="Arial" w:hAnsi="Arial"/>
        </w:rPr>
        <w:t xml:space="preserve"> methods can reduce ambiguity and make deviations easier to detect; kaizen can turn those deviations into opportunities to learn; and teamwork can distribute knowledge across functions. Womack, Jones and </w:t>
      </w:r>
      <w:proofErr w:type="spellStart"/>
      <w:r>
        <w:rPr>
          <w:rFonts w:ascii="Arial" w:hAnsi="Arial"/>
        </w:rPr>
        <w:t>Roos</w:t>
      </w:r>
      <w:proofErr w:type="spellEnd"/>
      <w:r>
        <w:rPr>
          <w:rFonts w:ascii="Arial" w:hAnsi="Arial"/>
        </w:rPr>
        <w:t xml:space="preserve"> (1990) </w:t>
      </w:r>
      <w:proofErr w:type="spellStart"/>
      <w:r>
        <w:rPr>
          <w:rFonts w:ascii="Arial" w:hAnsi="Arial"/>
        </w:rPr>
        <w:t>popularised</w:t>
      </w:r>
      <w:proofErr w:type="spellEnd"/>
      <w:r>
        <w:rPr>
          <w:rFonts w:ascii="Arial" w:hAnsi="Arial"/>
        </w:rPr>
        <w:t xml:space="preserve"> the comparative strengths of lean production, while Liker (2004) explains Toyota’s system as a coherent set of management principles rather than a collection of isolated tools. Together, these works suggest that the value lies in the interaction of technical routines and people practices.</w:t>
      </w:r>
    </w:p>
    <w:p w14:paraId="7A66FE81" w14:textId="77777777" w:rsidR="00776BDB" w:rsidRDefault="00D208E9" w:rsidP="00E32257">
      <w:pPr>
        <w:spacing w:line="360" w:lineRule="auto"/>
      </w:pPr>
      <w:r>
        <w:rPr>
          <w:rFonts w:ascii="Arial" w:hAnsi="Arial"/>
        </w:rPr>
        <w:t xml:space="preserve">A strong shared culture may also coordinate </w:t>
      </w:r>
      <w:proofErr w:type="spellStart"/>
      <w:r>
        <w:rPr>
          <w:rFonts w:ascii="Arial" w:hAnsi="Arial"/>
        </w:rPr>
        <w:t>behaviour</w:t>
      </w:r>
      <w:proofErr w:type="spellEnd"/>
      <w:r>
        <w:rPr>
          <w:rFonts w:ascii="Arial" w:hAnsi="Arial"/>
        </w:rPr>
        <w:t xml:space="preserve"> across a complex </w:t>
      </w:r>
      <w:proofErr w:type="spellStart"/>
      <w:r>
        <w:rPr>
          <w:rFonts w:ascii="Arial" w:hAnsi="Arial"/>
        </w:rPr>
        <w:t>organisation</w:t>
      </w:r>
      <w:proofErr w:type="spellEnd"/>
      <w:r>
        <w:rPr>
          <w:rFonts w:ascii="Arial" w:hAnsi="Arial"/>
        </w:rPr>
        <w:t xml:space="preserve">. Denison (1990) links </w:t>
      </w:r>
      <w:proofErr w:type="spellStart"/>
      <w:r>
        <w:rPr>
          <w:rFonts w:ascii="Arial" w:hAnsi="Arial"/>
        </w:rPr>
        <w:t>organisational</w:t>
      </w:r>
      <w:proofErr w:type="spellEnd"/>
      <w:r>
        <w:rPr>
          <w:rFonts w:ascii="Arial" w:hAnsi="Arial"/>
        </w:rPr>
        <w:t xml:space="preserve"> culture with effectiveness through traits including involvement, consistency, adaptability and mission. Toyota’s stated emphasis on participation, shared standards and continuous improvement maps onto these themes, although the framework does not establish that Toyota scores highly on every trait. The useful inference is that culture supports performance when it aligns participation and adaptability with a clear purpose and consistent execution.</w:t>
      </w:r>
    </w:p>
    <w:p w14:paraId="5C3E9CF0" w14:textId="77777777" w:rsidR="00776BDB" w:rsidRPr="000D2A0D" w:rsidRDefault="00D208E9" w:rsidP="000D2A0D">
      <w:pPr>
        <w:pStyle w:val="Heading2"/>
        <w:spacing w:line="480" w:lineRule="auto"/>
        <w:rPr>
          <w:rFonts w:ascii="Arial" w:hAnsi="Arial" w:cs="Arial"/>
          <w:color w:val="000000" w:themeColor="text1"/>
        </w:rPr>
      </w:pPr>
      <w:bookmarkStart w:id="9" w:name="_Toc243820032"/>
      <w:r w:rsidRPr="000D2A0D">
        <w:rPr>
          <w:rFonts w:ascii="Arial" w:hAnsi="Arial" w:cs="Arial"/>
          <w:color w:val="000000" w:themeColor="text1"/>
        </w:rPr>
        <w:t>6.2 Limiting effects</w:t>
      </w:r>
      <w:bookmarkEnd w:id="9"/>
    </w:p>
    <w:p w14:paraId="6917899D" w14:textId="77777777" w:rsidR="00776BDB" w:rsidRDefault="00D208E9" w:rsidP="000D2A0D">
      <w:pPr>
        <w:spacing w:line="360" w:lineRule="auto"/>
      </w:pPr>
      <w:r>
        <w:rPr>
          <w:rFonts w:ascii="Arial" w:hAnsi="Arial"/>
        </w:rPr>
        <w:t xml:space="preserve">The same characteristics can become barriers. </w:t>
      </w:r>
      <w:proofErr w:type="spellStart"/>
      <w:r>
        <w:rPr>
          <w:rFonts w:ascii="Arial" w:hAnsi="Arial"/>
        </w:rPr>
        <w:t>Standardisation</w:t>
      </w:r>
      <w:proofErr w:type="spellEnd"/>
      <w:r>
        <w:rPr>
          <w:rFonts w:ascii="Arial" w:hAnsi="Arial"/>
        </w:rPr>
        <w:t xml:space="preserve"> can shift from a learning baseline to a rule that is followed even when conditions change. Consensus-seeking may improve buy-in but delay urgent decisions. Continuous improvement can become a stream of small efficiency changes while more radical innovation receives insufficient attention. Strong identification with an established system can also create confirmation bias: managers may interpret unfamiliar ideas as threats to the culture rather than opportunities to improve it.</w:t>
      </w:r>
    </w:p>
    <w:p w14:paraId="4707317D" w14:textId="77777777" w:rsidR="00776BDB" w:rsidRDefault="00D208E9" w:rsidP="000D2A0D">
      <w:pPr>
        <w:spacing w:line="360" w:lineRule="auto"/>
      </w:pPr>
      <w:r>
        <w:rPr>
          <w:rFonts w:ascii="Arial" w:hAnsi="Arial"/>
        </w:rPr>
        <w:lastRenderedPageBreak/>
        <w:t>These risks are not proof that Toyota is currently experiencing each problem; they are plausible failure modes to test. The distinction matters because culture analysis should avoid treating Toyota’s reputation as evidence of universal success. Kotter and Heskett (1992) argue that culture-performance relationships depend partly on a culture’s capacity to adapt to changing conditions. A culture can be internally coherent yet externally misaligned. Consequently, Toyota should judge cultural strength not only by consistency with established methods, but by whether those methods enable safe challenge, innovation and responsiveness.</w:t>
      </w:r>
    </w:p>
    <w:p w14:paraId="7A026000" w14:textId="77777777" w:rsidR="00776BDB" w:rsidRDefault="00D208E9" w:rsidP="000D2A0D">
      <w:pPr>
        <w:spacing w:line="360" w:lineRule="auto"/>
      </w:pPr>
      <w:r>
        <w:rPr>
          <w:rFonts w:ascii="Arial" w:hAnsi="Arial"/>
        </w:rPr>
        <w:t xml:space="preserve">A further limitation is the gap between espoused values and lived experience. Company documents are valuable primary sources for understanding stated expectations, but they have an incentive to present the </w:t>
      </w:r>
      <w:proofErr w:type="spellStart"/>
      <w:r>
        <w:rPr>
          <w:rFonts w:ascii="Arial" w:hAnsi="Arial"/>
        </w:rPr>
        <w:t>organisation</w:t>
      </w:r>
      <w:proofErr w:type="spellEnd"/>
      <w:r>
        <w:rPr>
          <w:rFonts w:ascii="Arial" w:hAnsi="Arial"/>
        </w:rPr>
        <w:t xml:space="preserve"> positively. Evidence of a policy or training </w:t>
      </w:r>
      <w:proofErr w:type="spellStart"/>
      <w:r>
        <w:rPr>
          <w:rFonts w:ascii="Arial" w:hAnsi="Arial"/>
        </w:rPr>
        <w:t>programme</w:t>
      </w:r>
      <w:proofErr w:type="spellEnd"/>
      <w:r>
        <w:rPr>
          <w:rFonts w:ascii="Arial" w:hAnsi="Arial"/>
        </w:rPr>
        <w:t xml:space="preserve"> cannot establish how employees experience speaking up, workload, promotion, fairness or managerial support. Without comparable employee-survey results, site-level qualitative evidence and trend data, it would be unjustified to conclude that respect for people is fully </w:t>
      </w:r>
      <w:proofErr w:type="spellStart"/>
      <w:r>
        <w:rPr>
          <w:rFonts w:ascii="Arial" w:hAnsi="Arial"/>
        </w:rPr>
        <w:t>realised</w:t>
      </w:r>
      <w:proofErr w:type="spellEnd"/>
      <w:r>
        <w:rPr>
          <w:rFonts w:ascii="Arial" w:hAnsi="Arial"/>
        </w:rPr>
        <w:t xml:space="preserve"> across the corporation and its supply chain.</w:t>
      </w:r>
    </w:p>
    <w:p w14:paraId="4829C6CD" w14:textId="77777777" w:rsidR="00776BDB" w:rsidRDefault="00D208E9" w:rsidP="000D2A0D">
      <w:pPr>
        <w:spacing w:line="360" w:lineRule="auto"/>
      </w:pPr>
      <w:r>
        <w:rPr>
          <w:rFonts w:ascii="Arial" w:hAnsi="Arial"/>
        </w:rPr>
        <w:t>Overall, Toyota’s culture is more likely to be an enabler than a barrier when the two pillars operate together: discipline without learning risks rigidity, while improvement without standards risks inconsistency. The culture becomes a barrier when conformity displaces inquiry, or when participation is symbolic rather than influential. Its effectiveness is therefore conditional, not intrinsic.</w:t>
      </w:r>
    </w:p>
    <w:p w14:paraId="05BC8868" w14:textId="77777777" w:rsidR="005D44EA" w:rsidRPr="000D2A0D" w:rsidRDefault="00AB345F" w:rsidP="000D2A0D">
      <w:pPr>
        <w:pStyle w:val="Heading1"/>
        <w:spacing w:line="480" w:lineRule="auto"/>
        <w:rPr>
          <w:rFonts w:ascii="Arial" w:hAnsi="Arial" w:cs="Arial"/>
          <w:color w:val="000000" w:themeColor="text1"/>
        </w:rPr>
      </w:pPr>
      <w:bookmarkStart w:id="10" w:name="_Toc243820033"/>
      <w:r w:rsidRPr="000D2A0D">
        <w:rPr>
          <w:rFonts w:ascii="Arial" w:hAnsi="Arial" w:cs="Arial"/>
          <w:color w:val="000000" w:themeColor="text1"/>
        </w:rPr>
        <w:lastRenderedPageBreak/>
        <w:t xml:space="preserve">7. Impact of Culture on </w:t>
      </w:r>
      <w:proofErr w:type="spellStart"/>
      <w:r w:rsidRPr="000D2A0D">
        <w:rPr>
          <w:rFonts w:ascii="Arial" w:hAnsi="Arial" w:cs="Arial"/>
          <w:color w:val="000000" w:themeColor="text1"/>
        </w:rPr>
        <w:t>Organisational</w:t>
      </w:r>
      <w:proofErr w:type="spellEnd"/>
      <w:r w:rsidRPr="000D2A0D">
        <w:rPr>
          <w:rFonts w:ascii="Arial" w:hAnsi="Arial" w:cs="Arial"/>
          <w:color w:val="000000" w:themeColor="text1"/>
        </w:rPr>
        <w:t xml:space="preserve"> Performance</w:t>
      </w:r>
      <w:bookmarkEnd w:id="10"/>
    </w:p>
    <w:p w14:paraId="2CC9C0C5" w14:textId="77777777" w:rsidR="00776BDB" w:rsidRDefault="00D208E9">
      <w:pPr>
        <w:jc w:val="center"/>
      </w:pPr>
      <w:r>
        <w:rPr>
          <w:rFonts w:ascii="Arial" w:hAnsi="Arial"/>
          <w:noProof/>
        </w:rPr>
        <w:drawing>
          <wp:inline distT="0" distB="0" distL="0" distR="0" wp14:anchorId="492F9F0A" wp14:editId="42F515BA">
            <wp:extent cx="5212080" cy="288602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template_fig_3.png"/>
                    <pic:cNvPicPr/>
                  </pic:nvPicPr>
                  <pic:blipFill>
                    <a:blip r:embed="rId9"/>
                    <a:stretch>
                      <a:fillRect/>
                    </a:stretch>
                  </pic:blipFill>
                  <pic:spPr>
                    <a:xfrm>
                      <a:off x="0" y="0"/>
                      <a:ext cx="5212080" cy="2886027"/>
                    </a:xfrm>
                    <a:prstGeom prst="rect">
                      <a:avLst/>
                    </a:prstGeom>
                  </pic:spPr>
                </pic:pic>
              </a:graphicData>
            </a:graphic>
          </wp:inline>
        </w:drawing>
      </w:r>
    </w:p>
    <w:p w14:paraId="52F507E1" w14:textId="77777777" w:rsidR="00776BDB" w:rsidRPr="00D31FD7" w:rsidRDefault="00D208E9">
      <w:pPr>
        <w:pStyle w:val="Caption"/>
        <w:jc w:val="center"/>
        <w:rPr>
          <w:color w:val="000000" w:themeColor="text1"/>
        </w:rPr>
      </w:pPr>
      <w:r w:rsidRPr="00D31FD7">
        <w:rPr>
          <w:rFonts w:ascii="Arial" w:hAnsi="Arial"/>
          <w:i/>
          <w:color w:val="000000" w:themeColor="text1"/>
        </w:rPr>
        <w:t xml:space="preserve">Figure 3. General </w:t>
      </w:r>
      <w:proofErr w:type="spellStart"/>
      <w:r w:rsidRPr="00D31FD7">
        <w:rPr>
          <w:rFonts w:ascii="Arial" w:hAnsi="Arial"/>
          <w:i/>
          <w:color w:val="000000" w:themeColor="text1"/>
        </w:rPr>
        <w:t>organisational</w:t>
      </w:r>
      <w:proofErr w:type="spellEnd"/>
      <w:r w:rsidRPr="00D31FD7">
        <w:rPr>
          <w:rFonts w:ascii="Arial" w:hAnsi="Arial"/>
          <w:i/>
          <w:color w:val="000000" w:themeColor="text1"/>
        </w:rPr>
        <w:t>-health context; these figures are not Toyota performance data.</w:t>
      </w:r>
    </w:p>
    <w:p w14:paraId="1D3C1310" w14:textId="77777777" w:rsidR="00776BDB" w:rsidRDefault="00D208E9" w:rsidP="000D2A0D">
      <w:pPr>
        <w:spacing w:line="360" w:lineRule="auto"/>
      </w:pPr>
      <w:r>
        <w:rPr>
          <w:rFonts w:ascii="Arial" w:hAnsi="Arial"/>
        </w:rPr>
        <w:t xml:space="preserve">Culture can influence performance through several pathways: employee </w:t>
      </w:r>
      <w:proofErr w:type="spellStart"/>
      <w:r>
        <w:rPr>
          <w:rFonts w:ascii="Arial" w:hAnsi="Arial"/>
        </w:rPr>
        <w:t>behaviour</w:t>
      </w:r>
      <w:proofErr w:type="spellEnd"/>
      <w:r>
        <w:rPr>
          <w:rFonts w:ascii="Arial" w:hAnsi="Arial"/>
        </w:rPr>
        <w:t>, problem identification, quality routines, coordination, motivation, retention and responsiveness. However, performance is multi-dimensional. A culture that improves process consistency may not automatically improve innovation speed, employee wellbeing, environmental outcomes or financial returns. These dimensions should be evaluated separately rather than combined into one claim that culture ‘improves performance’.</w:t>
      </w:r>
    </w:p>
    <w:p w14:paraId="54403A86" w14:textId="77777777" w:rsidR="001C2738" w:rsidRDefault="00D208E9" w:rsidP="00266F60">
      <w:pPr>
        <w:spacing w:line="360" w:lineRule="auto"/>
        <w:rPr>
          <w:rFonts w:ascii="Arial" w:hAnsi="Arial"/>
        </w:rPr>
      </w:pPr>
      <w:proofErr w:type="spellStart"/>
      <w:r>
        <w:rPr>
          <w:rFonts w:ascii="Arial" w:hAnsi="Arial"/>
        </w:rPr>
        <w:t>Vanichchinchai’s</w:t>
      </w:r>
      <w:proofErr w:type="spellEnd"/>
      <w:r>
        <w:rPr>
          <w:rFonts w:ascii="Arial" w:hAnsi="Arial"/>
        </w:rPr>
        <w:t xml:space="preserve"> (2022) multi-firm study provides relevant evidence that the Toyota Way is associated with agile manufacturing across a sample of automotive parts manufacturers. It supports the proposition that an integrated set of technical and people-oriented practices can contribute to responsiveness and capability. Its limitations are equally important: the sample is not a controlled study of Toyota Motor Corporation alone, the relationships do not establish causation, and effects differ by agility outcome. The study should therefore be used as evidence about the wider manufacturing context, not as a precise estimate of Toyota’s own performance.</w:t>
      </w:r>
      <w:r w:rsidR="00266F60">
        <w:rPr>
          <w:rFonts w:ascii="Arial" w:hAnsi="Arial"/>
        </w:rPr>
        <w:t xml:space="preserve"> </w:t>
      </w:r>
    </w:p>
    <w:p w14:paraId="3E5384DA" w14:textId="5382994E" w:rsidR="00266F60" w:rsidRPr="00266F60" w:rsidRDefault="00266F60" w:rsidP="00266F60">
      <w:pPr>
        <w:spacing w:line="360" w:lineRule="auto"/>
        <w:rPr>
          <w:rFonts w:ascii="Arial" w:hAnsi="Arial"/>
          <w:lang w:val="en-GB"/>
        </w:rPr>
      </w:pPr>
      <w:r w:rsidRPr="00266F60">
        <w:rPr>
          <w:rFonts w:ascii="Arial" w:hAnsi="Arial"/>
          <w:lang w:val="en-GB"/>
        </w:rPr>
        <w:t xml:space="preserve">Organisational health provides a broader perspective on performance. McKinsey’s supporting research reports associations between improvements in organisational health and financial outcomes across various companies. However, these figures are not </w:t>
      </w:r>
      <w:r w:rsidRPr="00266F60">
        <w:rPr>
          <w:rFonts w:ascii="Arial" w:hAnsi="Arial"/>
          <w:lang w:val="en-GB"/>
        </w:rPr>
        <w:lastRenderedPageBreak/>
        <w:t>Toyota-specific and cannot demonstrate Toyota’s own financial returns. A stronger evaluation would combine operational measures, such as defects, rework, delivery reliability and improvement-cycle time, with employee indicators including psychological safety, engagement, turnover and confidence in raising concerns. Innovation, safety and environmental performance should also be assessed.</w:t>
      </w:r>
    </w:p>
    <w:p w14:paraId="24B41BDD" w14:textId="15AE597E" w:rsidR="00776BDB" w:rsidRPr="001C2738" w:rsidRDefault="00266F60" w:rsidP="000D2A0D">
      <w:pPr>
        <w:spacing w:line="360" w:lineRule="auto"/>
        <w:rPr>
          <w:rFonts w:ascii="Arial" w:hAnsi="Arial"/>
          <w:lang w:val="en-GB"/>
        </w:rPr>
      </w:pPr>
      <w:r w:rsidRPr="00266F60">
        <w:rPr>
          <w:rFonts w:ascii="Arial" w:hAnsi="Arial"/>
          <w:lang w:val="en-GB"/>
        </w:rPr>
        <w:t>Toyota’s culture provides credible mechanisms for improving performance, and external research links the Toyota Way with agility. However, attributing company-wide results directly to culture remains difficult, as performance also depends on strategy, technology, investment, market conditions, regulation and leadership.</w:t>
      </w:r>
    </w:p>
    <w:p w14:paraId="209C57AA" w14:textId="77777777" w:rsidR="005D44EA" w:rsidRPr="00D31FD7" w:rsidRDefault="00AB345F" w:rsidP="000D2A0D">
      <w:pPr>
        <w:pStyle w:val="Heading1"/>
        <w:spacing w:line="480" w:lineRule="auto"/>
        <w:rPr>
          <w:rFonts w:ascii="Arial" w:hAnsi="Arial" w:cs="Arial"/>
          <w:color w:val="000000" w:themeColor="text1"/>
          <w:sz w:val="24"/>
          <w:szCs w:val="24"/>
        </w:rPr>
      </w:pPr>
      <w:bookmarkStart w:id="11" w:name="_Toc243820034"/>
      <w:r w:rsidRPr="00D31FD7">
        <w:rPr>
          <w:rFonts w:ascii="Arial" w:hAnsi="Arial" w:cs="Arial"/>
          <w:color w:val="000000" w:themeColor="text1"/>
        </w:rPr>
        <w:t>8. Conclusion</w:t>
      </w:r>
      <w:bookmarkEnd w:id="11"/>
    </w:p>
    <w:p w14:paraId="28DBE8E7" w14:textId="77777777" w:rsidR="00776BDB" w:rsidRPr="00AC21D4" w:rsidRDefault="00D208E9" w:rsidP="00AC21D4">
      <w:pPr>
        <w:spacing w:line="360" w:lineRule="auto"/>
        <w:rPr>
          <w:rFonts w:ascii="Arial" w:hAnsi="Arial" w:cs="Arial"/>
        </w:rPr>
      </w:pPr>
      <w:r w:rsidRPr="00AC21D4">
        <w:rPr>
          <w:rFonts w:ascii="Arial" w:hAnsi="Arial" w:cs="Arial"/>
        </w:rPr>
        <w:t xml:space="preserve">Toyota’s </w:t>
      </w:r>
      <w:proofErr w:type="spellStart"/>
      <w:r w:rsidRPr="00AC21D4">
        <w:rPr>
          <w:rFonts w:ascii="Arial" w:hAnsi="Arial" w:cs="Arial"/>
        </w:rPr>
        <w:t>organisational</w:t>
      </w:r>
      <w:proofErr w:type="spellEnd"/>
      <w:r w:rsidRPr="00AC21D4">
        <w:rPr>
          <w:rFonts w:ascii="Arial" w:hAnsi="Arial" w:cs="Arial"/>
        </w:rPr>
        <w:t xml:space="preserve"> culture is best understood as a task–role hybrid built around the stated pillars of continuous improvement and respect for people. Schein’s model helps distinguish visible production routines, declared values and the deeper assumptions that those practices may express. Handy’s framework clarifies why Toyota combines team-based problem-solving with formal standards and responsibilities. Together, these models show how culture can influence structure and decision-making without reducing the </w:t>
      </w:r>
      <w:proofErr w:type="spellStart"/>
      <w:r w:rsidRPr="00AC21D4">
        <w:rPr>
          <w:rFonts w:ascii="Arial" w:hAnsi="Arial" w:cs="Arial"/>
        </w:rPr>
        <w:t>organisation</w:t>
      </w:r>
      <w:proofErr w:type="spellEnd"/>
      <w:r w:rsidRPr="00AC21D4">
        <w:rPr>
          <w:rFonts w:ascii="Arial" w:hAnsi="Arial" w:cs="Arial"/>
        </w:rPr>
        <w:t xml:space="preserve"> to a single cultural type.</w:t>
      </w:r>
    </w:p>
    <w:p w14:paraId="1782BF16" w14:textId="77777777" w:rsidR="00776BDB" w:rsidRPr="00AC21D4" w:rsidRDefault="00D208E9" w:rsidP="00AC21D4">
      <w:pPr>
        <w:spacing w:line="360" w:lineRule="auto"/>
        <w:rPr>
          <w:rFonts w:ascii="Arial" w:hAnsi="Arial" w:cs="Arial"/>
        </w:rPr>
      </w:pPr>
      <w:proofErr w:type="gramStart"/>
      <w:r w:rsidRPr="00AC21D4">
        <w:rPr>
          <w:rFonts w:ascii="Arial" w:hAnsi="Arial" w:cs="Arial"/>
        </w:rPr>
        <w:t>The culture</w:t>
      </w:r>
      <w:proofErr w:type="gramEnd"/>
      <w:r w:rsidRPr="00AC21D4">
        <w:rPr>
          <w:rFonts w:ascii="Arial" w:hAnsi="Arial" w:cs="Arial"/>
        </w:rPr>
        <w:t xml:space="preserve"> can enable reliable operations, learning and adaptation, but it can also become a barrier if </w:t>
      </w:r>
      <w:proofErr w:type="spellStart"/>
      <w:r w:rsidRPr="00AC21D4">
        <w:rPr>
          <w:rFonts w:ascii="Arial" w:hAnsi="Arial" w:cs="Arial"/>
        </w:rPr>
        <w:t>standardisation</w:t>
      </w:r>
      <w:proofErr w:type="spellEnd"/>
      <w:r w:rsidRPr="00AC21D4">
        <w:rPr>
          <w:rFonts w:ascii="Arial" w:hAnsi="Arial" w:cs="Arial"/>
        </w:rPr>
        <w:t xml:space="preserve"> hardens into rigidity, participation loses influence or established routines crowd out more radical change. Empirical research supports a relationship between the Toyota Way and agile manufacturing in the wider automotive-parts sector, but effects vary by outcome and do not prove a direct company-wide causal effect. Toyota should therefore evaluate its culture through lived employee experience and balanced performance evidence. The central recommendation is to preserve operational discipline while making employee voice, experimentation and responsiveness measurable and consequential.</w:t>
      </w:r>
    </w:p>
    <w:p w14:paraId="7C0D1B35" w14:textId="0A0C5F84" w:rsidR="002B3835" w:rsidRDefault="00D208E9" w:rsidP="00165CB1">
      <w:pPr>
        <w:spacing w:line="360" w:lineRule="auto"/>
        <w:rPr>
          <w:rFonts w:ascii="Arial" w:hAnsi="Arial" w:cs="Arial"/>
        </w:rPr>
      </w:pPr>
      <w:r w:rsidRPr="00AC21D4">
        <w:rPr>
          <w:rFonts w:ascii="Arial" w:hAnsi="Arial" w:cs="Arial"/>
        </w:rPr>
        <w:t xml:space="preserve">The analysis suggests five practical priorities: measure whether employees experience respect and psychological safety; protect experimentation alongside essential standards; strengthen cross-functional capability for major mobility, software and </w:t>
      </w:r>
      <w:proofErr w:type="spellStart"/>
      <w:r w:rsidRPr="00AC21D4">
        <w:rPr>
          <w:rFonts w:ascii="Arial" w:hAnsi="Arial" w:cs="Arial"/>
        </w:rPr>
        <w:t>decarbonisation</w:t>
      </w:r>
      <w:proofErr w:type="spellEnd"/>
      <w:r w:rsidRPr="00AC21D4">
        <w:rPr>
          <w:rFonts w:ascii="Arial" w:hAnsi="Arial" w:cs="Arial"/>
        </w:rPr>
        <w:t xml:space="preserve"> shifts; assess cultural indicators alongside operational, workforce and environmental </w:t>
      </w:r>
      <w:r w:rsidRPr="00AC21D4">
        <w:rPr>
          <w:rFonts w:ascii="Arial" w:hAnsi="Arial" w:cs="Arial"/>
        </w:rPr>
        <w:lastRenderedPageBreak/>
        <w:t>outcomes; and review local implementation with employees and suppliers while retaining shared principles. These actions should be piloted, evaluated against a baseline and expanded only where evidence supports them.</w:t>
      </w:r>
    </w:p>
    <w:p w14:paraId="577A557C" w14:textId="77777777" w:rsidR="003820AD" w:rsidRDefault="003820AD" w:rsidP="00165CB1">
      <w:pPr>
        <w:spacing w:line="360" w:lineRule="auto"/>
        <w:rPr>
          <w:rFonts w:ascii="Arial" w:hAnsi="Arial" w:cs="Arial"/>
        </w:rPr>
      </w:pPr>
    </w:p>
    <w:p w14:paraId="0CCF5137" w14:textId="77777777" w:rsidR="003820AD" w:rsidRDefault="003820AD" w:rsidP="00165CB1">
      <w:pPr>
        <w:spacing w:line="360" w:lineRule="auto"/>
        <w:rPr>
          <w:rFonts w:ascii="Arial" w:hAnsi="Arial" w:cs="Arial"/>
        </w:rPr>
      </w:pPr>
    </w:p>
    <w:p w14:paraId="1ABD188C" w14:textId="77777777" w:rsidR="003820AD" w:rsidRDefault="003820AD" w:rsidP="00165CB1">
      <w:pPr>
        <w:spacing w:line="360" w:lineRule="auto"/>
        <w:rPr>
          <w:rFonts w:ascii="Arial" w:hAnsi="Arial" w:cs="Arial"/>
        </w:rPr>
      </w:pPr>
    </w:p>
    <w:p w14:paraId="7B16F7D8" w14:textId="77777777" w:rsidR="003820AD" w:rsidRDefault="003820AD" w:rsidP="00165CB1">
      <w:pPr>
        <w:spacing w:line="360" w:lineRule="auto"/>
        <w:rPr>
          <w:rFonts w:ascii="Arial" w:hAnsi="Arial" w:cs="Arial"/>
        </w:rPr>
      </w:pPr>
    </w:p>
    <w:p w14:paraId="1A37BEF4" w14:textId="77777777" w:rsidR="003820AD" w:rsidRDefault="003820AD" w:rsidP="00165CB1">
      <w:pPr>
        <w:spacing w:line="360" w:lineRule="auto"/>
        <w:rPr>
          <w:rFonts w:ascii="Arial" w:hAnsi="Arial" w:cs="Arial"/>
        </w:rPr>
      </w:pPr>
    </w:p>
    <w:p w14:paraId="4D8EB63F" w14:textId="77777777" w:rsidR="003820AD" w:rsidRDefault="003820AD" w:rsidP="00165CB1">
      <w:pPr>
        <w:spacing w:line="360" w:lineRule="auto"/>
        <w:rPr>
          <w:rFonts w:ascii="Arial" w:hAnsi="Arial" w:cs="Arial"/>
        </w:rPr>
      </w:pPr>
    </w:p>
    <w:p w14:paraId="4F51BA97" w14:textId="77777777" w:rsidR="003820AD" w:rsidRDefault="003820AD" w:rsidP="00165CB1">
      <w:pPr>
        <w:spacing w:line="360" w:lineRule="auto"/>
        <w:rPr>
          <w:rFonts w:ascii="Arial" w:hAnsi="Arial" w:cs="Arial"/>
        </w:rPr>
      </w:pPr>
    </w:p>
    <w:p w14:paraId="21B1B729" w14:textId="77777777" w:rsidR="003820AD" w:rsidRDefault="003820AD" w:rsidP="00165CB1">
      <w:pPr>
        <w:spacing w:line="360" w:lineRule="auto"/>
        <w:rPr>
          <w:rFonts w:ascii="Arial" w:hAnsi="Arial" w:cs="Arial"/>
        </w:rPr>
      </w:pPr>
    </w:p>
    <w:p w14:paraId="7313C23A" w14:textId="77777777" w:rsidR="003820AD" w:rsidRDefault="003820AD" w:rsidP="00165CB1">
      <w:pPr>
        <w:spacing w:line="360" w:lineRule="auto"/>
        <w:rPr>
          <w:rFonts w:ascii="Arial" w:hAnsi="Arial" w:cs="Arial"/>
        </w:rPr>
      </w:pPr>
    </w:p>
    <w:p w14:paraId="570D846B" w14:textId="77777777" w:rsidR="003820AD" w:rsidRDefault="003820AD" w:rsidP="00165CB1">
      <w:pPr>
        <w:spacing w:line="360" w:lineRule="auto"/>
        <w:rPr>
          <w:rFonts w:ascii="Arial" w:hAnsi="Arial" w:cs="Arial"/>
        </w:rPr>
      </w:pPr>
    </w:p>
    <w:p w14:paraId="11FA4AFC" w14:textId="77777777" w:rsidR="003820AD" w:rsidRDefault="003820AD" w:rsidP="00165CB1">
      <w:pPr>
        <w:spacing w:line="360" w:lineRule="auto"/>
        <w:rPr>
          <w:rFonts w:ascii="Arial" w:hAnsi="Arial" w:cs="Arial"/>
        </w:rPr>
      </w:pPr>
    </w:p>
    <w:p w14:paraId="18AE5046" w14:textId="77777777" w:rsidR="003820AD" w:rsidRDefault="003820AD" w:rsidP="00165CB1">
      <w:pPr>
        <w:spacing w:line="360" w:lineRule="auto"/>
        <w:rPr>
          <w:rFonts w:ascii="Arial" w:hAnsi="Arial" w:cs="Arial"/>
        </w:rPr>
      </w:pPr>
    </w:p>
    <w:p w14:paraId="2715E588" w14:textId="77777777" w:rsidR="003820AD" w:rsidRDefault="003820AD" w:rsidP="00165CB1">
      <w:pPr>
        <w:spacing w:line="360" w:lineRule="auto"/>
        <w:rPr>
          <w:rFonts w:ascii="Arial" w:hAnsi="Arial" w:cs="Arial"/>
        </w:rPr>
      </w:pPr>
    </w:p>
    <w:p w14:paraId="166C69C2" w14:textId="77777777" w:rsidR="003820AD" w:rsidRDefault="003820AD" w:rsidP="00165CB1">
      <w:pPr>
        <w:spacing w:line="360" w:lineRule="auto"/>
        <w:rPr>
          <w:rFonts w:ascii="Arial" w:hAnsi="Arial" w:cs="Arial"/>
        </w:rPr>
      </w:pPr>
    </w:p>
    <w:p w14:paraId="277BED1C" w14:textId="77777777" w:rsidR="003820AD" w:rsidRDefault="003820AD" w:rsidP="00165CB1">
      <w:pPr>
        <w:spacing w:line="360" w:lineRule="auto"/>
        <w:rPr>
          <w:rFonts w:ascii="Arial" w:hAnsi="Arial" w:cs="Arial"/>
        </w:rPr>
      </w:pPr>
    </w:p>
    <w:p w14:paraId="453C2494" w14:textId="77777777" w:rsidR="003820AD" w:rsidRDefault="003820AD" w:rsidP="00165CB1">
      <w:pPr>
        <w:spacing w:line="360" w:lineRule="auto"/>
        <w:rPr>
          <w:rFonts w:ascii="Arial" w:hAnsi="Arial" w:cs="Arial"/>
        </w:rPr>
      </w:pPr>
    </w:p>
    <w:p w14:paraId="47FBE342" w14:textId="77777777" w:rsidR="003820AD" w:rsidRPr="00165CB1" w:rsidRDefault="003820AD" w:rsidP="00165CB1">
      <w:pPr>
        <w:spacing w:line="360" w:lineRule="auto"/>
        <w:rPr>
          <w:rFonts w:ascii="Arial" w:hAnsi="Arial" w:cs="Arial"/>
        </w:rPr>
      </w:pPr>
    </w:p>
    <w:p w14:paraId="4E539D2D" w14:textId="754ADF21" w:rsidR="005D44EA" w:rsidRPr="00860F85" w:rsidRDefault="00AB345F" w:rsidP="000D2A0D">
      <w:pPr>
        <w:pStyle w:val="Heading1"/>
        <w:spacing w:line="480" w:lineRule="auto"/>
        <w:rPr>
          <w:rFonts w:ascii="Arial" w:hAnsi="Arial" w:cs="Arial"/>
          <w:color w:val="000000" w:themeColor="text1"/>
          <w:sz w:val="24"/>
          <w:szCs w:val="24"/>
        </w:rPr>
      </w:pPr>
      <w:bookmarkStart w:id="12" w:name="_Toc243820035"/>
      <w:r w:rsidRPr="00860F85">
        <w:rPr>
          <w:rFonts w:ascii="Arial" w:hAnsi="Arial" w:cs="Arial"/>
          <w:color w:val="000000" w:themeColor="text1"/>
        </w:rPr>
        <w:lastRenderedPageBreak/>
        <w:t>9. References</w:t>
      </w:r>
      <w:bookmarkEnd w:id="12"/>
    </w:p>
    <w:p w14:paraId="78C1B890" w14:textId="77777777" w:rsidR="00776BDB" w:rsidRPr="00E32257" w:rsidRDefault="00D208E9" w:rsidP="00E32257">
      <w:pPr>
        <w:spacing w:after="100" w:line="360" w:lineRule="auto"/>
        <w:ind w:left="360" w:hanging="360"/>
      </w:pPr>
      <w:r w:rsidRPr="00E32257">
        <w:rPr>
          <w:rFonts w:ascii="Arial" w:hAnsi="Arial"/>
        </w:rPr>
        <w:t>Aoki, K. (</w:t>
      </w:r>
      <w:proofErr w:type="gramStart"/>
      <w:r w:rsidRPr="00E32257">
        <w:rPr>
          <w:rFonts w:ascii="Arial" w:hAnsi="Arial"/>
        </w:rPr>
        <w:t>2025) ‘</w:t>
      </w:r>
      <w:proofErr w:type="gramEnd"/>
      <w:r w:rsidRPr="00E32257">
        <w:rPr>
          <w:rFonts w:ascii="Arial" w:hAnsi="Arial"/>
        </w:rPr>
        <w:t>How participative management builds the foundation for organizational ambidexterity: Toyota’s 3 Pillar Activity’, Academy of Management Perspectives. Available at: https://doi.org/10.5465/amp.2024.0095 (Accessed: 10 October 2026).</w:t>
      </w:r>
    </w:p>
    <w:p w14:paraId="3AD257C3" w14:textId="77777777" w:rsidR="00776BDB" w:rsidRPr="00E32257" w:rsidRDefault="00D208E9" w:rsidP="00E32257">
      <w:pPr>
        <w:spacing w:after="100" w:line="360" w:lineRule="auto"/>
        <w:ind w:left="360" w:hanging="360"/>
      </w:pPr>
      <w:r w:rsidRPr="00E32257">
        <w:rPr>
          <w:rFonts w:ascii="Arial" w:hAnsi="Arial"/>
        </w:rPr>
        <w:t>Denison, D.R. (1990) Corporate Culture and Organizational Effectiveness. New York: Wiley.</w:t>
      </w:r>
    </w:p>
    <w:p w14:paraId="327D9999" w14:textId="77777777" w:rsidR="00776BDB" w:rsidRPr="00E32257" w:rsidRDefault="00D208E9" w:rsidP="00E32257">
      <w:pPr>
        <w:spacing w:after="100" w:line="360" w:lineRule="auto"/>
        <w:ind w:left="360" w:hanging="360"/>
      </w:pPr>
      <w:r w:rsidRPr="00E32257">
        <w:rPr>
          <w:rFonts w:ascii="Arial" w:hAnsi="Arial"/>
        </w:rPr>
        <w:t>Edmondson, A. (1999) ‘Psychological safety and learning behavior in work teams’, Administrative Science Quarterly, 44(2), pp. 350–383. Available at: https://doi.org/10.2307/2666999.</w:t>
      </w:r>
    </w:p>
    <w:p w14:paraId="177A608B" w14:textId="77777777" w:rsidR="00776BDB" w:rsidRPr="00E32257" w:rsidRDefault="00D208E9" w:rsidP="00E32257">
      <w:pPr>
        <w:spacing w:after="100" w:line="360" w:lineRule="auto"/>
        <w:ind w:left="360" w:hanging="360"/>
      </w:pPr>
      <w:r w:rsidRPr="00E32257">
        <w:rPr>
          <w:rFonts w:ascii="Arial" w:hAnsi="Arial"/>
        </w:rPr>
        <w:t xml:space="preserve">Handy, C. (1993) Understanding Organizations. 4th </w:t>
      </w:r>
      <w:proofErr w:type="spellStart"/>
      <w:r w:rsidRPr="00E32257">
        <w:rPr>
          <w:rFonts w:ascii="Arial" w:hAnsi="Arial"/>
        </w:rPr>
        <w:t>edn</w:t>
      </w:r>
      <w:proofErr w:type="spellEnd"/>
      <w:r w:rsidRPr="00E32257">
        <w:rPr>
          <w:rFonts w:ascii="Arial" w:hAnsi="Arial"/>
        </w:rPr>
        <w:t>. London: Penguin.</w:t>
      </w:r>
    </w:p>
    <w:p w14:paraId="4CD685CB" w14:textId="77777777" w:rsidR="00776BDB" w:rsidRPr="00E32257" w:rsidRDefault="00D208E9" w:rsidP="00E32257">
      <w:pPr>
        <w:spacing w:after="100" w:line="360" w:lineRule="auto"/>
        <w:ind w:left="360" w:hanging="360"/>
      </w:pPr>
      <w:r w:rsidRPr="00E32257">
        <w:rPr>
          <w:rFonts w:ascii="Arial" w:hAnsi="Arial"/>
        </w:rPr>
        <w:t xml:space="preserve">Hofstede, G., Hofstede, G.J. and Minkov, M. (2010) Cultures and Organizations: Software of the Mind. 3rd </w:t>
      </w:r>
      <w:proofErr w:type="spellStart"/>
      <w:r w:rsidRPr="00E32257">
        <w:rPr>
          <w:rFonts w:ascii="Arial" w:hAnsi="Arial"/>
        </w:rPr>
        <w:t>edn</w:t>
      </w:r>
      <w:proofErr w:type="spellEnd"/>
      <w:r w:rsidRPr="00E32257">
        <w:rPr>
          <w:rFonts w:ascii="Arial" w:hAnsi="Arial"/>
        </w:rPr>
        <w:t>. New York: McGraw-Hill.</w:t>
      </w:r>
    </w:p>
    <w:p w14:paraId="5CD799A8" w14:textId="77777777" w:rsidR="00776BDB" w:rsidRPr="00E32257" w:rsidRDefault="00D208E9" w:rsidP="00E32257">
      <w:pPr>
        <w:spacing w:after="100" w:line="360" w:lineRule="auto"/>
        <w:ind w:left="360" w:hanging="360"/>
      </w:pPr>
      <w:r w:rsidRPr="00E32257">
        <w:rPr>
          <w:rFonts w:ascii="Arial" w:hAnsi="Arial"/>
        </w:rPr>
        <w:t>Kotter, J.P. and Heskett, J.L. (1992) Corporate Culture and Performance. New York: Free Press.</w:t>
      </w:r>
    </w:p>
    <w:p w14:paraId="562EA4DC" w14:textId="77777777" w:rsidR="00776BDB" w:rsidRPr="00E32257" w:rsidRDefault="00D208E9" w:rsidP="00E32257">
      <w:pPr>
        <w:spacing w:after="100" w:line="360" w:lineRule="auto"/>
        <w:ind w:left="360" w:hanging="360"/>
      </w:pPr>
      <w:r w:rsidRPr="00E32257">
        <w:rPr>
          <w:rFonts w:ascii="Arial" w:hAnsi="Arial"/>
        </w:rPr>
        <w:t>Liker, J.K. (2004) The Toyota Way: 14 Management Principles from the World’s Greatest Manufacturer. New York: McGraw-Hill.</w:t>
      </w:r>
    </w:p>
    <w:p w14:paraId="56777C2A" w14:textId="77777777" w:rsidR="00776BDB" w:rsidRPr="00E32257" w:rsidRDefault="00D208E9" w:rsidP="00E32257">
      <w:pPr>
        <w:spacing w:after="100" w:line="360" w:lineRule="auto"/>
        <w:ind w:left="360" w:hanging="360"/>
      </w:pPr>
      <w:r w:rsidRPr="00E32257">
        <w:rPr>
          <w:rFonts w:ascii="Arial" w:hAnsi="Arial"/>
        </w:rPr>
        <w:t xml:space="preserve">Mullins, L. and Christy, G. (2016) Management and </w:t>
      </w:r>
      <w:proofErr w:type="spellStart"/>
      <w:r w:rsidRPr="00E32257">
        <w:rPr>
          <w:rFonts w:ascii="Arial" w:hAnsi="Arial"/>
        </w:rPr>
        <w:t>Organisational</w:t>
      </w:r>
      <w:proofErr w:type="spellEnd"/>
      <w:r w:rsidRPr="00E32257">
        <w:rPr>
          <w:rFonts w:ascii="Arial" w:hAnsi="Arial"/>
        </w:rPr>
        <w:t xml:space="preserve"> </w:t>
      </w:r>
      <w:proofErr w:type="spellStart"/>
      <w:r w:rsidRPr="00E32257">
        <w:rPr>
          <w:rFonts w:ascii="Arial" w:hAnsi="Arial"/>
        </w:rPr>
        <w:t>Behaviour</w:t>
      </w:r>
      <w:proofErr w:type="spellEnd"/>
      <w:r w:rsidRPr="00E32257">
        <w:rPr>
          <w:rFonts w:ascii="Arial" w:hAnsi="Arial"/>
        </w:rPr>
        <w:t xml:space="preserve">. 11th </w:t>
      </w:r>
      <w:proofErr w:type="spellStart"/>
      <w:r w:rsidRPr="00E32257">
        <w:rPr>
          <w:rFonts w:ascii="Arial" w:hAnsi="Arial"/>
        </w:rPr>
        <w:t>edn</w:t>
      </w:r>
      <w:proofErr w:type="spellEnd"/>
      <w:r w:rsidRPr="00E32257">
        <w:rPr>
          <w:rFonts w:ascii="Arial" w:hAnsi="Arial"/>
        </w:rPr>
        <w:t>. Harlow: Pearson Education Limited.</w:t>
      </w:r>
    </w:p>
    <w:p w14:paraId="40E334D8" w14:textId="77777777" w:rsidR="00776BDB" w:rsidRPr="00E32257" w:rsidRDefault="00D208E9" w:rsidP="00E32257">
      <w:pPr>
        <w:spacing w:after="100" w:line="360" w:lineRule="auto"/>
        <w:ind w:left="360" w:hanging="360"/>
      </w:pPr>
      <w:r w:rsidRPr="00E32257">
        <w:rPr>
          <w:rFonts w:ascii="Arial" w:hAnsi="Arial"/>
        </w:rPr>
        <w:t>O’Reilly, C.A., Chatman, J. and Caldwell, D.F. (1991) ‘People and organizational culture: a profile comparison approach to assessing person-organization fit’, Academy of Management Journal, 34(3), pp. 487–516. Available at: https://doi.org/10.2307/256404.</w:t>
      </w:r>
    </w:p>
    <w:p w14:paraId="676F1749" w14:textId="77777777" w:rsidR="00776BDB" w:rsidRPr="00E32257" w:rsidRDefault="00D208E9" w:rsidP="00E32257">
      <w:pPr>
        <w:spacing w:after="100" w:line="360" w:lineRule="auto"/>
        <w:ind w:left="360" w:hanging="360"/>
      </w:pPr>
      <w:r w:rsidRPr="00E32257">
        <w:rPr>
          <w:rFonts w:ascii="Arial" w:hAnsi="Arial"/>
        </w:rPr>
        <w:t xml:space="preserve">Schein, E.H. (2010) Organizational Culture and Leadership. 4th </w:t>
      </w:r>
      <w:proofErr w:type="spellStart"/>
      <w:r w:rsidRPr="00E32257">
        <w:rPr>
          <w:rFonts w:ascii="Arial" w:hAnsi="Arial"/>
        </w:rPr>
        <w:t>edn</w:t>
      </w:r>
      <w:proofErr w:type="spellEnd"/>
      <w:r w:rsidRPr="00E32257">
        <w:rPr>
          <w:rFonts w:ascii="Arial" w:hAnsi="Arial"/>
        </w:rPr>
        <w:t>. San Francisco: Jossey-Bass.</w:t>
      </w:r>
    </w:p>
    <w:p w14:paraId="2BDD3D0A" w14:textId="77777777" w:rsidR="00776BDB" w:rsidRPr="00E32257" w:rsidRDefault="00D208E9" w:rsidP="00E32257">
      <w:pPr>
        <w:spacing w:after="100" w:line="360" w:lineRule="auto"/>
        <w:ind w:left="360" w:hanging="360"/>
      </w:pPr>
      <w:r w:rsidRPr="00E32257">
        <w:rPr>
          <w:rFonts w:ascii="Arial" w:hAnsi="Arial"/>
        </w:rPr>
        <w:t>Toyota Motor Corporation (2025) Integrated Report 2025. Available at: https://global.toyota/en/ir/library/annual/ (Accessed: 10 October 2026).</w:t>
      </w:r>
    </w:p>
    <w:p w14:paraId="617B633A" w14:textId="77777777" w:rsidR="00776BDB" w:rsidRPr="00E32257" w:rsidRDefault="00D208E9" w:rsidP="00E32257">
      <w:pPr>
        <w:spacing w:after="100" w:line="360" w:lineRule="auto"/>
        <w:ind w:left="360" w:hanging="360"/>
      </w:pPr>
      <w:r w:rsidRPr="00E32257">
        <w:rPr>
          <w:rFonts w:ascii="Arial" w:hAnsi="Arial"/>
        </w:rPr>
        <w:t>Toyota Motor Corporation (n.d</w:t>
      </w:r>
      <w:proofErr w:type="gramStart"/>
      <w:r w:rsidRPr="00E32257">
        <w:rPr>
          <w:rFonts w:ascii="Arial" w:hAnsi="Arial"/>
        </w:rPr>
        <w:t>.) ‘</w:t>
      </w:r>
      <w:proofErr w:type="gramEnd"/>
      <w:r w:rsidRPr="00E32257">
        <w:rPr>
          <w:rFonts w:ascii="Arial" w:hAnsi="Arial"/>
        </w:rPr>
        <w:t>Toyota Way 2020 / Toyota Code of Conduct’. Available at: https://global.toyota/en/company/vision-and-philosophy/toyotaway_code-of-conduct/ (Accessed: 10 October 2026).</w:t>
      </w:r>
    </w:p>
    <w:p w14:paraId="559A838F" w14:textId="77777777" w:rsidR="00776BDB" w:rsidRPr="00E32257" w:rsidRDefault="00D208E9" w:rsidP="00E32257">
      <w:pPr>
        <w:spacing w:after="100" w:line="360" w:lineRule="auto"/>
        <w:ind w:left="360" w:hanging="360"/>
      </w:pPr>
      <w:proofErr w:type="spellStart"/>
      <w:r w:rsidRPr="00E32257">
        <w:rPr>
          <w:rFonts w:ascii="Arial" w:hAnsi="Arial"/>
        </w:rPr>
        <w:lastRenderedPageBreak/>
        <w:t>Vanichchinchai</w:t>
      </w:r>
      <w:proofErr w:type="spellEnd"/>
      <w:r w:rsidRPr="00E32257">
        <w:rPr>
          <w:rFonts w:ascii="Arial" w:hAnsi="Arial"/>
        </w:rPr>
        <w:t>, A. (2022) ‘The effects of the Toyota Way on agile manufacturing: an empirical analysis’, Journal of Manufacturing Technology Management, 33(8), pp. 1450–1472. Available at: https://doi.org/10.1108/JMTM-02-2022-0053.</w:t>
      </w:r>
    </w:p>
    <w:p w14:paraId="23B5D679" w14:textId="77777777" w:rsidR="00776BDB" w:rsidRPr="00E32257" w:rsidRDefault="00D208E9" w:rsidP="00E32257">
      <w:pPr>
        <w:spacing w:after="100" w:line="360" w:lineRule="auto"/>
        <w:ind w:left="360" w:hanging="360"/>
      </w:pPr>
      <w:r w:rsidRPr="00E32257">
        <w:rPr>
          <w:rFonts w:ascii="Arial" w:hAnsi="Arial"/>
        </w:rPr>
        <w:t xml:space="preserve">Womack, J.P., Jones, D.T. and </w:t>
      </w:r>
      <w:proofErr w:type="spellStart"/>
      <w:r w:rsidRPr="00E32257">
        <w:rPr>
          <w:rFonts w:ascii="Arial" w:hAnsi="Arial"/>
        </w:rPr>
        <w:t>Roos</w:t>
      </w:r>
      <w:proofErr w:type="spellEnd"/>
      <w:r w:rsidRPr="00E32257">
        <w:rPr>
          <w:rFonts w:ascii="Arial" w:hAnsi="Arial"/>
        </w:rPr>
        <w:t>, D. (1990) The Machine That Changed the World. New York: Rawson Associates.</w:t>
      </w:r>
    </w:p>
    <w:sectPr w:rsidR="00776BDB" w:rsidRPr="00E32257" w:rsidSect="00034616">
      <w:headerReference w:type="even" r:id="rId10"/>
      <w:headerReference w:type="default" r:id="rId11"/>
      <w:footerReference w:type="even" r:id="rId12"/>
      <w:footerReference w:type="default" r:id="rId13"/>
      <w:headerReference w:type="first" r:id="rId14"/>
      <w:footerReference w:type="first" r:id="rId15"/>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72B28" w14:textId="77777777" w:rsidR="00A3557E" w:rsidRDefault="00A3557E">
      <w:pPr>
        <w:spacing w:after="0" w:line="240" w:lineRule="auto"/>
      </w:pPr>
      <w:r>
        <w:separator/>
      </w:r>
    </w:p>
  </w:endnote>
  <w:endnote w:type="continuationSeparator" w:id="0">
    <w:p w14:paraId="6DF51AA7" w14:textId="77777777" w:rsidR="00A3557E" w:rsidRDefault="00A35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3A726D" w14:textId="77777777" w:rsidR="007B4DCC" w:rsidRDefault="007B4D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9D91E" w14:textId="77777777" w:rsidR="00776BDB" w:rsidRDefault="00D208E9">
    <w:pPr>
      <w:jc w:val="center"/>
    </w:pPr>
    <w:r>
      <w:rPr>
        <w:rFonts w:ascii="Arial" w:hAnsi="Arial"/>
        <w:sz w:val="18"/>
      </w:rPr>
      <w:t xml:space="preserve">Page </w:t>
    </w:r>
    <w:r>
      <w:fldChar w:fldCharType="begin"/>
    </w:r>
    <w:r>
      <w:instrText>PAGE</w:instrText>
    </w:r>
    <w:r>
      <w:fldChar w:fldCharType="separate"/>
    </w:r>
    <w:r w:rsidR="00CC68CD">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3C972D" w14:textId="77777777" w:rsidR="007B4DCC" w:rsidRDefault="007B4D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EFB79C" w14:textId="77777777" w:rsidR="00A3557E" w:rsidRDefault="00A3557E">
      <w:pPr>
        <w:spacing w:after="0" w:line="240" w:lineRule="auto"/>
      </w:pPr>
      <w:r>
        <w:separator/>
      </w:r>
    </w:p>
  </w:footnote>
  <w:footnote w:type="continuationSeparator" w:id="0">
    <w:p w14:paraId="69E7E873" w14:textId="77777777" w:rsidR="00A3557E" w:rsidRDefault="00A355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0D3F87" w14:textId="77777777" w:rsidR="007B4DCC" w:rsidRDefault="007B4D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EEE0F3" w14:textId="77777777" w:rsidR="007B4DCC" w:rsidRDefault="007B4D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C5461E" w14:textId="77777777" w:rsidR="007B4DCC" w:rsidRDefault="007B4D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15:restartNumberingAfterBreak="0">
    <w:nsid w:val="34F60028"/>
    <w:multiLevelType w:val="hybridMultilevel"/>
    <w:tmpl w:val="43882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2F5188"/>
    <w:multiLevelType w:val="hybridMultilevel"/>
    <w:tmpl w:val="5C9429A0"/>
    <w:lvl w:ilvl="0" w:tplc="1EDADC56">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2137337">
    <w:abstractNumId w:val="8"/>
  </w:num>
  <w:num w:numId="2" w16cid:durableId="46532183">
    <w:abstractNumId w:val="6"/>
  </w:num>
  <w:num w:numId="3" w16cid:durableId="789592244">
    <w:abstractNumId w:val="5"/>
  </w:num>
  <w:num w:numId="4" w16cid:durableId="1818109336">
    <w:abstractNumId w:val="4"/>
  </w:num>
  <w:num w:numId="5" w16cid:durableId="1405490845">
    <w:abstractNumId w:val="7"/>
  </w:num>
  <w:num w:numId="6" w16cid:durableId="1625115082">
    <w:abstractNumId w:val="3"/>
  </w:num>
  <w:num w:numId="7" w16cid:durableId="1219129234">
    <w:abstractNumId w:val="2"/>
  </w:num>
  <w:num w:numId="8" w16cid:durableId="993484236">
    <w:abstractNumId w:val="1"/>
  </w:num>
  <w:num w:numId="9" w16cid:durableId="1101991464">
    <w:abstractNumId w:val="0"/>
  </w:num>
  <w:num w:numId="10" w16cid:durableId="1008875163">
    <w:abstractNumId w:val="9"/>
  </w:num>
  <w:num w:numId="11" w16cid:durableId="280575382">
    <w:abstractNumId w:val="12"/>
  </w:num>
  <w:num w:numId="12" w16cid:durableId="1846822900">
    <w:abstractNumId w:val="11"/>
  </w:num>
  <w:num w:numId="13" w16cid:durableId="19492696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288A"/>
    <w:rsid w:val="0006063C"/>
    <w:rsid w:val="00086173"/>
    <w:rsid w:val="000D2A0D"/>
    <w:rsid w:val="0015074B"/>
    <w:rsid w:val="00165CB1"/>
    <w:rsid w:val="00181308"/>
    <w:rsid w:val="001C2738"/>
    <w:rsid w:val="001E4DC8"/>
    <w:rsid w:val="00214CB5"/>
    <w:rsid w:val="00266F60"/>
    <w:rsid w:val="00292A7C"/>
    <w:rsid w:val="0029639D"/>
    <w:rsid w:val="002B3835"/>
    <w:rsid w:val="002C1F79"/>
    <w:rsid w:val="002F5ED1"/>
    <w:rsid w:val="00326F90"/>
    <w:rsid w:val="00376D76"/>
    <w:rsid w:val="003820AD"/>
    <w:rsid w:val="00397C54"/>
    <w:rsid w:val="003E63BD"/>
    <w:rsid w:val="004424B8"/>
    <w:rsid w:val="0045383E"/>
    <w:rsid w:val="00467618"/>
    <w:rsid w:val="004F33CD"/>
    <w:rsid w:val="004F4133"/>
    <w:rsid w:val="0051116B"/>
    <w:rsid w:val="00547D85"/>
    <w:rsid w:val="0057191B"/>
    <w:rsid w:val="00581EC0"/>
    <w:rsid w:val="005A3305"/>
    <w:rsid w:val="005D2B11"/>
    <w:rsid w:val="005D44EA"/>
    <w:rsid w:val="00725274"/>
    <w:rsid w:val="00776BDB"/>
    <w:rsid w:val="00780BD3"/>
    <w:rsid w:val="007B4DCC"/>
    <w:rsid w:val="008022DE"/>
    <w:rsid w:val="00856A42"/>
    <w:rsid w:val="00860F85"/>
    <w:rsid w:val="0087784D"/>
    <w:rsid w:val="008901D2"/>
    <w:rsid w:val="008C311C"/>
    <w:rsid w:val="00915B91"/>
    <w:rsid w:val="0098254F"/>
    <w:rsid w:val="009A214C"/>
    <w:rsid w:val="009F3057"/>
    <w:rsid w:val="00A3557E"/>
    <w:rsid w:val="00A6490D"/>
    <w:rsid w:val="00A976B5"/>
    <w:rsid w:val="00AA1D8D"/>
    <w:rsid w:val="00AB345F"/>
    <w:rsid w:val="00AB67F8"/>
    <w:rsid w:val="00AC21D4"/>
    <w:rsid w:val="00AE57B5"/>
    <w:rsid w:val="00B16B72"/>
    <w:rsid w:val="00B3415B"/>
    <w:rsid w:val="00B47730"/>
    <w:rsid w:val="00B75C6E"/>
    <w:rsid w:val="00BA0F32"/>
    <w:rsid w:val="00BE1433"/>
    <w:rsid w:val="00C05EEE"/>
    <w:rsid w:val="00CB0664"/>
    <w:rsid w:val="00CC68CD"/>
    <w:rsid w:val="00CD6DF9"/>
    <w:rsid w:val="00CF3300"/>
    <w:rsid w:val="00D208E9"/>
    <w:rsid w:val="00D31CD2"/>
    <w:rsid w:val="00D31FD7"/>
    <w:rsid w:val="00D53181"/>
    <w:rsid w:val="00D81A56"/>
    <w:rsid w:val="00D87F62"/>
    <w:rsid w:val="00DE4925"/>
    <w:rsid w:val="00E13AC0"/>
    <w:rsid w:val="00E26B1A"/>
    <w:rsid w:val="00E32257"/>
    <w:rsid w:val="00E604E8"/>
    <w:rsid w:val="00EA0218"/>
    <w:rsid w:val="00EC2A14"/>
    <w:rsid w:val="00ED3421"/>
    <w:rsid w:val="00EF7819"/>
    <w:rsid w:val="00FC693F"/>
    <w:rsid w:val="00FE532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C5D8C9B"/>
  <w14:defaultImageDpi w14:val="300"/>
  <w15:docId w15:val="{1C877073-A970-418B-AD65-F4C9F2B8E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ascii="Arial" w:eastAsia="Arial" w:hAnsi="Arial" w:cs="Arial"/>
    </w:rPr>
  </w:style>
  <w:style w:type="paragraph" w:styleId="TOC1">
    <w:name w:val="toc 1"/>
    <w:basedOn w:val="Normal"/>
    <w:next w:val="Normal"/>
    <w:autoRedefine/>
    <w:uiPriority w:val="39"/>
    <w:unhideWhenUsed/>
    <w:rsid w:val="00CC68CD"/>
    <w:pPr>
      <w:spacing w:after="100"/>
    </w:pPr>
  </w:style>
  <w:style w:type="paragraph" w:styleId="TOC2">
    <w:name w:val="toc 2"/>
    <w:basedOn w:val="Normal"/>
    <w:next w:val="Normal"/>
    <w:autoRedefine/>
    <w:uiPriority w:val="39"/>
    <w:unhideWhenUsed/>
    <w:rsid w:val="00CC68CD"/>
    <w:pPr>
      <w:spacing w:after="100"/>
      <w:ind w:left="220"/>
    </w:pPr>
  </w:style>
  <w:style w:type="character" w:styleId="Hyperlink">
    <w:name w:val="Hyperlink"/>
    <w:basedOn w:val="DefaultParagraphFont"/>
    <w:uiPriority w:val="99"/>
    <w:unhideWhenUsed/>
    <w:rsid w:val="00CC68CD"/>
    <w:rPr>
      <w:color w:val="0000FF" w:themeColor="hyperlink"/>
      <w:u w:val="single"/>
    </w:rPr>
  </w:style>
  <w:style w:type="paragraph" w:styleId="NormalWeb">
    <w:name w:val="Normal (Web)"/>
    <w:basedOn w:val="Normal"/>
    <w:uiPriority w:val="99"/>
    <w:semiHidden/>
    <w:unhideWhenUsed/>
    <w:rsid w:val="00266F6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14</Pages>
  <Words>3008</Words>
  <Characters>19528</Characters>
  <Application>Microsoft Office Word</Application>
  <DocSecurity>0</DocSecurity>
  <Lines>336</Lines>
  <Paragraphs>95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22441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 Individual report on Toyota Motor Corporation</dc:title>
  <dc:subject/>
  <dc:creator>James Masih</dc:creator>
  <cp:keywords/>
  <dc:description>generated by python-docx</dc:description>
  <cp:lastModifiedBy>James Masih</cp:lastModifiedBy>
  <cp:revision>42</cp:revision>
  <dcterms:created xsi:type="dcterms:W3CDTF">2026-10-24T11:20:00Z</dcterms:created>
  <dcterms:modified xsi:type="dcterms:W3CDTF">2026-10-25T11:26:00Z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3653d3c2-acbf-43dc-8ab9-8eb00f595e2c</vt:lpwstr>
  </property>
</Properties>
</file>